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3E" w:rsidRPr="001B177F" w:rsidRDefault="00837A0F">
      <w:pPr>
        <w:pStyle w:val="4"/>
        <w:jc w:val="center"/>
        <w:rPr>
          <w:color w:val="000000" w:themeColor="text1"/>
        </w:rPr>
      </w:pPr>
      <w:r w:rsidRPr="001B177F">
        <w:rPr>
          <w:color w:val="000000" w:themeColor="text1"/>
          <w:sz w:val="40"/>
          <w:szCs w:val="40"/>
        </w:rPr>
        <w:t>2019</w:t>
      </w:r>
      <w:r w:rsidRPr="001B177F">
        <w:rPr>
          <w:color w:val="000000" w:themeColor="text1"/>
          <w:sz w:val="40"/>
          <w:szCs w:val="40"/>
        </w:rPr>
        <w:t>年度部门整体支出绩效自评指标计分表</w:t>
      </w:r>
      <w:bookmarkStart w:id="0" w:name="_GoBack"/>
      <w:bookmarkEnd w:id="0"/>
    </w:p>
    <w:tbl>
      <w:tblPr>
        <w:tblpPr w:leftFromText="180" w:rightFromText="180" w:vertAnchor="text" w:horzAnchor="page" w:tblpX="1099" w:tblpY="256"/>
        <w:tblOverlap w:val="never"/>
        <w:tblW w:w="981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175"/>
        <w:gridCol w:w="766"/>
        <w:gridCol w:w="1125"/>
        <w:gridCol w:w="570"/>
        <w:gridCol w:w="2609"/>
        <w:gridCol w:w="3570"/>
      </w:tblGrid>
      <w:tr w:rsidR="00AD113E" w:rsidRPr="001B177F">
        <w:trPr>
          <w:trHeight w:val="567"/>
          <w:tblHeader/>
        </w:trPr>
        <w:tc>
          <w:tcPr>
            <w:tcW w:w="1175" w:type="dxa"/>
            <w:tcBorders>
              <w:top w:val="single" w:sz="8" w:space="0" w:color="auto"/>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一级</w:t>
            </w:r>
            <w:r w:rsidRPr="001B177F">
              <w:rPr>
                <w:rFonts w:ascii="宋体" w:eastAsia="宋体" w:hAnsi="宋体" w:cs="宋体" w:hint="eastAsia"/>
                <w:color w:val="000000" w:themeColor="text1"/>
                <w:sz w:val="21"/>
                <w:szCs w:val="21"/>
              </w:rPr>
              <w:br/>
              <w:t>指标</w:t>
            </w:r>
          </w:p>
        </w:tc>
        <w:tc>
          <w:tcPr>
            <w:tcW w:w="766" w:type="dxa"/>
            <w:tcBorders>
              <w:top w:val="single" w:sz="8" w:space="0" w:color="auto"/>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二级指标</w:t>
            </w:r>
          </w:p>
        </w:tc>
        <w:tc>
          <w:tcPr>
            <w:tcW w:w="1125" w:type="dxa"/>
            <w:tcBorders>
              <w:top w:val="single" w:sz="8" w:space="0" w:color="auto"/>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三级指标</w:t>
            </w:r>
          </w:p>
        </w:tc>
        <w:tc>
          <w:tcPr>
            <w:tcW w:w="570" w:type="dxa"/>
            <w:tcBorders>
              <w:top w:val="single" w:sz="8" w:space="0" w:color="auto"/>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自评分</w:t>
            </w:r>
          </w:p>
        </w:tc>
        <w:tc>
          <w:tcPr>
            <w:tcW w:w="2609" w:type="dxa"/>
            <w:tcBorders>
              <w:top w:val="single" w:sz="8" w:space="0" w:color="auto"/>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指标解释</w:t>
            </w:r>
          </w:p>
        </w:tc>
        <w:tc>
          <w:tcPr>
            <w:tcW w:w="3570" w:type="dxa"/>
            <w:tcBorders>
              <w:top w:val="single" w:sz="8" w:space="0" w:color="auto"/>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指标说明</w:t>
            </w:r>
          </w:p>
        </w:tc>
      </w:tr>
      <w:tr w:rsidR="00AD113E" w:rsidRPr="001B177F">
        <w:trPr>
          <w:trHeight w:val="567"/>
        </w:trPr>
        <w:tc>
          <w:tcPr>
            <w:tcW w:w="1175" w:type="dxa"/>
            <w:vMerge w:val="restart"/>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投   入（20分）</w:t>
            </w:r>
          </w:p>
        </w:tc>
        <w:tc>
          <w:tcPr>
            <w:tcW w:w="766" w:type="dxa"/>
            <w:vMerge w:val="restart"/>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目标</w:t>
            </w:r>
            <w:r w:rsidRPr="001B177F">
              <w:rPr>
                <w:rFonts w:ascii="宋体" w:eastAsia="宋体" w:hAnsi="宋体" w:cs="宋体" w:hint="eastAsia"/>
                <w:color w:val="000000" w:themeColor="text1"/>
                <w:sz w:val="21"/>
                <w:szCs w:val="21"/>
              </w:rPr>
              <w:br/>
              <w:t>设定（5分）</w:t>
            </w: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绩效目标合理性（2分）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2</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部门所设立的整体绩效目标依据是否充分，是否符合客观实际，用以反映和考核部门整体绩效目标与部门履职、年度工作任务的相符性情况。</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①符合国家法律法规、国民经济和社会发展总体规划计1分；②符合部门“三定”方案确定的职责计0.5分；③是否符合部门制定的中长期实施规划计0.5分。</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绩效指标明确性（3分）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3</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部门依据整体绩效目标所设定的绩效指标是否清晰、细化、可衡量，用以反映和考核部门整体绩效目标的明细化情况。</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val="restart"/>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预算</w:t>
            </w:r>
            <w:r w:rsidRPr="001B177F">
              <w:rPr>
                <w:rFonts w:ascii="宋体" w:eastAsia="宋体" w:hAnsi="宋体" w:cs="宋体" w:hint="eastAsia"/>
                <w:color w:val="000000" w:themeColor="text1"/>
                <w:sz w:val="21"/>
                <w:szCs w:val="21"/>
              </w:rPr>
              <w:br/>
              <w:t>配置（15分）</w:t>
            </w: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在职人员控制率（5分）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5</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部门本年度实际在职人员数与编制数的比率，用以反映和考核部门对人员成本的控制程度。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“三公经费”</w:t>
            </w:r>
          </w:p>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变动率（5分）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5</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部门本年度“三公经费”预算数与上年度“三公经费”预算数的变动比率，用以反映和考核部门对控制重点行政成本的努力程度。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重点支出安排率（5分）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5</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部门本年度预算安排的重点项目支出与部门项目总支出的比率，用以反映和考核部门对履行主要职责或完成重点任务的保障程度。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AD113E" w:rsidRPr="001B177F">
        <w:trPr>
          <w:trHeight w:val="567"/>
        </w:trPr>
        <w:tc>
          <w:tcPr>
            <w:tcW w:w="1175" w:type="dxa"/>
            <w:vMerge w:val="restart"/>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过            程（30分）</w:t>
            </w:r>
          </w:p>
        </w:tc>
        <w:tc>
          <w:tcPr>
            <w:tcW w:w="766" w:type="dxa"/>
            <w:vMerge w:val="restart"/>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预算</w:t>
            </w:r>
            <w:r w:rsidRPr="001B177F">
              <w:rPr>
                <w:rFonts w:ascii="宋体" w:eastAsia="宋体" w:hAnsi="宋体" w:cs="宋体" w:hint="eastAsia"/>
                <w:color w:val="000000" w:themeColor="text1"/>
                <w:sz w:val="21"/>
                <w:szCs w:val="21"/>
              </w:rPr>
              <w:br/>
              <w:t>执行</w:t>
            </w:r>
          </w:p>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（20分）</w:t>
            </w: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预算完成率（4分）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4</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部门本年度预算完成数与预算数的比率，用以反映和考核部门预算完成程度。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2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预算完成率=（预算完成数/预算数）×100%。完成年初预算计4分，未完成年初预算按比例扣减，预算完成数：部门本年度实际完成的预算数。预算数：财政部门批复的本年度部门预算数。</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预算调整率（2分）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2</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部门本年度预算调整数与预算数的比率，用以反映和考核部门预算的调整程度。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2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支付进度率（2分）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2</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部门实际支付进度与既定支付进度的比率，用以反映和考核部门预算执行的及时性和均衡性程度。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2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AD113E" w:rsidRPr="001B177F">
        <w:trPr>
          <w:trHeight w:val="567"/>
        </w:trPr>
        <w:tc>
          <w:tcPr>
            <w:tcW w:w="1175" w:type="dxa"/>
            <w:vMerge w:val="restart"/>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ind w:left="113"/>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过            程（30分）</w:t>
            </w:r>
          </w:p>
        </w:tc>
        <w:tc>
          <w:tcPr>
            <w:tcW w:w="766" w:type="dxa"/>
            <w:vMerge w:val="restart"/>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预算</w:t>
            </w:r>
            <w:r w:rsidRPr="001B177F">
              <w:rPr>
                <w:rFonts w:ascii="宋体" w:eastAsia="宋体" w:hAnsi="宋体" w:cs="宋体" w:hint="eastAsia"/>
                <w:color w:val="000000" w:themeColor="text1"/>
                <w:sz w:val="21"/>
                <w:szCs w:val="21"/>
              </w:rPr>
              <w:br/>
              <w:t>执行</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（20分</w:t>
            </w: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结转结余控制率（4分）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4</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部门本年度结转结余总额与上年结转结余总额增减比例，用以反映和考核部门对存量资金的实际控制程度。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公用经费</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控制率（2分）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2</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部门本年度实际支出的公用经费总额与预算安排的公用经费总额的比率，用以反映和考核部门对机构运转成本的实际控制程度。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公用经费控制率=（实际支出公用经费总额/预算安排公用经费总额）×100%。为100%的计2分，每超过1个百分点扣0.1分，扣完为止。</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“三公经费”控制率（2分）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2</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部门本年度“三公经费”实际支出数与预算安排数的比率，用以反映和考核部门对“三公经费”的实际控制程度。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“三公经费”控制率=（“三公经费”实际支出数/“三公经费”预算安排数）×100%。为100%的计2分，每超过1个百分点扣0.5分，扣完为止。</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政府采购</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执行率（4分）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3.5</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部门本年度实际政府采购金额与年初政府采购预算的比率，用以反映和考核部门政府采购预算执行情况。</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val="restart"/>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预算</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管理</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（5分）</w:t>
            </w: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管理制度</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健全性（2分）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2</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部门为加强预算管理、规范财务行为而制定的管理制度是否健全完整，用以反映和考核部门预算管理制度对完成主要职责或促进事业发展</w:t>
            </w:r>
            <w:r w:rsidRPr="001B177F">
              <w:rPr>
                <w:rFonts w:ascii="宋体" w:eastAsia="宋体" w:hAnsi="宋体" w:cs="宋体" w:hint="eastAsia"/>
                <w:color w:val="000000" w:themeColor="text1"/>
                <w:sz w:val="21"/>
                <w:szCs w:val="21"/>
              </w:rPr>
              <w:lastRenderedPageBreak/>
              <w:t>的保障情况。</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lastRenderedPageBreak/>
              <w:t>已制定或具有预算资金管理办法、内部财务管理制度、会计核算制度等管理制度计1分；相关管理制度合法、合规、完整计0.5分；相关管理制度得到有效执行计0.5分。</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资金使用</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合规性（1分）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1</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部门使用预算资金是否符合相关的预算财务管理制度的规定，用以反映和考核部门预算资金的规范运行情况。</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预决算信</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息公开性（1分）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1</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部门是否按照政府信息公开有关规定公开相关预决算信息，用以反映和考核部门预决算管理的公开透明情况。</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①按规定内容公开预决算信息计0.5分；②按规定时限公开预决算信息计0.5分。预决算信息是指与部门预算、执行、决算、监督、绩效等管理相关的信息。</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基础信息</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完善性（1分）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1</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部门基础信息是否完善，用以反映和考核基础信息对预算管理工作的支撑情况。</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①基础数据信息和会计信息资料真实计0.4分；②基础数据信息和会计信息资料完整计0.3分；③基础数据信息和会计信息资料准确计0.3分。</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资产</w:t>
            </w:r>
            <w:r w:rsidRPr="001B177F">
              <w:rPr>
                <w:rFonts w:ascii="宋体" w:eastAsia="宋体" w:hAnsi="宋体" w:cs="宋体" w:hint="eastAsia"/>
                <w:color w:val="000000" w:themeColor="text1"/>
                <w:sz w:val="21"/>
                <w:szCs w:val="21"/>
              </w:rPr>
              <w:br/>
              <w:t>管理</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（5分）</w:t>
            </w: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管理制度</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健全性（2分）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1.5</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部门为加强资产管理、规范资产管理行为而制定的管理制度是否健全完整，用以反映和考核部门资产管理制度对完成主要职责或促进社会发展的保障情况。</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①制定或具有资产管理制度计1分；②相关资金管理制度合法、合规、完整计0.5分；③相关资产管理制度得到有效执行计0.5分。</w:t>
            </w:r>
          </w:p>
        </w:tc>
      </w:tr>
      <w:tr w:rsidR="00AD113E" w:rsidRPr="001B177F">
        <w:trPr>
          <w:trHeight w:val="567"/>
        </w:trPr>
        <w:tc>
          <w:tcPr>
            <w:tcW w:w="1175" w:type="dxa"/>
            <w:vMerge w:val="restart"/>
            <w:tcBorders>
              <w:top w:val="nil"/>
              <w:left w:val="single" w:sz="8" w:space="0" w:color="auto"/>
              <w:bottom w:val="single" w:sz="8" w:space="0" w:color="auto"/>
              <w:right w:val="single" w:sz="8" w:space="0" w:color="auto"/>
            </w:tcBorders>
            <w:shd w:val="clear" w:color="auto" w:fill="FFFFFF"/>
            <w:vAlign w:val="center"/>
          </w:tcPr>
          <w:p w:rsidR="00AD113E" w:rsidRPr="001B177F" w:rsidRDefault="00837A0F">
            <w:pPr>
              <w:pStyle w:val="a3"/>
              <w:widowControl/>
              <w:spacing w:beforeAutospacing="0" w:afterAutospacing="0" w:line="240" w:lineRule="atLeast"/>
              <w:ind w:left="113"/>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过            程（30分）</w:t>
            </w:r>
          </w:p>
        </w:tc>
        <w:tc>
          <w:tcPr>
            <w:tcW w:w="766" w:type="dxa"/>
            <w:vMerge w:val="restart"/>
            <w:tcBorders>
              <w:top w:val="nil"/>
              <w:left w:val="nil"/>
              <w:bottom w:val="single" w:sz="8" w:space="0" w:color="auto"/>
              <w:right w:val="single" w:sz="8" w:space="0" w:color="auto"/>
            </w:tcBorders>
            <w:shd w:val="clear" w:color="auto" w:fill="FFFFFF"/>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资产</w:t>
            </w:r>
            <w:r w:rsidRPr="001B177F">
              <w:rPr>
                <w:rFonts w:ascii="宋体" w:eastAsia="宋体" w:hAnsi="宋体" w:cs="宋体" w:hint="eastAsia"/>
                <w:color w:val="000000" w:themeColor="text1"/>
                <w:sz w:val="21"/>
                <w:szCs w:val="21"/>
              </w:rPr>
              <w:br/>
              <w:t>管理</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（5分）</w:t>
            </w: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资产管理</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安全性（2分）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1.6</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部门的资产是否保存完整、使用合规、配置合理、处置规范、收入及时足额上缴，用以反映和考核部门资产安全运行情况。</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①资产保存完整计0.4分；②资产配置合理计0.4分；③资产处置规范计0.4分；④资产账务管理合规、帐实相符计0.4分；⑤资产有偿使用及处置收入及时足额上缴计0.4分。</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固定资产</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利用率（1分）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1</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部门实际在用固定资产总额与所有固定资产总额的比率，用以反映和考核部门固定资产使用效率程度。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固定资产利用率=（实际在用固定资产总额/所有固定资产总额）×100%。利用率为100%的计1分，每降1个百分点扣0.1分，扣完为止。</w:t>
            </w:r>
          </w:p>
        </w:tc>
      </w:tr>
      <w:tr w:rsidR="00AD113E" w:rsidRPr="001B177F">
        <w:trPr>
          <w:trHeight w:val="567"/>
        </w:trPr>
        <w:tc>
          <w:tcPr>
            <w:tcW w:w="1175" w:type="dxa"/>
            <w:vMerge w:val="restart"/>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产   出（30分）</w:t>
            </w:r>
          </w:p>
        </w:tc>
        <w:tc>
          <w:tcPr>
            <w:tcW w:w="766" w:type="dxa"/>
            <w:vMerge w:val="restart"/>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职责</w:t>
            </w:r>
            <w:r w:rsidRPr="001B177F">
              <w:rPr>
                <w:rFonts w:ascii="宋体" w:eastAsia="宋体" w:hAnsi="宋体" w:cs="宋体" w:hint="eastAsia"/>
                <w:color w:val="000000" w:themeColor="text1"/>
                <w:sz w:val="21"/>
                <w:szCs w:val="21"/>
              </w:rPr>
              <w:br/>
              <w:t>履行</w:t>
            </w: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实际完成率（8分）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8</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部门履行职责而实际完成工作数与计划工作数的比率，用以反映和考核部门履职工作任务目标的实现程度。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实际完成率得分=完成市委市政府绩效考核得分或上级主管部门考核指标得分/指标分值*8分</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完成及时率（4分）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4</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部门在规定时限内及时完成的实际工作数与计划工作数的比率,用以反映和考核部门履职时效目标的实现程度。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21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完成及时率=（及时完成实际工作数/计划工作数）×100%。1-4季度各得1分</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质量达标率（8分）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7</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达到质量标准（绩效标准值）的实际工作数与计划工作数的比率,用以反映和考核部门履职质量目标的实现程度。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质量达标率=（质量达标实际工作数/计划工作数）×100%。实际得分=达标率*8分</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重点工作</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办结率（10分）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10</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部门年度重点工作实际完成数与交办或下达数的比率，用以反映部门对重点工作的办理落实程度。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重点工作办结率=（重点工作实际完成数/交办或下达数）×100%。实际得分=办结率*10分</w:t>
            </w:r>
          </w:p>
        </w:tc>
      </w:tr>
      <w:tr w:rsidR="00AD113E" w:rsidRPr="001B177F">
        <w:trPr>
          <w:trHeight w:val="567"/>
        </w:trPr>
        <w:tc>
          <w:tcPr>
            <w:tcW w:w="1175" w:type="dxa"/>
            <w:vMerge w:val="restart"/>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4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效   果（20分）</w:t>
            </w:r>
          </w:p>
        </w:tc>
        <w:tc>
          <w:tcPr>
            <w:tcW w:w="766" w:type="dxa"/>
            <w:vMerge w:val="restart"/>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履职</w:t>
            </w:r>
            <w:r w:rsidRPr="001B177F">
              <w:rPr>
                <w:rFonts w:ascii="宋体" w:eastAsia="宋体" w:hAnsi="宋体" w:cs="宋体" w:hint="eastAsia"/>
                <w:color w:val="000000" w:themeColor="text1"/>
                <w:sz w:val="21"/>
                <w:szCs w:val="21"/>
              </w:rPr>
              <w:br/>
              <w:t>效益（20分）</w:t>
            </w: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经济效益（5分）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5</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部门履行职责对经济发展所带来的直接或间接影响。</w:t>
            </w:r>
          </w:p>
        </w:tc>
        <w:tc>
          <w:tcPr>
            <w:tcW w:w="3570" w:type="dxa"/>
            <w:vMerge w:val="restart"/>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按经济效益实现程度计算得分（5分）；按社会效益实现程度计算得分（5分）；按生态效益实现程度计算得分（5分）</w:t>
            </w: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社会效益（5分）</w:t>
            </w:r>
          </w:p>
        </w:tc>
        <w:tc>
          <w:tcPr>
            <w:tcW w:w="570" w:type="dxa"/>
            <w:tcBorders>
              <w:top w:val="nil"/>
              <w:left w:val="nil"/>
              <w:bottom w:val="single" w:sz="8" w:space="0" w:color="auto"/>
              <w:right w:val="single" w:sz="8" w:space="0" w:color="auto"/>
            </w:tcBorders>
            <w:shd w:val="clear" w:color="auto" w:fill="FFFFFF"/>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5</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部门履行职责对社会发展所带来的直接或间接影响。</w:t>
            </w:r>
          </w:p>
        </w:tc>
        <w:tc>
          <w:tcPr>
            <w:tcW w:w="3570"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生态效益（5分）</w:t>
            </w:r>
          </w:p>
        </w:tc>
        <w:tc>
          <w:tcPr>
            <w:tcW w:w="570" w:type="dxa"/>
            <w:tcBorders>
              <w:top w:val="nil"/>
              <w:left w:val="nil"/>
              <w:bottom w:val="single" w:sz="8" w:space="0" w:color="auto"/>
              <w:right w:val="single" w:sz="8" w:space="0" w:color="auto"/>
            </w:tcBorders>
            <w:shd w:val="clear" w:color="auto" w:fill="FFFFFF"/>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5</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部门履行职责对生态环境所带来的直接或间接影响。</w:t>
            </w:r>
          </w:p>
        </w:tc>
        <w:tc>
          <w:tcPr>
            <w:tcW w:w="3570"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r>
      <w:tr w:rsidR="00AD113E" w:rsidRPr="001B177F">
        <w:trPr>
          <w:trHeight w:val="567"/>
        </w:trPr>
        <w:tc>
          <w:tcPr>
            <w:tcW w:w="1175" w:type="dxa"/>
            <w:vMerge/>
            <w:tcBorders>
              <w:top w:val="nil"/>
              <w:left w:val="single" w:sz="8" w:space="0" w:color="auto"/>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766" w:type="dxa"/>
            <w:vMerge/>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AD113E">
            <w:pPr>
              <w:rPr>
                <w:rFonts w:ascii="寰蒋闆呴粦" w:eastAsia="寰蒋闆呴粦" w:hAnsi="寰蒋闆呴粦" w:cs="寰蒋闆呴粦"/>
                <w:color w:val="000000" w:themeColor="text1"/>
                <w:szCs w:val="21"/>
              </w:rPr>
            </w:pPr>
          </w:p>
        </w:tc>
        <w:tc>
          <w:tcPr>
            <w:tcW w:w="1125"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社会公众</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或服务对</w:t>
            </w:r>
          </w:p>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象满意度（5分）</w:t>
            </w:r>
          </w:p>
        </w:tc>
        <w:tc>
          <w:tcPr>
            <w:tcW w:w="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center"/>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4</w:t>
            </w:r>
          </w:p>
        </w:tc>
        <w:tc>
          <w:tcPr>
            <w:tcW w:w="2609"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社会公众或部门的服务对象对部门履职效果的满意程度。</w:t>
            </w:r>
          </w:p>
        </w:tc>
        <w:tc>
          <w:tcPr>
            <w:tcW w:w="3570" w:type="dxa"/>
            <w:tcBorders>
              <w:top w:val="nil"/>
              <w:left w:val="nil"/>
              <w:bottom w:val="single" w:sz="8" w:space="0" w:color="auto"/>
              <w:right w:val="single" w:sz="8" w:space="0" w:color="auto"/>
            </w:tcBorders>
            <w:shd w:val="clear" w:color="auto" w:fill="FFFFFF"/>
            <w:tcMar>
              <w:top w:w="10" w:type="dxa"/>
              <w:left w:w="10" w:type="dxa"/>
              <w:right w:w="10" w:type="dxa"/>
            </w:tcMar>
            <w:vAlign w:val="center"/>
          </w:tcPr>
          <w:p w:rsidR="00AD113E" w:rsidRPr="001B177F" w:rsidRDefault="00837A0F">
            <w:pPr>
              <w:pStyle w:val="a3"/>
              <w:widowControl/>
              <w:spacing w:beforeAutospacing="0" w:afterAutospacing="0" w:line="260" w:lineRule="atLeast"/>
              <w:jc w:val="both"/>
              <w:rPr>
                <w:rFonts w:ascii="Times New Roman" w:hAnsi="Times New Roman"/>
                <w:color w:val="000000" w:themeColor="text1"/>
                <w:sz w:val="21"/>
                <w:szCs w:val="21"/>
              </w:rPr>
            </w:pPr>
            <w:r w:rsidRPr="001B177F">
              <w:rPr>
                <w:rFonts w:ascii="宋体" w:eastAsia="宋体" w:hAnsi="宋体" w:cs="宋体" w:hint="eastAsia"/>
                <w:color w:val="000000" w:themeColor="text1"/>
                <w:sz w:val="21"/>
                <w:szCs w:val="21"/>
              </w:rPr>
              <w:t>按收集到的服务对象的满意率计算得分（5分）</w:t>
            </w:r>
          </w:p>
        </w:tc>
      </w:tr>
    </w:tbl>
    <w:p w:rsidR="00AD113E" w:rsidRPr="001B177F" w:rsidRDefault="00837A0F">
      <w:pPr>
        <w:pStyle w:val="a3"/>
        <w:widowControl/>
        <w:shd w:val="clear" w:color="auto" w:fill="FFFFFF"/>
        <w:spacing w:beforeAutospacing="0" w:afterAutospacing="0" w:line="80" w:lineRule="atLeast"/>
        <w:jc w:val="both"/>
        <w:rPr>
          <w:rFonts w:ascii="Times New Roman" w:hAnsi="Times New Roman"/>
          <w:color w:val="000000" w:themeColor="text1"/>
          <w:sz w:val="21"/>
          <w:szCs w:val="21"/>
        </w:rPr>
      </w:pPr>
      <w:r w:rsidRPr="001B177F">
        <w:rPr>
          <w:rFonts w:ascii="仿宋" w:eastAsia="仿宋" w:hAnsi="仿宋" w:cs="仿宋"/>
          <w:color w:val="000000" w:themeColor="text1"/>
          <w:sz w:val="21"/>
          <w:szCs w:val="21"/>
          <w:shd w:val="clear" w:color="auto" w:fill="FFFFFF"/>
        </w:rPr>
        <w:t> </w:t>
      </w:r>
    </w:p>
    <w:p w:rsidR="00AD113E" w:rsidRPr="001B177F" w:rsidRDefault="00837A0F">
      <w:pPr>
        <w:pStyle w:val="a3"/>
        <w:widowControl/>
        <w:shd w:val="clear" w:color="auto" w:fill="FFFFFF"/>
        <w:spacing w:beforeAutospacing="0" w:afterAutospacing="0" w:line="600" w:lineRule="atLeast"/>
        <w:jc w:val="both"/>
        <w:rPr>
          <w:rFonts w:ascii="Times New Roman" w:hAnsi="Times New Roman"/>
          <w:color w:val="000000" w:themeColor="text1"/>
          <w:sz w:val="21"/>
          <w:szCs w:val="21"/>
        </w:rPr>
      </w:pPr>
      <w:r w:rsidRPr="001B177F">
        <w:rPr>
          <w:rFonts w:ascii="黑体" w:eastAsia="黑体" w:hAnsi="宋体" w:cs="黑体"/>
          <w:color w:val="000000" w:themeColor="text1"/>
          <w:sz w:val="21"/>
          <w:szCs w:val="21"/>
          <w:shd w:val="clear" w:color="auto" w:fill="FFFFFF"/>
        </w:rPr>
        <w:t> </w:t>
      </w:r>
    </w:p>
    <w:p w:rsidR="00AD113E" w:rsidRDefault="00AD113E"/>
    <w:sectPr w:rsidR="00AD113E" w:rsidSect="00AD11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寰蒋闆呴粦">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D113E"/>
    <w:rsid w:val="001B177F"/>
    <w:rsid w:val="00837A0F"/>
    <w:rsid w:val="00AD113E"/>
    <w:rsid w:val="00B62A0C"/>
    <w:rsid w:val="4AFD5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113E"/>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AD113E"/>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113E"/>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3568</Words>
  <Characters>414</Characters>
  <Application>Microsoft Office Word</Application>
  <DocSecurity>0</DocSecurity>
  <Lines>3</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2020-07-27T07:12:00Z</cp:lastPrinted>
  <dcterms:created xsi:type="dcterms:W3CDTF">2014-10-29T12:08:00Z</dcterms:created>
  <dcterms:modified xsi:type="dcterms:W3CDTF">2020-07-27T07:13:00Z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