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/>
        <w:ind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件1</w:t>
      </w:r>
    </w:p>
    <w:p>
      <w:pPr>
        <w:widowControl/>
        <w:wordWrap/>
        <w:adjustRightInd/>
        <w:snapToGrid w:val="0"/>
        <w:spacing w:after="157" w:afterLines="50" w:line="600" w:lineRule="exact"/>
        <w:jc w:val="center"/>
        <w:textAlignment w:val="auto"/>
        <w:outlineLvl w:val="1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赫山区畜禽养殖禁养区范围一览表</w:t>
      </w:r>
    </w:p>
    <w:tbl>
      <w:tblPr>
        <w:tblStyle w:val="3"/>
        <w:tblW w:w="1389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224"/>
        <w:gridCol w:w="6132"/>
        <w:gridCol w:w="1474"/>
        <w:gridCol w:w="29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tblHeader/>
          <w:jc w:val="center"/>
        </w:trPr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61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禁养区范围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面积（km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禁养原因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2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饮用水水源保护区</w:t>
            </w:r>
          </w:p>
        </w:tc>
        <w:tc>
          <w:tcPr>
            <w:tcW w:w="61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益阳市四水厂资江饮用水水源保护区</w:t>
            </w:r>
          </w:p>
        </w:tc>
        <w:tc>
          <w:tcPr>
            <w:tcW w:w="14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eastAsia="zh-CN" w:bidi="ar-SA"/>
              </w:rPr>
              <w:t>10.5548</w:t>
            </w:r>
          </w:p>
        </w:tc>
        <w:tc>
          <w:tcPr>
            <w:tcW w:w="29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饮用水水源水（陆）域范围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2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益阳市二、三水厂资江饮用水水源保护区</w:t>
            </w:r>
          </w:p>
        </w:tc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赫山区笔架山乡张家塘墟场水厂地下水饮用水源保护区</w:t>
            </w:r>
          </w:p>
        </w:tc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赫山区兰溪镇黄金水厂地下水饮用水源保护区</w:t>
            </w:r>
          </w:p>
        </w:tc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赫山区欧江岔镇集中供水工程地下水饮用水源保护区</w:t>
            </w:r>
          </w:p>
        </w:tc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赫山区欧江岔镇牌口水厂地下水饮用水源保护区</w:t>
            </w:r>
          </w:p>
        </w:tc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赫山区泉交河镇八家湾水厂地下水饮用源保护区</w:t>
            </w:r>
          </w:p>
        </w:tc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2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赫山区兰溪镇金河水厂地下水饮用水源保护区</w:t>
            </w:r>
          </w:p>
        </w:tc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2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赫山区八字哨镇集中供水工程地下水饮用水源保护区</w:t>
            </w:r>
          </w:p>
        </w:tc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2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赫山区兰溪镇集中供水工程地下水饮用水源保护区</w:t>
            </w:r>
          </w:p>
        </w:tc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2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赫山区泉交河镇集中供水工程地下水饮用水源保护区</w:t>
            </w:r>
          </w:p>
        </w:tc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2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赫山区岳家桥镇集中供水工程地下水饮水源保护区</w:t>
            </w:r>
          </w:p>
        </w:tc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before="93" w:beforeLines="3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等线" w:hAnsi="等线" w:eastAsia="等线" w:cs="黑体"/>
                <w:kern w:val="2"/>
                <w:sz w:val="24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452120</wp:posOffset>
                      </wp:positionV>
                      <wp:extent cx="915035" cy="495300"/>
                      <wp:effectExtent l="7620" t="7620" r="10795" b="1143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1503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flip:y;margin-left:-8.6pt;margin-top:35.6pt;height:39pt;width:72.05pt;z-index:251659264;mso-width-relative:page;mso-height-relative:page;" fillcolor="#FFFFFF" filled="t" o:preferrelative="t" stroked="t" coordsize="21600,21600" o:gfxdata="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s4SIdoAAAAKAQAADwAAAAAAAAABACAAAAAiAAAAZHJzL2Rv&#10;d25yZXYueG1sUEsBAhQAFAAAAAgAh07iQMqujND/AQAAKAQAAA4AAAAAAAAAAQAgAAAAKQEAAGRy&#10;cy9lMm9Eb2MueG1sUEsFBgAAAAAGAAYAWQEAAJoFAAAAAA==&#10;">
                      <v:path/>
                      <v:fill on="t" focussize="0,0"/>
                      <v:stroke weight="1.25pt" color="#FFFFFF" color2="#FFFFFF" miterlimit="2"/>
                      <v:imagedata gain="65536f" blacklevel="0f" gamma="0" o:title=""/>
                      <o:lock v:ext="edit" position="f" selection="f" grouping="f" rotation="f" cropping="f" text="f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222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赫山区泥江口镇七里村水库饮用水水源保护区</w:t>
            </w:r>
          </w:p>
        </w:tc>
        <w:tc>
          <w:tcPr>
            <w:tcW w:w="1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风景名胜区</w:t>
            </w:r>
          </w:p>
        </w:tc>
        <w:tc>
          <w:tcPr>
            <w:tcW w:w="61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省级以上风景名胜区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暂无</w:t>
            </w: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经批复的省级以上风景名胜区范围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自然保护区</w:t>
            </w:r>
          </w:p>
        </w:tc>
        <w:tc>
          <w:tcPr>
            <w:tcW w:w="61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自然保护区的核心区和缓冲区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暂无</w:t>
            </w: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经批复的自然保护区的核心区和缓冲区范围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22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城镇居民区和文化教育科学研究区</w:t>
            </w:r>
          </w:p>
        </w:tc>
        <w:tc>
          <w:tcPr>
            <w:tcW w:w="61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全区辖10个乡镇、5个街道的城镇建成区（中心区）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182.1578</w:t>
            </w: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城镇居民区和文化教育科学研究区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22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国家和地方法律、法规及规范性文件规定的其他禁止养殖区域</w:t>
            </w:r>
          </w:p>
        </w:tc>
        <w:tc>
          <w:tcPr>
            <w:tcW w:w="61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湖南赫山来仪湖国家湿地公园保育区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14.4442</w:t>
            </w: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国家和地方法律、法规及规范性文件规定的其他禁止养殖区域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全区105处保护山体、144处保护水体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国家和地方法律、法规及规范性文件规定的其他禁止养殖区域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生态红线保护区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20.58</w:t>
            </w: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国家和地方法律、法规规定的其他禁止养殖区域</w:t>
            </w:r>
          </w:p>
        </w:tc>
      </w:tr>
    </w:tbl>
    <w:p>
      <w:pPr>
        <w:widowControl w:val="0"/>
        <w:wordWrap/>
        <w:adjustRightInd/>
        <w:spacing w:line="4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587" w:right="1587" w:bottom="147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sz w:val="24"/>
          <w:szCs w:val="24"/>
        </w:rPr>
        <w:t>注：赫山区饮用水源保护区禁养面积为10.5548km</w:t>
      </w:r>
      <w:r>
        <w:rPr>
          <w:rFonts w:hint="eastAsia" w:ascii="宋体" w:hAnsi="宋体" w:eastAsia="宋体" w:cs="宋体"/>
          <w:sz w:val="24"/>
          <w:szCs w:val="24"/>
          <w:vertAlign w:val="super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，城镇居民区和文化教育科学研究区禁养面积为182.1578km</w:t>
      </w:r>
      <w:r>
        <w:rPr>
          <w:rFonts w:hint="eastAsia" w:ascii="宋体" w:hAnsi="宋体" w:eastAsia="宋体" w:cs="宋体"/>
          <w:sz w:val="24"/>
          <w:szCs w:val="24"/>
          <w:vertAlign w:val="super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，国家和地方法律、法规及规范性文件规定的其他禁止养殖区域为35.0242km</w:t>
      </w:r>
      <w:r>
        <w:rPr>
          <w:rFonts w:hint="eastAsia" w:ascii="宋体" w:hAnsi="宋体" w:eastAsia="宋体" w:cs="宋体"/>
          <w:sz w:val="24"/>
          <w:szCs w:val="24"/>
          <w:vertAlign w:val="super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，全市禁养范围面积合计为227.7368km</w:t>
      </w:r>
      <w:r>
        <w:rPr>
          <w:rFonts w:hint="eastAsia" w:ascii="宋体" w:hAnsi="宋体" w:eastAsia="宋体" w:cs="宋体"/>
          <w:sz w:val="24"/>
          <w:szCs w:val="24"/>
          <w:vertAlign w:val="super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（含叠加）。</w:t>
      </w:r>
      <w:r>
        <w:rPr>
          <w:rFonts w:ascii="等线" w:hAnsi="等线" w:eastAsia="等线" w:cs="黑体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1889125</wp:posOffset>
                </wp:positionV>
                <wp:extent cx="915035" cy="495300"/>
                <wp:effectExtent l="7620" t="7620" r="10795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50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630pt;margin-top:148.75pt;height:39pt;width:72.05pt;z-index:251661312;mso-width-relative:page;mso-height-relative:page;" fillcolor="#FFFFFF" filled="t" o:preferrelative="t" stroked="t" coordsize="21600,21600" o:gfxdata="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REQfH3AAAAA0BAAAPAAAAAAAAAAEAIAAAACIAAABkcnMv&#10;ZG93bnJldi54bWxQSwECFAAUAAAACACHTuJA54VPg/8BAAAoBAAADgAAAAAAAAABACAAAAArAQAA&#10;ZHJzL2Uyb0RvYy54bWxQSwUGAAAAAAYABgBZAQAAnAUAAAAA&#10;">
                <v:path/>
                <v:fill on="t" focussize="0,0"/>
                <v:stroke weight="1.25pt" color="#FFFFFF" color2="#FFFFFF" miterlimit="2"/>
                <v:imagedata gain="65536f" blacklevel="0f" gamma="0" o:title=""/>
                <o:lock v:ext="edit" position="f" selection="f" grouping="f" rotation="f" cropping="f" text="f" aspectratio="f"/>
              </v:rect>
            </w:pict>
          </mc:Fallback>
        </mc:AlternateConten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4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_Style 1"/>
    <w:basedOn w:val="1"/>
    <w:qFormat/>
    <w:uiPriority w:val="99"/>
    <w:pPr>
      <w:ind w:firstLine="420" w:firstLineChars="200"/>
    </w:pPr>
    <w:rPr>
      <w:rFonts w:ascii="Calibri" w:hAnsi="Calibri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2021-01-08T01:54:12Z</dcterms:created>
  <dc:creator>Administrator</dc:creator>
  <cp:lastModifiedBy>Administrator</cp:lastModifiedBy>
  <dcterms:modified xsi:type="dcterms:W3CDTF">2021-01-08T01:55:14Z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