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78C5" w:rsidRDefault="003178C5">
      <w:pPr>
        <w:spacing w:line="560" w:lineRule="exact"/>
        <w:rPr>
          <w:rFonts w:ascii="仿宋" w:eastAsia="仿宋" w:hAnsi="仿宋"/>
        </w:rPr>
      </w:pPr>
      <w:bookmarkStart w:id="0" w:name="OLE_LINK1"/>
    </w:p>
    <w:p w:rsidR="003178C5" w:rsidRDefault="006A6E2E">
      <w:pPr>
        <w:spacing w:line="7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关于赫山区2020年预算执行情况和</w:t>
      </w:r>
    </w:p>
    <w:p w:rsidR="003178C5" w:rsidRDefault="006A6E2E">
      <w:pPr>
        <w:spacing w:line="7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2021年预算草案的报告</w:t>
      </w:r>
    </w:p>
    <w:p w:rsidR="003178C5" w:rsidRDefault="006A6E2E">
      <w:pPr>
        <w:spacing w:line="700" w:lineRule="exact"/>
        <w:jc w:val="center"/>
        <w:rPr>
          <w:rFonts w:ascii="楷体" w:eastAsia="楷体" w:hAnsi="楷体"/>
          <w:sz w:val="30"/>
          <w:szCs w:val="30"/>
        </w:rPr>
      </w:pPr>
      <w:r>
        <w:rPr>
          <w:rFonts w:ascii="楷体" w:eastAsia="楷体" w:hAnsi="楷体" w:hint="eastAsia"/>
          <w:sz w:val="30"/>
          <w:szCs w:val="30"/>
        </w:rPr>
        <w:t>——2020年12月30日在赫山区第五届</w:t>
      </w:r>
      <w:r>
        <w:rPr>
          <w:rFonts w:ascii="楷体" w:eastAsia="楷体" w:hAnsi="楷体" w:hint="eastAsia"/>
          <w:color w:val="000000" w:themeColor="text1"/>
          <w:sz w:val="30"/>
          <w:szCs w:val="30"/>
        </w:rPr>
        <w:t>人民代表</w:t>
      </w:r>
      <w:r>
        <w:rPr>
          <w:rFonts w:ascii="楷体" w:eastAsia="楷体" w:hAnsi="楷体" w:hint="eastAsia"/>
          <w:sz w:val="30"/>
          <w:szCs w:val="30"/>
        </w:rPr>
        <w:t>大会第六次会议上</w:t>
      </w:r>
    </w:p>
    <w:p w:rsidR="003178C5" w:rsidRDefault="006A6E2E">
      <w:pPr>
        <w:spacing w:line="700" w:lineRule="exact"/>
        <w:jc w:val="center"/>
        <w:rPr>
          <w:rFonts w:ascii="楷体" w:eastAsia="楷体" w:hAnsi="楷体"/>
        </w:rPr>
      </w:pPr>
      <w:r>
        <w:rPr>
          <w:rFonts w:ascii="楷体" w:eastAsia="楷体" w:hAnsi="楷体" w:hint="eastAsia"/>
        </w:rPr>
        <w:t>赫山区财政局</w:t>
      </w:r>
    </w:p>
    <w:p w:rsidR="003178C5" w:rsidRDefault="003178C5">
      <w:pPr>
        <w:spacing w:line="560" w:lineRule="exact"/>
        <w:rPr>
          <w:rFonts w:ascii="仿宋" w:eastAsia="仿宋" w:hAnsi="仿宋"/>
        </w:rPr>
      </w:pPr>
    </w:p>
    <w:p w:rsidR="003178C5" w:rsidRDefault="006A6E2E">
      <w:pPr>
        <w:spacing w:line="560" w:lineRule="exact"/>
        <w:rPr>
          <w:rFonts w:ascii="仿宋" w:eastAsia="仿宋" w:hAnsi="仿宋"/>
        </w:rPr>
      </w:pPr>
      <w:r>
        <w:rPr>
          <w:rFonts w:ascii="仿宋" w:eastAsia="仿宋" w:hAnsi="仿宋" w:hint="eastAsia"/>
        </w:rPr>
        <w:t>各位代表：</w:t>
      </w:r>
    </w:p>
    <w:p w:rsidR="003178C5" w:rsidRDefault="006A6E2E">
      <w:pPr>
        <w:spacing w:line="560" w:lineRule="exact"/>
        <w:ind w:firstLineChars="200" w:firstLine="640"/>
        <w:rPr>
          <w:rFonts w:ascii="仿宋" w:eastAsia="仿宋" w:hAnsi="仿宋"/>
        </w:rPr>
      </w:pPr>
      <w:r>
        <w:rPr>
          <w:rFonts w:ascii="仿宋" w:eastAsia="仿宋" w:hAnsi="仿宋" w:hint="eastAsia"/>
        </w:rPr>
        <w:t>受区人民政府委托，现将全区2020年预算执行情况和2021年预算草案报告如下，请各位代表审</w:t>
      </w:r>
      <w:r>
        <w:rPr>
          <w:rFonts w:ascii="仿宋" w:eastAsia="仿宋" w:hAnsi="仿宋" w:hint="eastAsia"/>
          <w:color w:val="000000" w:themeColor="text1"/>
        </w:rPr>
        <w:t>查</w:t>
      </w:r>
      <w:r>
        <w:rPr>
          <w:rFonts w:ascii="仿宋" w:eastAsia="仿宋" w:hAnsi="仿宋" w:hint="eastAsia"/>
        </w:rPr>
        <w:t>，并请各位政协委员和列席会议的同志提出意见。</w:t>
      </w:r>
    </w:p>
    <w:p w:rsidR="003178C5" w:rsidRDefault="006A6E2E">
      <w:pPr>
        <w:spacing w:line="560" w:lineRule="exact"/>
        <w:ind w:firstLineChars="200" w:firstLine="640"/>
        <w:rPr>
          <w:rFonts w:ascii="黑体" w:eastAsia="黑体" w:hAnsi="黑体"/>
        </w:rPr>
      </w:pPr>
      <w:r>
        <w:rPr>
          <w:rFonts w:ascii="黑体" w:eastAsia="黑体" w:hAnsi="黑体" w:hint="eastAsia"/>
        </w:rPr>
        <w:t>一、2020年预算执行情况</w:t>
      </w:r>
    </w:p>
    <w:p w:rsidR="003178C5" w:rsidRDefault="006A6E2E">
      <w:pPr>
        <w:spacing w:line="560" w:lineRule="exact"/>
        <w:ind w:firstLineChars="200" w:firstLine="640"/>
        <w:rPr>
          <w:rFonts w:ascii="仿宋" w:eastAsia="仿宋" w:hAnsi="仿宋"/>
        </w:rPr>
      </w:pPr>
      <w:r>
        <w:rPr>
          <w:rFonts w:ascii="仿宋" w:eastAsia="仿宋" w:hAnsi="仿宋" w:hint="eastAsia"/>
        </w:rPr>
        <w:t>一年来，在区委、区政府的坚强领导和区人大、区政协的监督支持下，坚持以习近平新时代中国特色社会主义思想为指导，砥砺前行，开拓奋进，统筹推进疫情防控和经济社会发展，切实做好“六稳”工作，全力落实“六保”</w:t>
      </w:r>
      <w:r>
        <w:rPr>
          <w:rFonts w:asciiTheme="minorEastAsia" w:eastAsiaTheme="minorEastAsia" w:hAnsiTheme="minorEastAsia" w:hint="eastAsia"/>
          <w:position w:val="6"/>
          <w:sz w:val="21"/>
          <w:szCs w:val="21"/>
        </w:rPr>
        <w:t>〔1〕</w:t>
      </w:r>
      <w:r>
        <w:rPr>
          <w:rFonts w:ascii="仿宋" w:eastAsia="仿宋" w:hAnsi="仿宋" w:hint="eastAsia"/>
        </w:rPr>
        <w:t>任务，为全区经济社会平稳健康发展提供了有力保障。</w:t>
      </w:r>
    </w:p>
    <w:p w:rsidR="003178C5" w:rsidRDefault="006A6E2E">
      <w:pPr>
        <w:spacing w:line="560" w:lineRule="exact"/>
        <w:ind w:firstLineChars="200" w:firstLine="643"/>
        <w:rPr>
          <w:rFonts w:ascii="楷体" w:eastAsia="楷体" w:hAnsi="楷体"/>
          <w:b/>
        </w:rPr>
      </w:pPr>
      <w:r>
        <w:rPr>
          <w:rFonts w:ascii="楷体" w:eastAsia="楷体" w:hAnsi="楷体" w:hint="eastAsia"/>
          <w:b/>
        </w:rPr>
        <w:t>（一）一般公共预算执行情况</w:t>
      </w:r>
      <w:r>
        <w:rPr>
          <w:rFonts w:asciiTheme="minorEastAsia" w:eastAsiaTheme="minorEastAsia" w:hAnsiTheme="minorEastAsia" w:hint="eastAsia"/>
          <w:b/>
          <w:position w:val="6"/>
          <w:sz w:val="21"/>
          <w:szCs w:val="21"/>
        </w:rPr>
        <w:t>〔2〕</w:t>
      </w:r>
    </w:p>
    <w:p w:rsidR="003178C5" w:rsidRDefault="006A6E2E">
      <w:pPr>
        <w:spacing w:line="560" w:lineRule="exact"/>
        <w:ind w:firstLineChars="200" w:firstLine="643"/>
        <w:rPr>
          <w:rFonts w:ascii="仿宋" w:eastAsia="仿宋" w:hAnsi="仿宋"/>
        </w:rPr>
      </w:pPr>
      <w:r>
        <w:rPr>
          <w:rFonts w:ascii="仿宋" w:eastAsia="仿宋" w:hAnsi="仿宋" w:hint="eastAsia"/>
          <w:b/>
        </w:rPr>
        <w:t>1</w:t>
      </w:r>
      <w:r>
        <w:rPr>
          <w:rFonts w:ascii="仿宋" w:eastAsia="仿宋" w:hAnsi="仿宋"/>
          <w:b/>
        </w:rPr>
        <w:t>.</w:t>
      </w:r>
      <w:r>
        <w:rPr>
          <w:rFonts w:ascii="仿宋" w:eastAsia="仿宋" w:hAnsi="仿宋" w:hint="eastAsia"/>
          <w:b/>
        </w:rPr>
        <w:t>收入质量显著提升</w:t>
      </w:r>
      <w:r>
        <w:rPr>
          <w:rFonts w:ascii="仿宋" w:eastAsia="仿宋" w:hAnsi="仿宋" w:hint="eastAsia"/>
        </w:rPr>
        <w:t>。区本级地方财政收入完成（预计，下同）127005万元，为调整预算的100.98%，较上年实际完成收入增长3%（区五届人大五次会议批准的区本级地方财政收入为129305万元）。其中，税收收入完成99043万元，</w:t>
      </w:r>
      <w:r>
        <w:rPr>
          <w:rFonts w:ascii="仿宋" w:eastAsia="仿宋" w:hAnsi="仿宋" w:hint="eastAsia"/>
          <w:color w:val="000000" w:themeColor="text1"/>
        </w:rPr>
        <w:t>税收收入比</w:t>
      </w:r>
      <w:r>
        <w:rPr>
          <w:rFonts w:ascii="仿宋" w:eastAsia="仿宋" w:hAnsi="仿宋" w:hint="eastAsia"/>
          <w:color w:val="000000" w:themeColor="text1"/>
        </w:rPr>
        <w:lastRenderedPageBreak/>
        <w:t>重为77.98%，比上年提升了0.73个百分点</w:t>
      </w:r>
      <w:r>
        <w:rPr>
          <w:rFonts w:ascii="仿宋" w:eastAsia="仿宋" w:hAnsi="仿宋" w:hint="eastAsia"/>
        </w:rPr>
        <w:t>，非税收入完成27962万元，非税收入占地方财政收入的22.02%，收入质量明显改善。</w:t>
      </w:r>
    </w:p>
    <w:p w:rsidR="003178C5" w:rsidRDefault="006A6E2E">
      <w:pPr>
        <w:spacing w:line="560" w:lineRule="exact"/>
        <w:ind w:firstLineChars="200" w:firstLine="640"/>
        <w:rPr>
          <w:rFonts w:ascii="仿宋" w:eastAsia="仿宋" w:hAnsi="仿宋"/>
        </w:rPr>
      </w:pPr>
      <w:r>
        <w:rPr>
          <w:rFonts w:ascii="仿宋" w:eastAsia="仿宋" w:hAnsi="仿宋"/>
          <w:noProof/>
        </w:rPr>
        <w:drawing>
          <wp:anchor distT="0" distB="0" distL="114300" distR="114300" simplePos="0" relativeHeight="251658240" behindDoc="0" locked="0" layoutInCell="1" allowOverlap="1">
            <wp:simplePos x="0" y="0"/>
            <wp:positionH relativeFrom="column">
              <wp:posOffset>95207</wp:posOffset>
            </wp:positionH>
            <wp:positionV relativeFrom="paragraph">
              <wp:posOffset>163742</wp:posOffset>
            </wp:positionV>
            <wp:extent cx="5665076" cy="2995449"/>
            <wp:effectExtent l="0" t="0" r="0" b="190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3178C5" w:rsidRDefault="003178C5">
      <w:pPr>
        <w:spacing w:line="560" w:lineRule="exact"/>
        <w:ind w:firstLineChars="200" w:firstLine="640"/>
        <w:rPr>
          <w:rFonts w:ascii="仿宋" w:eastAsia="仿宋" w:hAnsi="仿宋"/>
        </w:rPr>
      </w:pPr>
    </w:p>
    <w:p w:rsidR="003178C5" w:rsidRDefault="003178C5">
      <w:pPr>
        <w:spacing w:line="560" w:lineRule="exact"/>
        <w:ind w:firstLineChars="200" w:firstLine="640"/>
        <w:rPr>
          <w:rFonts w:ascii="仿宋" w:eastAsia="仿宋" w:hAnsi="仿宋"/>
        </w:rPr>
      </w:pPr>
    </w:p>
    <w:p w:rsidR="003178C5" w:rsidRDefault="003178C5">
      <w:pPr>
        <w:spacing w:line="560" w:lineRule="exact"/>
        <w:ind w:firstLineChars="200" w:firstLine="640"/>
        <w:rPr>
          <w:rFonts w:ascii="仿宋" w:eastAsia="仿宋" w:hAnsi="仿宋"/>
        </w:rPr>
      </w:pPr>
    </w:p>
    <w:p w:rsidR="003178C5" w:rsidRDefault="003178C5">
      <w:pPr>
        <w:spacing w:line="560" w:lineRule="exact"/>
        <w:ind w:firstLineChars="200" w:firstLine="640"/>
        <w:rPr>
          <w:rFonts w:ascii="仿宋" w:eastAsia="仿宋" w:hAnsi="仿宋"/>
        </w:rPr>
      </w:pPr>
    </w:p>
    <w:p w:rsidR="003178C5" w:rsidRDefault="003178C5">
      <w:pPr>
        <w:spacing w:line="560" w:lineRule="exact"/>
        <w:ind w:firstLineChars="200" w:firstLine="640"/>
        <w:rPr>
          <w:rFonts w:ascii="仿宋" w:eastAsia="仿宋" w:hAnsi="仿宋"/>
        </w:rPr>
      </w:pPr>
    </w:p>
    <w:p w:rsidR="003178C5" w:rsidRDefault="003178C5">
      <w:pPr>
        <w:spacing w:line="560" w:lineRule="exact"/>
        <w:ind w:firstLineChars="200" w:firstLine="640"/>
        <w:rPr>
          <w:rFonts w:ascii="仿宋" w:eastAsia="仿宋" w:hAnsi="仿宋"/>
        </w:rPr>
      </w:pPr>
    </w:p>
    <w:p w:rsidR="003178C5" w:rsidRDefault="003178C5">
      <w:pPr>
        <w:widowControl/>
        <w:jc w:val="left"/>
        <w:rPr>
          <w:rFonts w:ascii="仿宋" w:eastAsia="仿宋" w:hAnsi="仿宋"/>
        </w:rPr>
      </w:pPr>
    </w:p>
    <w:p w:rsidR="003178C5" w:rsidRDefault="003178C5">
      <w:pPr>
        <w:widowControl/>
        <w:jc w:val="left"/>
        <w:rPr>
          <w:rFonts w:ascii="仿宋" w:eastAsia="仿宋" w:hAnsi="仿宋"/>
        </w:rPr>
      </w:pPr>
    </w:p>
    <w:p w:rsidR="003178C5" w:rsidRDefault="006A6E2E">
      <w:pPr>
        <w:widowControl/>
        <w:ind w:firstLineChars="200" w:firstLine="643"/>
        <w:jc w:val="left"/>
        <w:rPr>
          <w:rFonts w:ascii="仿宋" w:eastAsia="仿宋" w:hAnsi="仿宋"/>
        </w:rPr>
      </w:pPr>
      <w:r>
        <w:rPr>
          <w:rFonts w:ascii="仿宋" w:eastAsia="仿宋" w:hAnsi="仿宋" w:hint="eastAsia"/>
          <w:b/>
        </w:rPr>
        <w:t>2</w:t>
      </w:r>
      <w:r>
        <w:rPr>
          <w:rFonts w:ascii="仿宋" w:eastAsia="仿宋" w:hAnsi="仿宋"/>
          <w:b/>
        </w:rPr>
        <w:t>.</w:t>
      </w:r>
      <w:r>
        <w:rPr>
          <w:rFonts w:ascii="仿宋" w:eastAsia="仿宋" w:hAnsi="仿宋" w:hint="eastAsia"/>
          <w:b/>
        </w:rPr>
        <w:t>支出结构持续优化</w:t>
      </w:r>
      <w:r>
        <w:rPr>
          <w:rFonts w:ascii="仿宋" w:eastAsia="仿宋" w:hAnsi="仿宋" w:hint="eastAsia"/>
        </w:rPr>
        <w:t>。全年完成一般公共预算支出540356万元，所有支出均严格按照区五届人大常委会第35次会议批准的调整预算执行。比上年增加9554万元，增长1.8%，其中民生支出378249万元，占一般公共预算支出的比重为70%。教育、社会保障和就业、卫生健康支出分别占一般公共预算支出的19.84%、17.66%、13.41%。</w:t>
      </w:r>
    </w:p>
    <w:p w:rsidR="003178C5" w:rsidRDefault="006A6E2E">
      <w:pPr>
        <w:spacing w:line="560" w:lineRule="exact"/>
        <w:ind w:firstLineChars="500" w:firstLine="1606"/>
        <w:rPr>
          <w:rFonts w:asciiTheme="minorEastAsia" w:eastAsiaTheme="minorEastAsia" w:hAnsiTheme="minorEastAsia"/>
          <w:b/>
        </w:rPr>
      </w:pPr>
      <w:r>
        <w:rPr>
          <w:rFonts w:asciiTheme="minorEastAsia" w:eastAsiaTheme="minorEastAsia" w:hAnsiTheme="minorEastAsia"/>
          <w:b/>
          <w:noProof/>
          <w:color w:val="FF0000"/>
          <w:u w:val="single"/>
        </w:rPr>
        <w:lastRenderedPageBreak/>
        <w:drawing>
          <wp:anchor distT="0" distB="0" distL="114300" distR="114300" simplePos="0" relativeHeight="251660288" behindDoc="0" locked="0" layoutInCell="1" allowOverlap="1">
            <wp:simplePos x="0" y="0"/>
            <wp:positionH relativeFrom="column">
              <wp:posOffset>-455930</wp:posOffset>
            </wp:positionH>
            <wp:positionV relativeFrom="paragraph">
              <wp:posOffset>477520</wp:posOffset>
            </wp:positionV>
            <wp:extent cx="6124575" cy="4124325"/>
            <wp:effectExtent l="0" t="0" r="0" b="317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heme="minorEastAsia" w:eastAsiaTheme="minorEastAsia" w:hAnsiTheme="minorEastAsia" w:hint="eastAsia"/>
          <w:b/>
        </w:rPr>
        <w:t>2020年区本级支出执行情况（万元）</w:t>
      </w:r>
    </w:p>
    <w:p w:rsidR="003178C5" w:rsidRDefault="003178C5">
      <w:pPr>
        <w:spacing w:line="240" w:lineRule="exact"/>
        <w:ind w:firstLineChars="200" w:firstLine="643"/>
        <w:rPr>
          <w:rFonts w:ascii="仿宋" w:eastAsia="仿宋" w:hAnsi="仿宋"/>
          <w:b/>
        </w:rPr>
      </w:pPr>
    </w:p>
    <w:p w:rsidR="003178C5" w:rsidRDefault="006A6E2E">
      <w:pPr>
        <w:spacing w:line="560" w:lineRule="exact"/>
        <w:ind w:firstLineChars="200" w:firstLine="643"/>
        <w:rPr>
          <w:rFonts w:ascii="仿宋" w:eastAsia="仿宋" w:hAnsi="仿宋"/>
          <w:u w:val="single"/>
        </w:rPr>
      </w:pPr>
      <w:r>
        <w:rPr>
          <w:rFonts w:ascii="仿宋" w:eastAsia="仿宋" w:hAnsi="仿宋" w:hint="eastAsia"/>
          <w:b/>
        </w:rPr>
        <w:t>3</w:t>
      </w:r>
      <w:r>
        <w:rPr>
          <w:rFonts w:ascii="仿宋" w:eastAsia="仿宋" w:hAnsi="仿宋"/>
          <w:b/>
        </w:rPr>
        <w:t>.</w:t>
      </w:r>
      <w:r>
        <w:rPr>
          <w:rFonts w:ascii="仿宋" w:eastAsia="仿宋" w:hAnsi="仿宋" w:hint="eastAsia"/>
          <w:b/>
        </w:rPr>
        <w:t>收支预算实现平衡</w:t>
      </w:r>
      <w:r>
        <w:rPr>
          <w:rFonts w:ascii="仿宋" w:eastAsia="仿宋" w:hAnsi="仿宋" w:hint="eastAsia"/>
        </w:rPr>
        <w:t>。全年纳入预算平衡收入为</w:t>
      </w:r>
      <w:r>
        <w:rPr>
          <w:rFonts w:ascii="仿宋" w:eastAsia="仿宋" w:hAnsi="仿宋"/>
        </w:rPr>
        <w:t>594689</w:t>
      </w:r>
      <w:r>
        <w:rPr>
          <w:rFonts w:ascii="仿宋" w:eastAsia="仿宋" w:hAnsi="仿宋" w:hint="eastAsia"/>
        </w:rPr>
        <w:t>万元，其中区本级地方财政收入127005万元，上级补助收入</w:t>
      </w:r>
      <w:r>
        <w:rPr>
          <w:rFonts w:ascii="仿宋" w:eastAsia="仿宋" w:hAnsi="仿宋"/>
        </w:rPr>
        <w:t>408658</w:t>
      </w:r>
      <w:r>
        <w:rPr>
          <w:rFonts w:ascii="仿宋" w:eastAsia="仿宋" w:hAnsi="仿宋" w:hint="eastAsia"/>
        </w:rPr>
        <w:t>万元，调入资金14976万元，地方政府一般债券资金32849万元，上年结转收</w:t>
      </w:r>
      <w:r>
        <w:rPr>
          <w:rFonts w:ascii="仿宋" w:eastAsia="仿宋" w:hAnsi="仿宋" w:hint="eastAsia"/>
          <w:color w:val="000000" w:themeColor="text1"/>
        </w:rPr>
        <w:t>入11201</w:t>
      </w:r>
      <w:r>
        <w:rPr>
          <w:rFonts w:ascii="仿宋" w:eastAsia="仿宋" w:hAnsi="仿宋" w:hint="eastAsia"/>
        </w:rPr>
        <w:t>万元；纳入预算平衡的支出为</w:t>
      </w:r>
      <w:r>
        <w:rPr>
          <w:rFonts w:ascii="仿宋" w:eastAsia="仿宋" w:hAnsi="仿宋"/>
        </w:rPr>
        <w:t>594689</w:t>
      </w:r>
      <w:r>
        <w:rPr>
          <w:rFonts w:ascii="仿宋" w:eastAsia="仿宋" w:hAnsi="仿宋" w:hint="eastAsia"/>
        </w:rPr>
        <w:t>万元，其中区本级地方财政支出540356万元，上解支出34184万元，地方政府债券还本支出20149万元。</w:t>
      </w:r>
    </w:p>
    <w:p w:rsidR="003178C5" w:rsidRDefault="006A6E2E">
      <w:pPr>
        <w:tabs>
          <w:tab w:val="left" w:pos="6945"/>
        </w:tabs>
        <w:spacing w:line="560" w:lineRule="exact"/>
        <w:ind w:firstLineChars="200" w:firstLine="643"/>
        <w:rPr>
          <w:rFonts w:ascii="楷体" w:eastAsia="楷体" w:hAnsi="楷体"/>
          <w:b/>
        </w:rPr>
      </w:pPr>
      <w:r>
        <w:rPr>
          <w:rFonts w:ascii="楷体" w:eastAsia="楷体" w:hAnsi="楷体" w:hint="eastAsia"/>
          <w:b/>
        </w:rPr>
        <w:t>（二）政府性基金预算执行情况</w:t>
      </w:r>
      <w:r>
        <w:rPr>
          <w:rFonts w:asciiTheme="minorEastAsia" w:eastAsiaTheme="minorEastAsia" w:hAnsiTheme="minorEastAsia" w:hint="eastAsia"/>
          <w:b/>
          <w:position w:val="6"/>
          <w:sz w:val="21"/>
          <w:szCs w:val="21"/>
        </w:rPr>
        <w:t>〔3〕</w:t>
      </w:r>
      <w:r>
        <w:rPr>
          <w:rFonts w:asciiTheme="minorEastAsia" w:eastAsiaTheme="minorEastAsia" w:hAnsiTheme="minorEastAsia"/>
          <w:b/>
          <w:position w:val="6"/>
          <w:sz w:val="21"/>
          <w:szCs w:val="21"/>
        </w:rPr>
        <w:tab/>
      </w:r>
    </w:p>
    <w:p w:rsidR="003178C5" w:rsidRDefault="006A6E2E">
      <w:pPr>
        <w:spacing w:line="560" w:lineRule="exact"/>
        <w:ind w:firstLineChars="200" w:firstLine="640"/>
        <w:rPr>
          <w:rFonts w:ascii="仿宋" w:eastAsia="仿宋" w:hAnsi="仿宋"/>
        </w:rPr>
      </w:pPr>
      <w:r>
        <w:rPr>
          <w:rFonts w:ascii="仿宋" w:eastAsia="仿宋" w:hAnsi="仿宋" w:hint="eastAsia"/>
        </w:rPr>
        <w:t>收入预算72060万元，实际完成187236万元，</w:t>
      </w:r>
      <w:r>
        <w:rPr>
          <w:rFonts w:ascii="仿宋" w:eastAsia="仿宋" w:hAnsi="仿宋" w:hint="eastAsia"/>
          <w:color w:val="000000" w:themeColor="text1"/>
        </w:rPr>
        <w:t>其中区本级收入100476万元(全部为土地出让收入)，上级补助2060万元，</w:t>
      </w:r>
      <w:r>
        <w:rPr>
          <w:rFonts w:ascii="仿宋" w:eastAsia="仿宋" w:hAnsi="仿宋" w:hint="eastAsia"/>
          <w:color w:val="000000" w:themeColor="text1"/>
        </w:rPr>
        <w:lastRenderedPageBreak/>
        <w:t>抗疫特别国债收入9800万元，地方政府转贷专项债券收入74900万元，</w:t>
      </w:r>
      <w:r>
        <w:rPr>
          <w:rFonts w:ascii="仿宋" w:eastAsia="仿宋" w:hAnsi="仿宋" w:hint="eastAsia"/>
        </w:rPr>
        <w:t>支出预算72060万元，实际完成181260万元（其中：抗疫特别国债中用于支持三医院南院区建设8500万元，用于支持全区各乡镇街道园区新冠肺炎疫情防控1300万元。专项债券项目支出74900万元〔含高铁新城建设20000万元〕，专项债券付息3588万元）。从土地出让收入中计提安排偿债准备金500万元。调出一般预算资金5476万元。</w:t>
      </w:r>
    </w:p>
    <w:p w:rsidR="003178C5" w:rsidRDefault="006A6E2E">
      <w:pPr>
        <w:spacing w:line="560" w:lineRule="exact"/>
        <w:ind w:firstLineChars="200" w:firstLine="643"/>
        <w:rPr>
          <w:rFonts w:ascii="楷体" w:eastAsia="楷体" w:hAnsi="楷体"/>
          <w:b/>
        </w:rPr>
      </w:pPr>
      <w:r>
        <w:rPr>
          <w:rFonts w:ascii="楷体" w:eastAsia="楷体" w:hAnsi="楷体" w:hint="eastAsia"/>
          <w:b/>
        </w:rPr>
        <w:t>（三）社会保险基金预算执行情况</w:t>
      </w:r>
      <w:r>
        <w:rPr>
          <w:rFonts w:asciiTheme="minorEastAsia" w:eastAsiaTheme="minorEastAsia" w:hAnsiTheme="minorEastAsia" w:hint="eastAsia"/>
          <w:b/>
          <w:position w:val="6"/>
          <w:sz w:val="21"/>
          <w:szCs w:val="21"/>
        </w:rPr>
        <w:t>〔4〕</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收入预算为252071万元，实际完成297418万元；支出预算为242750万元，实际完成302728万元。</w:t>
      </w:r>
    </w:p>
    <w:p w:rsidR="003178C5" w:rsidRDefault="006A6E2E">
      <w:pPr>
        <w:spacing w:line="560" w:lineRule="exact"/>
        <w:ind w:firstLineChars="200" w:firstLine="643"/>
        <w:rPr>
          <w:rFonts w:ascii="楷体" w:eastAsia="楷体" w:hAnsi="楷体"/>
          <w:b/>
        </w:rPr>
      </w:pPr>
      <w:r>
        <w:rPr>
          <w:rFonts w:ascii="楷体" w:eastAsia="楷体" w:hAnsi="楷体" w:hint="eastAsia"/>
          <w:b/>
        </w:rPr>
        <w:t>（四）对区五届人大五次会议有关决议落实情况说明</w:t>
      </w:r>
    </w:p>
    <w:p w:rsidR="003178C5" w:rsidRDefault="006A6E2E">
      <w:pPr>
        <w:spacing w:line="560" w:lineRule="exact"/>
        <w:ind w:firstLineChars="200" w:firstLine="643"/>
        <w:rPr>
          <w:rFonts w:ascii="仿宋" w:eastAsia="仿宋" w:hAnsi="仿宋"/>
        </w:rPr>
      </w:pPr>
      <w:r>
        <w:rPr>
          <w:rFonts w:ascii="仿宋" w:eastAsia="仿宋" w:hAnsi="仿宋" w:hint="eastAsia"/>
          <w:b/>
        </w:rPr>
        <w:t>1.关于加大财政保障力度，继续深化“放管服”改革</w:t>
      </w:r>
      <w:r>
        <w:rPr>
          <w:rFonts w:ascii="仿宋" w:eastAsia="仿宋" w:hAnsi="仿宋" w:hint="eastAsia"/>
        </w:rPr>
        <w:t>。区级财政加大了单位运行经费保障力度，全年安排“放管服”改革及单位运行补助2010万元，对交通、公路、水利、卫健等单位进行适当补助，缓解了单位运行压力。</w:t>
      </w:r>
    </w:p>
    <w:p w:rsidR="003178C5" w:rsidRDefault="006A6E2E">
      <w:pPr>
        <w:spacing w:line="560" w:lineRule="exact"/>
        <w:ind w:firstLineChars="200" w:firstLine="643"/>
        <w:rPr>
          <w:rFonts w:ascii="仿宋" w:eastAsia="仿宋" w:hAnsi="仿宋"/>
        </w:rPr>
      </w:pPr>
      <w:r>
        <w:rPr>
          <w:rFonts w:ascii="仿宋" w:eastAsia="仿宋" w:hAnsi="仿宋" w:hint="eastAsia"/>
          <w:b/>
        </w:rPr>
        <w:t>2.关于狠抓挖潜增收，确保财政收入质量</w:t>
      </w:r>
      <w:r>
        <w:rPr>
          <w:rFonts w:ascii="仿宋" w:eastAsia="仿宋" w:hAnsi="仿宋" w:hint="eastAsia"/>
        </w:rPr>
        <w:t>。在全面落实上级优惠政策落地的同时，征管部门切实做到“税源监控不放松、税收分析不放松、风险防控不放松、征管力度不放松”。全年收入比上年增长3%，</w:t>
      </w:r>
      <w:r>
        <w:rPr>
          <w:rFonts w:ascii="仿宋" w:eastAsia="仿宋" w:hAnsi="仿宋" w:hint="eastAsia"/>
          <w:color w:val="000000" w:themeColor="text1"/>
        </w:rPr>
        <w:t>非税收入比重比上年下降0.73%，</w:t>
      </w:r>
      <w:r>
        <w:rPr>
          <w:rFonts w:ascii="仿宋" w:eastAsia="仿宋" w:hAnsi="仿宋" w:hint="eastAsia"/>
        </w:rPr>
        <w:t>实现了量质齐升。</w:t>
      </w:r>
    </w:p>
    <w:p w:rsidR="003178C5" w:rsidRDefault="006A6E2E">
      <w:pPr>
        <w:spacing w:line="560" w:lineRule="exact"/>
        <w:ind w:firstLineChars="200" w:firstLine="643"/>
        <w:rPr>
          <w:rFonts w:ascii="仿宋" w:eastAsia="仿宋" w:hAnsi="仿宋"/>
        </w:rPr>
      </w:pPr>
      <w:r>
        <w:rPr>
          <w:rFonts w:ascii="仿宋" w:eastAsia="仿宋" w:hAnsi="仿宋" w:hint="eastAsia"/>
          <w:b/>
        </w:rPr>
        <w:t>3.关于强化预算管理，严格预算约束</w:t>
      </w:r>
      <w:r>
        <w:rPr>
          <w:rFonts w:ascii="仿宋" w:eastAsia="仿宋" w:hAnsi="仿宋" w:hint="eastAsia"/>
        </w:rPr>
        <w:t>。在编制预算草案时，同步编制“三保”</w:t>
      </w:r>
      <w:r>
        <w:rPr>
          <w:rFonts w:asciiTheme="minorEastAsia" w:eastAsiaTheme="minorEastAsia" w:hAnsiTheme="minorEastAsia" w:hint="eastAsia"/>
          <w:position w:val="6"/>
          <w:sz w:val="21"/>
          <w:szCs w:val="21"/>
        </w:rPr>
        <w:t>〔5〕</w:t>
      </w:r>
      <w:r>
        <w:rPr>
          <w:rFonts w:ascii="仿宋" w:eastAsia="仿宋" w:hAnsi="仿宋" w:hint="eastAsia"/>
        </w:rPr>
        <w:t>预算，从源头保障了工资及基本民生等支</w:t>
      </w:r>
      <w:r>
        <w:rPr>
          <w:rFonts w:ascii="仿宋" w:eastAsia="仿宋" w:hAnsi="仿宋" w:hint="eastAsia"/>
        </w:rPr>
        <w:lastRenderedPageBreak/>
        <w:t>出。全年盘活财政存量资金9500万元，用于安排各项急需支出。将年度新增刚性支出纳入调整预算，增强预算执行约束力。</w:t>
      </w:r>
      <w:r>
        <w:rPr>
          <w:rFonts w:ascii="仿宋" w:eastAsia="仿宋" w:hAnsi="仿宋" w:hint="eastAsia"/>
          <w:color w:val="000000" w:themeColor="text1"/>
        </w:rPr>
        <w:t>国库暂存款清理取得了一定的成效，收回金额达16000万元以上，并获得了省财政厅奖励。</w:t>
      </w:r>
      <w:r>
        <w:rPr>
          <w:rFonts w:ascii="仿宋" w:eastAsia="仿宋" w:hAnsi="仿宋" w:hint="eastAsia"/>
        </w:rPr>
        <w:t>进一步加强了国有资产管理，向区人大常委会报告了全区国有资产管理情况。继续实行绩效评价全面自评，扩大财政绩效评价面，有效利用绩效评价成果。</w:t>
      </w:r>
    </w:p>
    <w:p w:rsidR="003178C5" w:rsidRDefault="006A6E2E">
      <w:pPr>
        <w:spacing w:line="560" w:lineRule="exact"/>
        <w:ind w:firstLineChars="200" w:firstLine="643"/>
        <w:rPr>
          <w:rFonts w:ascii="仿宋" w:eastAsia="仿宋" w:hAnsi="仿宋"/>
        </w:rPr>
      </w:pPr>
      <w:r>
        <w:rPr>
          <w:rFonts w:ascii="仿宋" w:eastAsia="仿宋" w:hAnsi="仿宋" w:hint="eastAsia"/>
          <w:b/>
        </w:rPr>
        <w:t>4.关于严格债务管理，积极防范化解风险</w:t>
      </w:r>
      <w:r>
        <w:rPr>
          <w:rFonts w:ascii="仿宋" w:eastAsia="仿宋" w:hAnsi="仿宋" w:hint="eastAsia"/>
        </w:rPr>
        <w:t>。按照 “开前门、堵后门”的思路，统筹做好地方政府债券发行使用和风险防控工作。严格落实将地方政府债务纳入预算管理的相关规定和要求，主动接受人大监督。</w:t>
      </w:r>
    </w:p>
    <w:p w:rsidR="003178C5" w:rsidRDefault="006A6E2E">
      <w:pPr>
        <w:spacing w:line="560" w:lineRule="exact"/>
        <w:ind w:firstLineChars="200" w:firstLine="643"/>
        <w:rPr>
          <w:rFonts w:ascii="楷体" w:eastAsia="楷体" w:hAnsi="楷体"/>
          <w:b/>
        </w:rPr>
      </w:pPr>
      <w:r>
        <w:rPr>
          <w:rFonts w:ascii="楷体" w:eastAsia="楷体" w:hAnsi="楷体" w:hint="eastAsia"/>
          <w:b/>
        </w:rPr>
        <w:t>（五）区本级政府债务情况</w:t>
      </w:r>
    </w:p>
    <w:p w:rsidR="003178C5" w:rsidRDefault="006A6E2E">
      <w:pPr>
        <w:spacing w:line="560" w:lineRule="exact"/>
        <w:ind w:firstLineChars="200" w:firstLine="640"/>
        <w:rPr>
          <w:rFonts w:ascii="仿宋" w:eastAsia="仿宋" w:hAnsi="仿宋"/>
        </w:rPr>
      </w:pPr>
      <w:r>
        <w:rPr>
          <w:rFonts w:ascii="仿宋" w:eastAsia="仿宋" w:hAnsi="仿宋" w:hint="eastAsia"/>
        </w:rPr>
        <w:t>2020年末，赫山区政府性债务余额为35.47亿元，其中政府债务34.1亿元（一般债务16.3亿元，专项债务17.8亿元）、政府或有债务1.37亿元（政府负有担保责任债务0.63亿元，政府负有救助责任的债务0.74亿元）。</w:t>
      </w:r>
    </w:p>
    <w:p w:rsidR="003178C5" w:rsidRDefault="006A6E2E">
      <w:pPr>
        <w:spacing w:line="560" w:lineRule="exact"/>
        <w:ind w:firstLineChars="200" w:firstLine="643"/>
        <w:rPr>
          <w:rFonts w:ascii="楷体" w:eastAsia="楷体" w:hAnsi="楷体"/>
          <w:b/>
        </w:rPr>
      </w:pPr>
      <w:r>
        <w:rPr>
          <w:rFonts w:ascii="楷体" w:eastAsia="楷体" w:hAnsi="楷体" w:hint="eastAsia"/>
          <w:b/>
        </w:rPr>
        <w:t>（六）主要工作开展情况</w:t>
      </w:r>
    </w:p>
    <w:p w:rsidR="003178C5" w:rsidRDefault="006A6E2E">
      <w:pPr>
        <w:spacing w:line="560" w:lineRule="exact"/>
        <w:ind w:firstLineChars="200" w:firstLine="643"/>
        <w:rPr>
          <w:rFonts w:ascii="仿宋" w:eastAsia="仿宋" w:hAnsi="仿宋"/>
        </w:rPr>
      </w:pPr>
      <w:r>
        <w:rPr>
          <w:rFonts w:ascii="仿宋" w:eastAsia="仿宋" w:hAnsi="仿宋" w:hint="eastAsia"/>
          <w:b/>
        </w:rPr>
        <w:t>1</w:t>
      </w:r>
      <w:r>
        <w:rPr>
          <w:rFonts w:ascii="仿宋" w:eastAsia="仿宋" w:hAnsi="仿宋"/>
          <w:b/>
        </w:rPr>
        <w:t>.</w:t>
      </w:r>
      <w:r>
        <w:rPr>
          <w:rFonts w:ascii="仿宋" w:eastAsia="仿宋" w:hAnsi="仿宋" w:hint="eastAsia"/>
          <w:b/>
        </w:rPr>
        <w:t>支持打好打赢决胜全面小康“三大攻坚战”</w:t>
      </w:r>
      <w:r>
        <w:rPr>
          <w:rFonts w:asciiTheme="minorEastAsia" w:eastAsiaTheme="minorEastAsia" w:hAnsiTheme="minorEastAsia" w:hint="eastAsia"/>
          <w:position w:val="6"/>
          <w:sz w:val="21"/>
          <w:szCs w:val="21"/>
        </w:rPr>
        <w:t>〔6〕</w:t>
      </w:r>
      <w:r>
        <w:rPr>
          <w:rFonts w:ascii="仿宋" w:eastAsia="仿宋" w:hAnsi="仿宋" w:hint="eastAsia"/>
        </w:rPr>
        <w:t>。</w:t>
      </w:r>
    </w:p>
    <w:p w:rsidR="003178C5" w:rsidRDefault="006A6E2E">
      <w:pPr>
        <w:spacing w:line="560" w:lineRule="exact"/>
        <w:ind w:firstLineChars="200" w:firstLine="640"/>
        <w:rPr>
          <w:rFonts w:ascii="仿宋" w:eastAsia="仿宋" w:hAnsi="仿宋"/>
        </w:rPr>
      </w:pPr>
      <w:r>
        <w:rPr>
          <w:rFonts w:ascii="仿宋" w:eastAsia="仿宋" w:hAnsi="仿宋" w:hint="eastAsia"/>
        </w:rPr>
        <w:t>支持打赢脱贫攻坚战。大力推进产业扶贫，累计向4129户贫困户发放扶贫小额贷款，完成财政贴息717.63万元。全面落实健康扶贫“三个一批”</w:t>
      </w:r>
      <w:r>
        <w:rPr>
          <w:rFonts w:asciiTheme="minorEastAsia" w:eastAsiaTheme="minorEastAsia" w:hAnsiTheme="minorEastAsia" w:hint="eastAsia"/>
          <w:position w:val="6"/>
          <w:sz w:val="21"/>
          <w:szCs w:val="21"/>
        </w:rPr>
        <w:t>〔7〕</w:t>
      </w:r>
      <w:r>
        <w:rPr>
          <w:rFonts w:ascii="仿宋" w:eastAsia="仿宋" w:hAnsi="仿宋" w:hint="eastAsia"/>
        </w:rPr>
        <w:t>“先诊疗后付费”“一站式”服务，累计报销医疗费用16108万元，受惠贫困户32000人次，其中，财政兜底支付1165万元。推进教育扶贫，发放助学金3158.56</w:t>
      </w:r>
      <w:r>
        <w:rPr>
          <w:rFonts w:ascii="仿宋" w:eastAsia="仿宋" w:hAnsi="仿宋" w:hint="eastAsia"/>
        </w:rPr>
        <w:lastRenderedPageBreak/>
        <w:t>万元，并对36所中心学校进行提质改造；启动“雨露计划”</w:t>
      </w:r>
      <w:r>
        <w:rPr>
          <w:rFonts w:asciiTheme="minorEastAsia" w:eastAsiaTheme="minorEastAsia" w:hAnsiTheme="minorEastAsia" w:hint="eastAsia"/>
          <w:position w:val="6"/>
          <w:sz w:val="21"/>
          <w:szCs w:val="21"/>
        </w:rPr>
        <w:t>〔8〕</w:t>
      </w:r>
      <w:r>
        <w:rPr>
          <w:rFonts w:ascii="仿宋" w:eastAsia="仿宋" w:hAnsi="仿宋" w:hint="eastAsia"/>
        </w:rPr>
        <w:t>，累计向1228名贫困学子发放补助307.50万元，全区无一人因贫辍学。落实兜底保障，</w:t>
      </w:r>
      <w:r>
        <w:rPr>
          <w:rFonts w:ascii="仿宋" w:eastAsia="仿宋" w:hAnsi="仿宋" w:hint="eastAsia"/>
          <w:color w:val="000000" w:themeColor="text1"/>
        </w:rPr>
        <w:t>发放特困供养资金3538万元，发放医疗救助、急难救助、临时救助资金3269万元。</w:t>
      </w:r>
      <w:r>
        <w:rPr>
          <w:rFonts w:ascii="仿宋" w:eastAsia="仿宋" w:hAnsi="仿宋" w:hint="eastAsia"/>
        </w:rPr>
        <w:t>加强贫困村提升工程，投资654万疏浚沟渠38条、整修塘坝64口、处险加固水库1座。</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支持打好防范化解重大风险攻坚战。按照中央及省市统一部署，开展债务风险常态化监测预警；严格规范平台公司融资行为，守住隐性债务不增长、“三保”资金不断链、借新还息不发生的底线；开好举债前门，新增政府债券资金8.77亿元。</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支持打好污染防治攻坚战。拨付土壤污染治理专项资金2700万元，石煤矿山及受污染耕地得到有效整治。安排资金3500万元用于农村人居环境治理，农村环境卫生面貌持续改善。拨付水污染防治专项资金7720万元，兰溪河、撇洪新河流域水环境得到极大改善；加强志溪河流域生态保护，与桃江签订为期三年的《志溪河横向流域生态保护协议》，拨付流域生态保护资金250万，志溪河及资江沿岸乡镇的水污染得到有效防控。安排资金1173万元用于大气污染防治，城乡空气质量显著提升。</w:t>
      </w:r>
    </w:p>
    <w:p w:rsidR="003178C5" w:rsidRDefault="006A6E2E">
      <w:pPr>
        <w:spacing w:line="560" w:lineRule="exact"/>
        <w:ind w:firstLineChars="200" w:firstLine="643"/>
        <w:rPr>
          <w:rFonts w:ascii="仿宋" w:eastAsia="仿宋" w:hAnsi="仿宋"/>
        </w:rPr>
      </w:pPr>
      <w:r>
        <w:rPr>
          <w:rFonts w:ascii="仿宋" w:eastAsia="仿宋" w:hAnsi="仿宋" w:hint="eastAsia"/>
          <w:b/>
        </w:rPr>
        <w:t>2</w:t>
      </w:r>
      <w:r>
        <w:rPr>
          <w:rFonts w:ascii="仿宋" w:eastAsia="仿宋" w:hAnsi="仿宋"/>
          <w:b/>
        </w:rPr>
        <w:t>.</w:t>
      </w:r>
      <w:r>
        <w:rPr>
          <w:rFonts w:ascii="仿宋" w:eastAsia="仿宋" w:hAnsi="仿宋" w:hint="eastAsia"/>
          <w:b/>
        </w:rPr>
        <w:t>支持经济稳定发展</w:t>
      </w:r>
      <w:r>
        <w:rPr>
          <w:rFonts w:ascii="仿宋" w:eastAsia="仿宋" w:hAnsi="仿宋" w:hint="eastAsia"/>
        </w:rPr>
        <w:t>。</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支持企业复工复产。疫情发生以来，全年拨付企业资金5692万元，积极落实复工复产和优化营商环境各项政策措施。加快办理企业拨款，加强与上级财政部门沟通，尽快将支持企业的资金</w:t>
      </w:r>
      <w:r>
        <w:rPr>
          <w:rFonts w:ascii="仿宋" w:eastAsia="仿宋" w:hAnsi="仿宋" w:hint="eastAsia"/>
          <w:color w:val="000000" w:themeColor="text1"/>
        </w:rPr>
        <w:lastRenderedPageBreak/>
        <w:t>拨付到相关企业。完成创业担保贷款额度8450万元，安排创业担保贷款财政贴息资金231万元，促进金融机构与中小微企业互动、企业自主创新与政府扶持联动，放大财政资金杠杆效应。</w:t>
      </w:r>
    </w:p>
    <w:p w:rsidR="003178C5" w:rsidRDefault="006A6E2E">
      <w:pPr>
        <w:spacing w:line="560" w:lineRule="exact"/>
        <w:ind w:firstLineChars="200" w:firstLine="640"/>
        <w:rPr>
          <w:rFonts w:ascii="仿宋" w:eastAsia="仿宋" w:hAnsi="仿宋"/>
        </w:rPr>
      </w:pPr>
      <w:r>
        <w:rPr>
          <w:rFonts w:ascii="仿宋" w:eastAsia="仿宋" w:hAnsi="仿宋" w:hint="eastAsia"/>
          <w:color w:val="000000" w:themeColor="text1"/>
        </w:rPr>
        <w:t>支持产业项目建设。先后安排招商引资、立项争资工作经费和奖励基金590万元，支持招商引资项目落地；园区投入12.14亿元，完善了基础设施</w:t>
      </w:r>
      <w:r>
        <w:rPr>
          <w:rFonts w:ascii="仿宋" w:eastAsia="仿宋" w:hAnsi="仿宋" w:hint="eastAsia"/>
        </w:rPr>
        <w:t>；</w:t>
      </w:r>
      <w:r>
        <w:rPr>
          <w:rFonts w:ascii="仿宋" w:eastAsia="仿宋" w:hAnsi="仿宋" w:hint="eastAsia"/>
          <w:color w:val="000000" w:themeColor="text1"/>
        </w:rPr>
        <w:t>以“项目建设年”为主线，安排本级资金5467万元，抓好了交通运输、粮食仓储物流、田园综合体、地质灾害防治体系等一批项目的建设。</w:t>
      </w:r>
      <w:r>
        <w:rPr>
          <w:rFonts w:ascii="仿宋" w:eastAsia="仿宋" w:hAnsi="仿宋" w:hint="eastAsia"/>
        </w:rPr>
        <w:t>争取专项资金1053.85万元，为企业引进人才提供服务，支持重大科研项目、科技成果转化、企业技术创新和公共服务平台建设，推动自主创新和高新技术产业发展。</w:t>
      </w:r>
    </w:p>
    <w:p w:rsidR="003178C5" w:rsidRDefault="006A6E2E">
      <w:pPr>
        <w:spacing w:line="560" w:lineRule="exact"/>
        <w:ind w:firstLineChars="200" w:firstLine="643"/>
        <w:rPr>
          <w:rFonts w:ascii="仿宋" w:eastAsia="仿宋" w:hAnsi="仿宋"/>
        </w:rPr>
      </w:pPr>
      <w:r>
        <w:rPr>
          <w:rFonts w:ascii="仿宋" w:eastAsia="仿宋" w:hAnsi="仿宋" w:hint="eastAsia"/>
          <w:b/>
        </w:rPr>
        <w:t>3</w:t>
      </w:r>
      <w:r>
        <w:rPr>
          <w:rFonts w:ascii="仿宋" w:eastAsia="仿宋" w:hAnsi="仿宋"/>
          <w:b/>
        </w:rPr>
        <w:t>.</w:t>
      </w:r>
      <w:r>
        <w:rPr>
          <w:rFonts w:ascii="仿宋" w:eastAsia="仿宋" w:hAnsi="仿宋" w:hint="eastAsia"/>
          <w:b/>
        </w:rPr>
        <w:t>支持改善民生福祉</w:t>
      </w:r>
      <w:r>
        <w:rPr>
          <w:rFonts w:ascii="仿宋" w:eastAsia="仿宋" w:hAnsi="仿宋" w:hint="eastAsia"/>
        </w:rPr>
        <w:t>。</w:t>
      </w:r>
      <w:r>
        <w:rPr>
          <w:rFonts w:ascii="仿宋" w:eastAsia="仿宋" w:hAnsi="仿宋" w:hint="eastAsia"/>
          <w:color w:val="000000" w:themeColor="text1"/>
        </w:rPr>
        <w:t>全区财政民生支出378249万元，增长1.69%，占全区一般公共预算支出的70%。</w:t>
      </w:r>
    </w:p>
    <w:p w:rsidR="003178C5" w:rsidRDefault="006A6E2E">
      <w:pPr>
        <w:spacing w:line="540" w:lineRule="exact"/>
        <w:ind w:firstLineChars="200" w:firstLine="640"/>
        <w:rPr>
          <w:rFonts w:ascii="仿宋" w:eastAsia="仿宋" w:hAnsi="仿宋"/>
        </w:rPr>
      </w:pPr>
      <w:r>
        <w:rPr>
          <w:rFonts w:ascii="仿宋" w:eastAsia="仿宋" w:hAnsi="仿宋" w:hint="eastAsia"/>
        </w:rPr>
        <w:t>支持教育事业发展。全区财政教育支出107243万元，增长2.2%。促进学前教育建设拨付2285.71万元。促进中小学教育均衡发展。拨付资金75586万元，保障中小学教师工资及时足额发放。安排资金10972.80万元，全面落实城乡义务教育生均经费政策和减免学杂费等各项助学政策。拨付资金6610万元，改善农村及城市中小学薄弱学校基本办学条件，全年新建、改扩建中小学5所，新增学位1995个。促进职业教育和高中教育发展。拨付资金4318.93万元（高中教育2383.93万元、职业教育1935万元），积极推进职业教育改善办学条件，落实职业教育和高中</w:t>
      </w:r>
      <w:r>
        <w:rPr>
          <w:rFonts w:ascii="仿宋" w:eastAsia="仿宋" w:hAnsi="仿宋" w:hint="eastAsia"/>
        </w:rPr>
        <w:lastRenderedPageBreak/>
        <w:t>教育国家奖学金、助学金及免学费政策，推动职业教育和高中教育健康发展。</w:t>
      </w:r>
    </w:p>
    <w:p w:rsidR="003178C5" w:rsidRDefault="006A6E2E">
      <w:pPr>
        <w:spacing w:line="540" w:lineRule="exact"/>
        <w:ind w:firstLineChars="200" w:firstLine="640"/>
        <w:rPr>
          <w:rFonts w:ascii="仿宋" w:eastAsia="仿宋" w:hAnsi="仿宋"/>
        </w:rPr>
      </w:pPr>
      <w:r>
        <w:rPr>
          <w:rFonts w:ascii="仿宋" w:eastAsia="仿宋" w:hAnsi="仿宋" w:hint="eastAsia"/>
        </w:rPr>
        <w:t>支持文化体育事业发展。全区财政文化体育与传媒支出7814万元，开展农村文化建设工作，推进送电影送戏下乡，全年免费为基层群众放映、演出3475场。积极落实“两馆一站”</w:t>
      </w:r>
      <w:r>
        <w:rPr>
          <w:rFonts w:asciiTheme="minorEastAsia" w:eastAsiaTheme="minorEastAsia" w:hAnsiTheme="minorEastAsia" w:hint="eastAsia"/>
          <w:position w:val="6"/>
          <w:sz w:val="21"/>
          <w:szCs w:val="21"/>
        </w:rPr>
        <w:t>〔9〕</w:t>
      </w:r>
      <w:r>
        <w:rPr>
          <w:rFonts w:ascii="仿宋" w:eastAsia="仿宋" w:hAnsi="仿宋" w:hint="eastAsia"/>
        </w:rPr>
        <w:t>免费开放制度。加强群众体育活动经费投入，促进全民健身事业发展。</w:t>
      </w:r>
    </w:p>
    <w:p w:rsidR="003178C5" w:rsidRDefault="006A6E2E">
      <w:pPr>
        <w:spacing w:line="540" w:lineRule="exact"/>
        <w:ind w:firstLineChars="200" w:firstLine="640"/>
        <w:rPr>
          <w:rFonts w:ascii="仿宋" w:eastAsia="仿宋" w:hAnsi="仿宋"/>
          <w:color w:val="000000" w:themeColor="text1"/>
        </w:rPr>
      </w:pPr>
      <w:r>
        <w:rPr>
          <w:rFonts w:ascii="仿宋" w:eastAsia="仿宋" w:hAnsi="仿宋" w:hint="eastAsia"/>
        </w:rPr>
        <w:t>完善社会保障和医疗救助。</w:t>
      </w:r>
      <w:r>
        <w:rPr>
          <w:rFonts w:ascii="仿宋" w:eastAsia="仿宋" w:hAnsi="仿宋" w:hint="eastAsia"/>
          <w:color w:val="000000" w:themeColor="text1"/>
        </w:rPr>
        <w:t>拨付资金</w:t>
      </w:r>
      <w:r>
        <w:rPr>
          <w:rFonts w:ascii="仿宋" w:eastAsia="仿宋" w:hAnsi="仿宋"/>
          <w:color w:val="000000" w:themeColor="text1"/>
        </w:rPr>
        <w:t>18912</w:t>
      </w:r>
      <w:r>
        <w:rPr>
          <w:rFonts w:ascii="仿宋" w:eastAsia="仿宋" w:hAnsi="仿宋" w:hint="eastAsia"/>
          <w:color w:val="000000" w:themeColor="text1"/>
        </w:rPr>
        <w:t>万元，稳步提升城乡居民社会养老保险待遇，参保总人次超过</w:t>
      </w:r>
      <w:r>
        <w:rPr>
          <w:rFonts w:ascii="仿宋" w:eastAsia="仿宋" w:hAnsi="仿宋"/>
          <w:color w:val="000000" w:themeColor="text1"/>
        </w:rPr>
        <w:t>36.1</w:t>
      </w:r>
      <w:r>
        <w:rPr>
          <w:rFonts w:ascii="仿宋" w:eastAsia="仿宋" w:hAnsi="仿宋" w:hint="eastAsia"/>
          <w:color w:val="000000" w:themeColor="text1"/>
        </w:rPr>
        <w:t>万。</w:t>
      </w:r>
      <w:r>
        <w:rPr>
          <w:rFonts w:ascii="仿宋" w:eastAsia="仿宋" w:hAnsi="仿宋" w:hint="eastAsia"/>
        </w:rPr>
        <w:t>支出养老金120235万元，确保40215名机关事业单位和企业退休人员待遇得到落实。扎实做好就业工作。拨付资金4247万元，实现新增城镇就业6501人、农村劳动力转移就业2949人。</w:t>
      </w:r>
      <w:r>
        <w:rPr>
          <w:rFonts w:ascii="仿宋" w:eastAsia="仿宋" w:hAnsi="仿宋" w:hint="eastAsia"/>
          <w:color w:val="000000" w:themeColor="text1"/>
        </w:rPr>
        <w:t>完善社会救助体系。发放低保资金</w:t>
      </w:r>
      <w:r>
        <w:rPr>
          <w:rFonts w:ascii="仿宋" w:eastAsia="仿宋" w:hAnsi="仿宋"/>
          <w:color w:val="000000" w:themeColor="text1"/>
        </w:rPr>
        <w:t>5855.64</w:t>
      </w:r>
      <w:r>
        <w:rPr>
          <w:rFonts w:ascii="仿宋" w:eastAsia="仿宋" w:hAnsi="仿宋" w:hint="eastAsia"/>
          <w:color w:val="000000" w:themeColor="text1"/>
        </w:rPr>
        <w:t>万元，城乡低收入人群最低生活标准得到保障。拨付资金</w:t>
      </w:r>
      <w:r>
        <w:rPr>
          <w:rFonts w:ascii="仿宋" w:eastAsia="仿宋" w:hAnsi="仿宋"/>
          <w:color w:val="000000" w:themeColor="text1"/>
        </w:rPr>
        <w:t>3529.5</w:t>
      </w:r>
      <w:r>
        <w:rPr>
          <w:rFonts w:ascii="仿宋" w:eastAsia="仿宋" w:hAnsi="仿宋" w:hint="eastAsia"/>
          <w:color w:val="000000" w:themeColor="text1"/>
        </w:rPr>
        <w:t>万元落实五保户待遇，确保了五保户的基本生活。拨付资金</w:t>
      </w:r>
      <w:r>
        <w:rPr>
          <w:rFonts w:ascii="仿宋" w:eastAsia="仿宋" w:hAnsi="仿宋"/>
          <w:color w:val="000000" w:themeColor="text1"/>
        </w:rPr>
        <w:t>1470</w:t>
      </w:r>
      <w:r>
        <w:rPr>
          <w:rFonts w:ascii="仿宋" w:eastAsia="仿宋" w:hAnsi="仿宋" w:hint="eastAsia"/>
          <w:color w:val="000000" w:themeColor="text1"/>
        </w:rPr>
        <w:t>万元，实现全区</w:t>
      </w:r>
      <w:r>
        <w:rPr>
          <w:rFonts w:ascii="仿宋" w:eastAsia="仿宋" w:hAnsi="仿宋"/>
          <w:color w:val="000000" w:themeColor="text1"/>
        </w:rPr>
        <w:t>54676</w:t>
      </w:r>
      <w:r>
        <w:rPr>
          <w:rFonts w:ascii="仿宋" w:eastAsia="仿宋" w:hAnsi="仿宋" w:hint="eastAsia"/>
          <w:color w:val="000000" w:themeColor="text1"/>
        </w:rPr>
        <w:t>人次享受到医疗救助。拨付资金</w:t>
      </w:r>
      <w:r>
        <w:rPr>
          <w:rFonts w:ascii="仿宋" w:eastAsia="仿宋" w:hAnsi="仿宋"/>
          <w:color w:val="000000" w:themeColor="text1"/>
        </w:rPr>
        <w:t>61447</w:t>
      </w:r>
      <w:r>
        <w:rPr>
          <w:rFonts w:ascii="仿宋" w:eastAsia="仿宋" w:hAnsi="仿宋" w:hint="eastAsia"/>
          <w:color w:val="000000" w:themeColor="text1"/>
        </w:rPr>
        <w:t>万元，实施城乡居民基本医疗按病种付费和“先住院，后付费”等惠民措施，人均受益</w:t>
      </w:r>
      <w:r>
        <w:rPr>
          <w:rFonts w:ascii="仿宋" w:eastAsia="仿宋" w:hAnsi="仿宋"/>
          <w:color w:val="000000" w:themeColor="text1"/>
        </w:rPr>
        <w:t>879</w:t>
      </w:r>
      <w:r>
        <w:rPr>
          <w:rFonts w:ascii="仿宋" w:eastAsia="仿宋" w:hAnsi="仿宋" w:hint="eastAsia"/>
          <w:color w:val="000000" w:themeColor="text1"/>
        </w:rPr>
        <w:t>元。补贴资金</w:t>
      </w:r>
      <w:r>
        <w:rPr>
          <w:rFonts w:ascii="仿宋" w:eastAsia="仿宋" w:hAnsi="仿宋"/>
          <w:color w:val="000000" w:themeColor="text1"/>
        </w:rPr>
        <w:t>4543</w:t>
      </w:r>
      <w:r>
        <w:rPr>
          <w:rFonts w:ascii="仿宋" w:eastAsia="仿宋" w:hAnsi="仿宋" w:hint="eastAsia"/>
          <w:color w:val="000000" w:themeColor="text1"/>
        </w:rPr>
        <w:t>万元，实现</w:t>
      </w:r>
      <w:r>
        <w:rPr>
          <w:rFonts w:ascii="仿宋" w:eastAsia="仿宋" w:hAnsi="仿宋"/>
          <w:color w:val="000000" w:themeColor="text1"/>
        </w:rPr>
        <w:t>152980</w:t>
      </w:r>
      <w:r>
        <w:rPr>
          <w:rFonts w:ascii="仿宋" w:eastAsia="仿宋" w:hAnsi="仿宋" w:hint="eastAsia"/>
          <w:color w:val="000000" w:themeColor="text1"/>
        </w:rPr>
        <w:t xml:space="preserve">人次享受大病医疗保险。 </w:t>
      </w:r>
    </w:p>
    <w:p w:rsidR="003178C5" w:rsidRDefault="006A6E2E">
      <w:pPr>
        <w:spacing w:line="540" w:lineRule="exact"/>
        <w:ind w:firstLineChars="200" w:firstLine="640"/>
        <w:rPr>
          <w:rFonts w:ascii="仿宋" w:eastAsia="仿宋" w:hAnsi="仿宋"/>
          <w:color w:val="000000" w:themeColor="text1"/>
        </w:rPr>
      </w:pPr>
      <w:r>
        <w:rPr>
          <w:rFonts w:ascii="仿宋" w:eastAsia="仿宋" w:hAnsi="仿宋" w:hint="eastAsia"/>
          <w:color w:val="000000" w:themeColor="text1"/>
        </w:rPr>
        <w:t>支持重大基础设施建设。拨付老旧小区改造配套基础设施建设资金3382万元，启动粮运家属区、金银山街道兴旺老旧小区等14个老旧小区升级改造。拨付保障性安居工程资金7300万元和棚户区改造资金1200万元，完成桃花仑片区棚户区改造（三期）项目2042户、龙岭片区棚户区改造项目278户、桥南片区</w:t>
      </w:r>
      <w:r>
        <w:rPr>
          <w:rFonts w:ascii="仿宋" w:eastAsia="仿宋" w:hAnsi="仿宋" w:hint="eastAsia"/>
          <w:color w:val="000000" w:themeColor="text1"/>
        </w:rPr>
        <w:lastRenderedPageBreak/>
        <w:t>棚户区改造项目396户，共计2716户，改造面积170509平方米。</w:t>
      </w:r>
      <w:r>
        <w:rPr>
          <w:rFonts w:ascii="仿宋" w:eastAsia="仿宋" w:hAnsi="仿宋"/>
          <w:color w:val="000000" w:themeColor="text1"/>
        </w:rPr>
        <w:t xml:space="preserve"> </w:t>
      </w:r>
    </w:p>
    <w:p w:rsidR="003178C5" w:rsidRDefault="006A6E2E">
      <w:pPr>
        <w:spacing w:line="540" w:lineRule="exact"/>
        <w:ind w:firstLineChars="200" w:firstLine="643"/>
        <w:rPr>
          <w:rFonts w:ascii="仿宋" w:eastAsia="仿宋" w:hAnsi="仿宋"/>
        </w:rPr>
      </w:pPr>
      <w:r>
        <w:rPr>
          <w:rFonts w:ascii="仿宋" w:eastAsia="仿宋" w:hAnsi="仿宋" w:hint="eastAsia"/>
          <w:b/>
        </w:rPr>
        <w:t>4</w:t>
      </w:r>
      <w:r>
        <w:rPr>
          <w:rFonts w:ascii="仿宋" w:eastAsia="仿宋" w:hAnsi="仿宋"/>
          <w:b/>
        </w:rPr>
        <w:t>.</w:t>
      </w:r>
      <w:r>
        <w:rPr>
          <w:rFonts w:ascii="仿宋" w:eastAsia="仿宋" w:hAnsi="仿宋" w:hint="eastAsia"/>
          <w:b/>
        </w:rPr>
        <w:t>支持三农发展</w:t>
      </w:r>
      <w:r>
        <w:rPr>
          <w:rFonts w:ascii="仿宋" w:eastAsia="仿宋" w:hAnsi="仿宋" w:hint="eastAsia"/>
        </w:rPr>
        <w:t>。</w:t>
      </w:r>
    </w:p>
    <w:p w:rsidR="003178C5" w:rsidRDefault="006A6E2E">
      <w:pPr>
        <w:spacing w:line="540" w:lineRule="exact"/>
        <w:ind w:firstLineChars="200" w:firstLine="640"/>
        <w:rPr>
          <w:rFonts w:ascii="仿宋" w:eastAsia="仿宋" w:hAnsi="仿宋"/>
          <w:color w:val="FF0000"/>
        </w:rPr>
      </w:pPr>
      <w:r>
        <w:rPr>
          <w:rFonts w:ascii="仿宋" w:eastAsia="仿宋" w:hAnsi="仿宋" w:hint="eastAsia"/>
          <w:color w:val="000000" w:themeColor="text1"/>
        </w:rPr>
        <w:t>争取上级资金13477万元，用于国土水土修复、林业、畜牧等专项支出。落实惠农政策，通过“一卡通”</w:t>
      </w:r>
      <w:r>
        <w:rPr>
          <w:rFonts w:ascii="仿宋" w:eastAsia="仿宋" w:hAnsi="仿宋" w:hint="eastAsia"/>
          <w:color w:val="000000" w:themeColor="text1"/>
          <w:position w:val="6"/>
          <w:sz w:val="21"/>
          <w:szCs w:val="21"/>
        </w:rPr>
        <w:t>〔10〕</w:t>
      </w:r>
      <w:r>
        <w:rPr>
          <w:rFonts w:ascii="仿宋" w:eastAsia="仿宋" w:hAnsi="仿宋" w:hint="eastAsia"/>
          <w:color w:val="000000" w:themeColor="text1"/>
        </w:rPr>
        <w:t>共发放57项财政惠农补贴资金21044万元。投入资金5530万元，推进农村公益事业财政奖补项目和村级集体经济发展。加强政策性农业保险</w:t>
      </w:r>
      <w:r>
        <w:rPr>
          <w:rFonts w:ascii="仿宋" w:eastAsia="仿宋" w:hAnsi="仿宋" w:hint="eastAsia"/>
          <w:color w:val="000000" w:themeColor="text1"/>
          <w:position w:val="6"/>
          <w:sz w:val="21"/>
          <w:szCs w:val="21"/>
        </w:rPr>
        <w:t>〔11〕</w:t>
      </w:r>
      <w:r>
        <w:rPr>
          <w:rFonts w:ascii="仿宋" w:eastAsia="仿宋" w:hAnsi="仿宋" w:hint="eastAsia"/>
          <w:color w:val="000000" w:themeColor="text1"/>
        </w:rPr>
        <w:t>工作，调整五个险种，保费总额8634万元。拨付1800.9万元，用于农机补贴、商品粮育秧服务和种粮大户补贴，全面激发了新型农业经营者主体发展双季稻和开展农业生产社会服务化的积极性，发放稻谷目标价格补贴资金2596.94万元。拨付328.67万元，用于农村水路公路客运成品油价格补贴。拨付797.65万元，用于禁食陆生野生动物人工繁育主体退出补偿。</w:t>
      </w:r>
    </w:p>
    <w:p w:rsidR="003178C5" w:rsidRDefault="006A6E2E">
      <w:pPr>
        <w:spacing w:line="540" w:lineRule="exact"/>
        <w:ind w:firstLineChars="200" w:firstLine="643"/>
        <w:rPr>
          <w:rFonts w:ascii="仿宋" w:eastAsia="仿宋" w:hAnsi="仿宋"/>
          <w:b/>
        </w:rPr>
      </w:pPr>
      <w:r>
        <w:rPr>
          <w:rFonts w:ascii="仿宋" w:eastAsia="仿宋" w:hAnsi="仿宋" w:hint="eastAsia"/>
          <w:b/>
        </w:rPr>
        <w:t>5</w:t>
      </w:r>
      <w:r>
        <w:rPr>
          <w:rFonts w:ascii="仿宋" w:eastAsia="仿宋" w:hAnsi="仿宋"/>
          <w:b/>
        </w:rPr>
        <w:t>.</w:t>
      </w:r>
      <w:r>
        <w:rPr>
          <w:rFonts w:ascii="仿宋" w:eastAsia="仿宋" w:hAnsi="仿宋" w:hint="eastAsia"/>
          <w:b/>
        </w:rPr>
        <w:t>全力提升财政管理能力</w:t>
      </w:r>
      <w:r>
        <w:rPr>
          <w:rFonts w:ascii="仿宋" w:eastAsia="仿宋" w:hAnsi="仿宋" w:hint="eastAsia"/>
        </w:rPr>
        <w:t>。</w:t>
      </w:r>
    </w:p>
    <w:p w:rsidR="003178C5" w:rsidRDefault="006A6E2E">
      <w:pPr>
        <w:spacing w:line="540" w:lineRule="exact"/>
        <w:ind w:firstLineChars="200" w:firstLine="640"/>
        <w:rPr>
          <w:rFonts w:ascii="仿宋" w:eastAsia="仿宋" w:hAnsi="仿宋"/>
        </w:rPr>
      </w:pPr>
      <w:r>
        <w:rPr>
          <w:rFonts w:ascii="仿宋" w:eastAsia="仿宋" w:hAnsi="仿宋" w:hint="eastAsia"/>
        </w:rPr>
        <w:t>硬化预算刚性约束。严格控制临时性追加，严把国库集中支付关口，压减一般性支出,严控“三公”经费</w:t>
      </w:r>
      <w:r>
        <w:rPr>
          <w:rFonts w:asciiTheme="minorEastAsia" w:eastAsiaTheme="minorEastAsia" w:hAnsiTheme="minorEastAsia" w:hint="eastAsia"/>
          <w:color w:val="000000" w:themeColor="text1"/>
          <w:position w:val="6"/>
          <w:sz w:val="21"/>
          <w:szCs w:val="21"/>
        </w:rPr>
        <w:t>〔12〕</w:t>
      </w:r>
      <w:r>
        <w:rPr>
          <w:rFonts w:ascii="仿宋" w:eastAsia="仿宋" w:hAnsi="仿宋" w:hint="eastAsia"/>
        </w:rPr>
        <w:t>。加强预算绩效管理，组织全区一级预算单位进行总体自评，对36家单位项目资金153000万元进行绩效重点评价。控制节约政府成本，提高财政性资金使用透明度。规范细化预决算公开，除涉密部门和信息外，区本级和各预算单位全部公开了政府预决算、部门预决算和“三公”经费预算。</w:t>
      </w:r>
    </w:p>
    <w:p w:rsidR="003178C5" w:rsidRDefault="006A6E2E">
      <w:pPr>
        <w:spacing w:line="540" w:lineRule="exact"/>
        <w:ind w:firstLineChars="200" w:firstLine="640"/>
        <w:rPr>
          <w:rFonts w:ascii="仿宋" w:eastAsia="仿宋" w:hAnsi="仿宋"/>
          <w:color w:val="FF0000"/>
        </w:rPr>
      </w:pPr>
      <w:r>
        <w:rPr>
          <w:rFonts w:ascii="仿宋" w:eastAsia="仿宋" w:hAnsi="仿宋" w:hint="eastAsia"/>
        </w:rPr>
        <w:t>严格规范国库管理。全面推行国库集中支付，全年办理支付业务超过15万笔，支付资金超500000万元，其中直接支付金额超400000万元，直接支付比例约80%</w:t>
      </w:r>
      <w:r>
        <w:rPr>
          <w:rFonts w:ascii="仿宋" w:eastAsia="仿宋" w:hAnsi="仿宋" w:hint="eastAsia"/>
          <w:color w:val="000000" w:themeColor="text1"/>
        </w:rPr>
        <w:t>。系统清理暂付款项，实</w:t>
      </w:r>
      <w:r>
        <w:rPr>
          <w:rFonts w:ascii="仿宋" w:eastAsia="仿宋" w:hAnsi="仿宋" w:hint="eastAsia"/>
          <w:color w:val="000000" w:themeColor="text1"/>
        </w:rPr>
        <w:lastRenderedPageBreak/>
        <w:t>现暂付款较去年基础压缩20%以上。</w:t>
      </w:r>
    </w:p>
    <w:p w:rsidR="003178C5" w:rsidRDefault="006A6E2E">
      <w:pPr>
        <w:spacing w:line="540" w:lineRule="exact"/>
        <w:ind w:firstLineChars="200" w:firstLine="640"/>
        <w:rPr>
          <w:rFonts w:ascii="仿宋" w:eastAsia="仿宋" w:hAnsi="仿宋"/>
        </w:rPr>
      </w:pPr>
      <w:r>
        <w:rPr>
          <w:rFonts w:ascii="仿宋" w:eastAsia="仿宋" w:hAnsi="仿宋" w:hint="eastAsia"/>
        </w:rPr>
        <w:t>强化财政财务管理。深入开展扶贫资金专项检查、财政内部监督检查、代理记账机构检查、预决算公开情况检查等专项检查，实现“三方对账”</w:t>
      </w:r>
      <w:r>
        <w:rPr>
          <w:rFonts w:asciiTheme="minorEastAsia" w:eastAsiaTheme="minorEastAsia" w:hAnsiTheme="minorEastAsia" w:hint="eastAsia"/>
          <w:position w:val="6"/>
          <w:sz w:val="21"/>
          <w:szCs w:val="21"/>
        </w:rPr>
        <w:t>〔13〕</w:t>
      </w:r>
      <w:r>
        <w:rPr>
          <w:rFonts w:ascii="仿宋" w:eastAsia="仿宋" w:hAnsi="仿宋" w:hint="eastAsia"/>
        </w:rPr>
        <w:t>工作常态化。完成“互联网+监督”</w:t>
      </w:r>
      <w:r>
        <w:rPr>
          <w:rFonts w:asciiTheme="minorEastAsia" w:eastAsiaTheme="minorEastAsia" w:hAnsiTheme="minorEastAsia" w:hint="eastAsia"/>
          <w:position w:val="6"/>
          <w:sz w:val="21"/>
          <w:szCs w:val="21"/>
        </w:rPr>
        <w:t>〔14〕</w:t>
      </w:r>
      <w:r>
        <w:rPr>
          <w:rFonts w:ascii="仿宋" w:eastAsia="仿宋" w:hAnsi="仿宋" w:hint="eastAsia"/>
        </w:rPr>
        <w:t xml:space="preserve">民生资金公开，实现民生资金动态化监管。落实强农惠农政策，稳步推进惠农补贴“一卡通”发放扩面工作。加强乡镇财政预算管理、资金监管、项目监管，确保乡镇财政资金安全高效；完善绩效考核考评办法，积极推进“星级财政所”创建。 </w:t>
      </w:r>
    </w:p>
    <w:p w:rsidR="003178C5" w:rsidRDefault="006A6E2E">
      <w:pPr>
        <w:spacing w:line="540" w:lineRule="exact"/>
        <w:ind w:firstLineChars="200" w:firstLine="640"/>
        <w:rPr>
          <w:rFonts w:ascii="仿宋" w:eastAsia="仿宋" w:hAnsi="仿宋"/>
          <w:strike/>
        </w:rPr>
      </w:pPr>
      <w:r>
        <w:rPr>
          <w:rFonts w:ascii="仿宋" w:eastAsia="仿宋" w:hAnsi="仿宋" w:hint="eastAsia"/>
        </w:rPr>
        <w:t>完善政府采购管理。进一步强化采购单位的主体地位，严格采购预算编制审核，优化采购流程，调整代理机构选择权限，全年共实施649次，采购预算金额</w:t>
      </w:r>
      <w:r>
        <w:rPr>
          <w:rFonts w:ascii="仿宋" w:eastAsia="仿宋" w:hAnsi="仿宋" w:hint="eastAsia"/>
          <w:color w:val="000000" w:themeColor="text1"/>
        </w:rPr>
        <w:t>39800万元，实际采购金额37800万元，节约财政资金2000万元。</w:t>
      </w:r>
    </w:p>
    <w:p w:rsidR="003178C5" w:rsidRDefault="006A6E2E">
      <w:pPr>
        <w:spacing w:line="540" w:lineRule="exact"/>
        <w:ind w:firstLineChars="200" w:firstLine="640"/>
        <w:rPr>
          <w:rFonts w:ascii="仿宋" w:eastAsia="仿宋" w:hAnsi="仿宋"/>
          <w:strike/>
        </w:rPr>
      </w:pPr>
      <w:r>
        <w:rPr>
          <w:rFonts w:ascii="仿宋" w:eastAsia="仿宋" w:hAnsi="仿宋" w:hint="eastAsia"/>
          <w:color w:val="000000" w:themeColor="text1"/>
        </w:rPr>
        <w:t>强化政府投资控制，</w:t>
      </w:r>
      <w:r>
        <w:rPr>
          <w:rFonts w:ascii="仿宋" w:eastAsia="仿宋" w:hAnsi="仿宋" w:hint="eastAsia"/>
        </w:rPr>
        <w:t>全年共完成投资评审项目410个，送审金额160000万元，审减24800万元，审减率达15.5%，</w:t>
      </w:r>
      <w:r>
        <w:rPr>
          <w:rFonts w:ascii="仿宋" w:eastAsia="仿宋" w:hAnsi="仿宋" w:hint="eastAsia"/>
          <w:color w:val="000000" w:themeColor="text1"/>
        </w:rPr>
        <w:t>规范政府投资行为，提升预算约束力。</w:t>
      </w:r>
    </w:p>
    <w:p w:rsidR="003178C5" w:rsidRDefault="006A6E2E">
      <w:pPr>
        <w:spacing w:line="540" w:lineRule="exact"/>
        <w:ind w:firstLineChars="200" w:firstLine="640"/>
        <w:rPr>
          <w:rFonts w:ascii="仿宋" w:eastAsia="仿宋" w:hAnsi="仿宋"/>
          <w:color w:val="000000" w:themeColor="text1"/>
        </w:rPr>
      </w:pPr>
      <w:r>
        <w:rPr>
          <w:rFonts w:ascii="仿宋" w:eastAsia="仿宋" w:hAnsi="仿宋" w:hint="eastAsia"/>
        </w:rPr>
        <w:t>上述财政工作成绩的取得，是区委、区政府科学决策、正确领导的结果，是区人大依法监督、悉心指导的结果，是区政协民主监督、积极支持的结果，是各级各部门共同努力的结果。在肯定成绩的同时，财政管理中仍存在一些问题：近两年来，受经济下行和减税降费叠加影响，财政收支矛盾日益尖锐，财政运行异常困难。今年受疫情影响，进一步减收增支，困难程度更是不同以往。</w:t>
      </w:r>
      <w:r>
        <w:rPr>
          <w:rFonts w:ascii="仿宋" w:eastAsia="仿宋" w:hAnsi="仿宋" w:hint="eastAsia"/>
          <w:color w:val="000000" w:themeColor="text1"/>
        </w:rPr>
        <w:t>财政收入增速放缓，刚性支出持续增长，财政收支矛盾仍较突出；财政管理和监督有待进一步加强，部分专项资金结构固</w:t>
      </w:r>
      <w:r>
        <w:rPr>
          <w:rFonts w:ascii="仿宋" w:eastAsia="仿宋" w:hAnsi="仿宋" w:hint="eastAsia"/>
          <w:color w:val="000000" w:themeColor="text1"/>
        </w:rPr>
        <w:lastRenderedPageBreak/>
        <w:t>化，使用效益有待提升等。我们将高度重视这些问题，采取有力措施加以解决。</w:t>
      </w:r>
    </w:p>
    <w:p w:rsidR="003178C5" w:rsidRDefault="006A6E2E">
      <w:pPr>
        <w:spacing w:line="540" w:lineRule="exact"/>
        <w:ind w:firstLineChars="200" w:firstLine="640"/>
        <w:rPr>
          <w:rFonts w:ascii="黑体" w:eastAsia="黑体" w:hAnsi="黑体"/>
        </w:rPr>
      </w:pPr>
      <w:r>
        <w:rPr>
          <w:rFonts w:ascii="黑体" w:eastAsia="黑体" w:hAnsi="黑体" w:hint="eastAsia"/>
        </w:rPr>
        <w:t>二、2021年财政预算（草案）初步安排</w:t>
      </w:r>
    </w:p>
    <w:p w:rsidR="003178C5" w:rsidRDefault="006A6E2E">
      <w:pPr>
        <w:spacing w:line="540" w:lineRule="exact"/>
        <w:ind w:firstLineChars="200" w:firstLine="640"/>
        <w:rPr>
          <w:rFonts w:ascii="仿宋" w:eastAsia="仿宋" w:hAnsi="仿宋"/>
        </w:rPr>
      </w:pPr>
      <w:r>
        <w:rPr>
          <w:rFonts w:ascii="仿宋" w:eastAsia="仿宋" w:hAnsi="仿宋" w:hint="eastAsia"/>
        </w:rPr>
        <w:t>2021年区财政预算编制和财政工作的指导思想是：高举习近平新时代中国特色社会主义思想伟大旗帜，深入贯彻党的十九大和十九届二中、三中、四中、五中全会精神，坚决贯彻习近平总书记考察湖南重要讲话精神，认真落实中央、省、市、区经济工作会议和全省财政工作会议精神，严格落实中央八项规定，做好“六稳”工作，落实“六保”任务，贯彻落实上级过“紧日子”的要求，坚持统筹兼顾、收支平衡，优先“保工资、保运转、保基本民生”，坚持全面从紧、突出重点、有保有压、依法依规编制预算草案。</w:t>
      </w:r>
    </w:p>
    <w:p w:rsidR="003178C5" w:rsidRDefault="006A6E2E">
      <w:pPr>
        <w:spacing w:line="540" w:lineRule="exact"/>
        <w:ind w:firstLineChars="200" w:firstLine="640"/>
        <w:rPr>
          <w:rFonts w:ascii="仿宋" w:eastAsia="仿宋" w:hAnsi="仿宋"/>
        </w:rPr>
      </w:pPr>
      <w:r>
        <w:rPr>
          <w:rFonts w:ascii="仿宋" w:eastAsia="仿宋" w:hAnsi="仿宋" w:hint="eastAsia"/>
        </w:rPr>
        <w:t>根据上述指导思想，结合全区经济发展计划及财力情况，2021年预算拟作如下安排：</w:t>
      </w:r>
    </w:p>
    <w:p w:rsidR="003178C5" w:rsidRDefault="006A6E2E">
      <w:pPr>
        <w:spacing w:line="540" w:lineRule="exact"/>
        <w:ind w:firstLineChars="200" w:firstLine="643"/>
        <w:rPr>
          <w:rFonts w:ascii="楷体" w:eastAsia="楷体" w:hAnsi="楷体"/>
          <w:b/>
        </w:rPr>
      </w:pPr>
      <w:r>
        <w:rPr>
          <w:rFonts w:ascii="楷体" w:eastAsia="楷体" w:hAnsi="楷体" w:hint="eastAsia"/>
          <w:b/>
        </w:rPr>
        <w:t>（一）2021年财政预算草案</w:t>
      </w:r>
    </w:p>
    <w:p w:rsidR="003178C5" w:rsidRDefault="006A6E2E">
      <w:pPr>
        <w:spacing w:line="540" w:lineRule="exact"/>
        <w:ind w:firstLineChars="200" w:firstLine="643"/>
        <w:rPr>
          <w:rFonts w:ascii="仿宋" w:eastAsia="仿宋" w:hAnsi="仿宋"/>
          <w:b/>
          <w:color w:val="000000" w:themeColor="text1"/>
        </w:rPr>
      </w:pPr>
      <w:r>
        <w:rPr>
          <w:rFonts w:ascii="仿宋" w:eastAsia="仿宋" w:hAnsi="仿宋" w:hint="eastAsia"/>
          <w:b/>
          <w:color w:val="000000" w:themeColor="text1"/>
        </w:rPr>
        <w:t>1.一般公共预算草案</w:t>
      </w:r>
      <w:r>
        <w:rPr>
          <w:rFonts w:ascii="仿宋" w:eastAsia="仿宋" w:hAnsi="仿宋" w:hint="eastAsia"/>
        </w:rPr>
        <w:t>。</w:t>
      </w:r>
    </w:p>
    <w:p w:rsidR="003178C5" w:rsidRDefault="006A6E2E">
      <w:pPr>
        <w:spacing w:line="540" w:lineRule="exact"/>
        <w:ind w:firstLineChars="200" w:firstLine="640"/>
        <w:rPr>
          <w:rFonts w:ascii="仿宋" w:eastAsia="仿宋" w:hAnsi="仿宋"/>
          <w:color w:val="000000" w:themeColor="text1"/>
        </w:rPr>
      </w:pPr>
      <w:r>
        <w:rPr>
          <w:rFonts w:ascii="仿宋" w:eastAsia="仿宋" w:hAnsi="仿宋" w:hint="eastAsia"/>
          <w:color w:val="000000" w:themeColor="text1"/>
        </w:rPr>
        <w:t>2021年区本级地方财政收入为78635万元（比上年预算129305减少50670万元，比上年预计完成127005万元减少48370万元，减少原因是2021年开始执行市区新一轮财政管理体制对地方收入缴入国库方式进行了重大调整)，比上年同口径增长6%，其中：税收收入50894万元，占区本级地方财政收入的64.72%，非税收入27741万元，占区本级地方财政收入的35.28%。</w:t>
      </w:r>
    </w:p>
    <w:p w:rsidR="003178C5" w:rsidRDefault="006A6E2E">
      <w:pPr>
        <w:spacing w:line="540" w:lineRule="exact"/>
        <w:ind w:firstLineChars="200" w:firstLine="640"/>
        <w:rPr>
          <w:rFonts w:ascii="仿宋" w:eastAsia="仿宋" w:hAnsi="仿宋"/>
          <w:color w:val="000000" w:themeColor="text1"/>
        </w:rPr>
      </w:pPr>
      <w:r>
        <w:rPr>
          <w:rFonts w:ascii="仿宋" w:eastAsia="仿宋" w:hAnsi="仿宋" w:hint="eastAsia"/>
          <w:color w:val="000000" w:themeColor="text1"/>
        </w:rPr>
        <w:t>区本级财政支出451304万元，明细如下：</w:t>
      </w:r>
    </w:p>
    <w:p w:rsidR="003178C5" w:rsidRDefault="006A6E2E">
      <w:pPr>
        <w:spacing w:line="540" w:lineRule="exact"/>
        <w:ind w:firstLineChars="200" w:firstLine="643"/>
        <w:jc w:val="center"/>
        <w:rPr>
          <w:rFonts w:ascii="仿宋" w:eastAsia="仿宋" w:hAnsi="仿宋"/>
          <w:b/>
          <w:color w:val="000000" w:themeColor="text1"/>
        </w:rPr>
      </w:pPr>
      <w:r>
        <w:rPr>
          <w:rFonts w:ascii="仿宋" w:eastAsia="仿宋" w:hAnsi="仿宋" w:hint="eastAsia"/>
          <w:b/>
          <w:color w:val="000000" w:themeColor="text1"/>
        </w:rPr>
        <w:lastRenderedPageBreak/>
        <w:t>2021年一般预算支出明细表</w:t>
      </w:r>
    </w:p>
    <w:p w:rsidR="003178C5" w:rsidRDefault="006A6E2E">
      <w:pPr>
        <w:spacing w:line="540" w:lineRule="exact"/>
        <w:ind w:firstLineChars="200" w:firstLine="640"/>
        <w:jc w:val="right"/>
        <w:rPr>
          <w:rFonts w:ascii="仿宋" w:eastAsia="仿宋" w:hAnsi="仿宋"/>
          <w:color w:val="000000" w:themeColor="text1"/>
        </w:rPr>
      </w:pPr>
      <w:r>
        <w:rPr>
          <w:rFonts w:ascii="仿宋" w:eastAsia="仿宋" w:hAnsi="仿宋" w:hint="eastAsia"/>
          <w:color w:val="000000" w:themeColor="text1"/>
        </w:rPr>
        <w:t xml:space="preserve">  单位:万元</w:t>
      </w:r>
    </w:p>
    <w:tbl>
      <w:tblPr>
        <w:tblW w:w="9648" w:type="dxa"/>
        <w:jc w:val="center"/>
        <w:tblLayout w:type="fixed"/>
        <w:tblCellMar>
          <w:left w:w="0" w:type="dxa"/>
          <w:right w:w="0" w:type="dxa"/>
        </w:tblCellMar>
        <w:tblLook w:val="04A0" w:firstRow="1" w:lastRow="0" w:firstColumn="1" w:lastColumn="0" w:noHBand="0" w:noVBand="1"/>
      </w:tblPr>
      <w:tblGrid>
        <w:gridCol w:w="2409"/>
        <w:gridCol w:w="894"/>
        <w:gridCol w:w="885"/>
        <w:gridCol w:w="1001"/>
        <w:gridCol w:w="992"/>
        <w:gridCol w:w="3467"/>
      </w:tblGrid>
      <w:tr w:rsidR="003178C5">
        <w:trPr>
          <w:trHeight w:val="104"/>
          <w:jc w:val="center"/>
        </w:trPr>
        <w:tc>
          <w:tcPr>
            <w:tcW w:w="2409" w:type="dxa"/>
            <w:tcBorders>
              <w:top w:val="single" w:sz="8" w:space="0" w:color="FFFFFF"/>
              <w:left w:val="single" w:sz="8" w:space="0" w:color="FFFFFF"/>
              <w:bottom w:val="single" w:sz="24"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center"/>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科目名称</w:t>
            </w:r>
          </w:p>
        </w:tc>
        <w:tc>
          <w:tcPr>
            <w:tcW w:w="894" w:type="dxa"/>
            <w:tcBorders>
              <w:top w:val="single" w:sz="8" w:space="0" w:color="FFFFFF"/>
              <w:left w:val="single" w:sz="8" w:space="0" w:color="FFFFFF"/>
              <w:bottom w:val="single" w:sz="24"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center"/>
              <w:rPr>
                <w:rFonts w:asciiTheme="minorEastAsia" w:eastAsiaTheme="minorEastAsia" w:hAnsiTheme="minorEastAsia"/>
                <w:b/>
                <w:color w:val="000000" w:themeColor="text1"/>
                <w:spacing w:val="-6"/>
                <w:sz w:val="21"/>
                <w:szCs w:val="21"/>
              </w:rPr>
            </w:pPr>
            <w:r>
              <w:rPr>
                <w:rFonts w:asciiTheme="minorEastAsia" w:eastAsiaTheme="minorEastAsia" w:hAnsiTheme="minorEastAsia"/>
                <w:b/>
                <w:bCs/>
                <w:color w:val="000000" w:themeColor="text1"/>
                <w:spacing w:val="-6"/>
                <w:sz w:val="21"/>
                <w:szCs w:val="21"/>
              </w:rPr>
              <w:t>2020年调整预算</w:t>
            </w:r>
          </w:p>
        </w:tc>
        <w:tc>
          <w:tcPr>
            <w:tcW w:w="885" w:type="dxa"/>
            <w:tcBorders>
              <w:top w:val="single" w:sz="8" w:space="0" w:color="FFFFFF"/>
              <w:left w:val="single" w:sz="8" w:space="0" w:color="FFFFFF"/>
              <w:bottom w:val="single" w:sz="24"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center"/>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2021政府预算</w:t>
            </w:r>
          </w:p>
        </w:tc>
        <w:tc>
          <w:tcPr>
            <w:tcW w:w="1001" w:type="dxa"/>
            <w:tcBorders>
              <w:top w:val="single" w:sz="8" w:space="0" w:color="FFFFFF"/>
              <w:left w:val="single" w:sz="8" w:space="0" w:color="FFFFFF"/>
              <w:bottom w:val="single" w:sz="24"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center"/>
              <w:rPr>
                <w:rFonts w:asciiTheme="minorEastAsia" w:eastAsiaTheme="minorEastAsia" w:hAnsiTheme="minorEastAsia"/>
                <w:b/>
                <w:color w:val="000000" w:themeColor="text1"/>
                <w:spacing w:val="-6"/>
                <w:sz w:val="21"/>
                <w:szCs w:val="21"/>
              </w:rPr>
            </w:pPr>
            <w:r>
              <w:rPr>
                <w:rFonts w:asciiTheme="minorEastAsia" w:eastAsiaTheme="minorEastAsia" w:hAnsiTheme="minorEastAsia"/>
                <w:b/>
                <w:bCs/>
                <w:color w:val="000000" w:themeColor="text1"/>
                <w:spacing w:val="-6"/>
                <w:sz w:val="21"/>
                <w:szCs w:val="21"/>
              </w:rPr>
              <w:t>比调整预算增加</w:t>
            </w:r>
          </w:p>
        </w:tc>
        <w:tc>
          <w:tcPr>
            <w:tcW w:w="992" w:type="dxa"/>
            <w:tcBorders>
              <w:top w:val="single" w:sz="8" w:space="0" w:color="FFFFFF"/>
              <w:left w:val="single" w:sz="8" w:space="0" w:color="FFFFFF"/>
              <w:bottom w:val="single" w:sz="24"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center"/>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增长%</w:t>
            </w:r>
          </w:p>
        </w:tc>
        <w:tc>
          <w:tcPr>
            <w:tcW w:w="3467" w:type="dxa"/>
            <w:tcBorders>
              <w:top w:val="single" w:sz="8" w:space="0" w:color="FFFFFF"/>
              <w:left w:val="single" w:sz="8" w:space="0" w:color="FFFFFF"/>
              <w:bottom w:val="single" w:sz="24"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备注</w:t>
            </w:r>
          </w:p>
        </w:tc>
      </w:tr>
      <w:tr w:rsidR="003178C5">
        <w:trPr>
          <w:trHeight w:val="104"/>
          <w:jc w:val="center"/>
        </w:trPr>
        <w:tc>
          <w:tcPr>
            <w:tcW w:w="2409" w:type="dxa"/>
            <w:tcBorders>
              <w:top w:val="single" w:sz="24"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一般公共服务支出</w:t>
            </w:r>
          </w:p>
        </w:tc>
        <w:tc>
          <w:tcPr>
            <w:tcW w:w="894" w:type="dxa"/>
            <w:tcBorders>
              <w:top w:val="single" w:sz="24"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60851</w:t>
            </w:r>
          </w:p>
        </w:tc>
        <w:tc>
          <w:tcPr>
            <w:tcW w:w="885" w:type="dxa"/>
            <w:tcBorders>
              <w:top w:val="single" w:sz="24"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58</w:t>
            </w:r>
            <w:r>
              <w:rPr>
                <w:rFonts w:asciiTheme="minorEastAsia" w:eastAsiaTheme="minorEastAsia" w:hAnsiTheme="minorEastAsia" w:hint="eastAsia"/>
                <w:b/>
                <w:color w:val="000000" w:themeColor="text1"/>
                <w:sz w:val="21"/>
                <w:szCs w:val="21"/>
              </w:rPr>
              <w:t>42</w:t>
            </w:r>
            <w:r>
              <w:rPr>
                <w:rFonts w:asciiTheme="minorEastAsia" w:eastAsiaTheme="minorEastAsia" w:hAnsiTheme="minorEastAsia"/>
                <w:b/>
                <w:color w:val="000000" w:themeColor="text1"/>
                <w:sz w:val="21"/>
                <w:szCs w:val="21"/>
              </w:rPr>
              <w:t>8</w:t>
            </w:r>
          </w:p>
        </w:tc>
        <w:tc>
          <w:tcPr>
            <w:tcW w:w="1001" w:type="dxa"/>
            <w:tcBorders>
              <w:top w:val="single" w:sz="24"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-24</w:t>
            </w:r>
            <w:r>
              <w:rPr>
                <w:rFonts w:asciiTheme="minorEastAsia" w:eastAsiaTheme="minorEastAsia" w:hAnsiTheme="minorEastAsia" w:hint="eastAsia"/>
                <w:b/>
                <w:color w:val="000000" w:themeColor="text1"/>
                <w:sz w:val="21"/>
                <w:szCs w:val="21"/>
              </w:rPr>
              <w:t>2</w:t>
            </w:r>
            <w:r>
              <w:rPr>
                <w:rFonts w:asciiTheme="minorEastAsia" w:eastAsiaTheme="minorEastAsia" w:hAnsiTheme="minorEastAsia"/>
                <w:b/>
                <w:color w:val="000000" w:themeColor="text1"/>
                <w:sz w:val="21"/>
                <w:szCs w:val="21"/>
              </w:rPr>
              <w:t>3</w:t>
            </w:r>
          </w:p>
        </w:tc>
        <w:tc>
          <w:tcPr>
            <w:tcW w:w="992" w:type="dxa"/>
            <w:tcBorders>
              <w:top w:val="single" w:sz="24"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w:t>
            </w:r>
            <w:r>
              <w:rPr>
                <w:rFonts w:asciiTheme="minorEastAsia" w:eastAsiaTheme="minorEastAsia" w:hAnsiTheme="minorEastAsia" w:hint="eastAsia"/>
                <w:b/>
                <w:color w:val="000000" w:themeColor="text1"/>
                <w:sz w:val="21"/>
                <w:szCs w:val="21"/>
              </w:rPr>
              <w:t>3</w:t>
            </w:r>
            <w:r>
              <w:rPr>
                <w:rFonts w:asciiTheme="minorEastAsia" w:eastAsiaTheme="minorEastAsia" w:hAnsiTheme="minorEastAsia"/>
                <w:b/>
                <w:color w:val="000000" w:themeColor="text1"/>
                <w:sz w:val="21"/>
                <w:szCs w:val="21"/>
              </w:rPr>
              <w:t>.</w:t>
            </w:r>
            <w:r>
              <w:rPr>
                <w:rFonts w:asciiTheme="minorEastAsia" w:eastAsiaTheme="minorEastAsia" w:hAnsiTheme="minorEastAsia" w:hint="eastAsia"/>
                <w:b/>
                <w:color w:val="000000" w:themeColor="text1"/>
                <w:sz w:val="21"/>
                <w:szCs w:val="21"/>
              </w:rPr>
              <w:t>98</w:t>
            </w:r>
          </w:p>
        </w:tc>
        <w:tc>
          <w:tcPr>
            <w:tcW w:w="3467" w:type="dxa"/>
            <w:tcBorders>
              <w:top w:val="single" w:sz="24"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52"/>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外交支出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3178C5">
            <w:pPr>
              <w:spacing w:line="240" w:lineRule="exact"/>
              <w:ind w:firstLineChars="200" w:firstLine="422"/>
              <w:jc w:val="right"/>
              <w:rPr>
                <w:rFonts w:asciiTheme="minorEastAsia" w:eastAsiaTheme="minorEastAsia" w:hAnsiTheme="minorEastAsia"/>
                <w:b/>
                <w:color w:val="000000" w:themeColor="text1"/>
                <w:sz w:val="21"/>
                <w:szCs w:val="21"/>
              </w:rPr>
            </w:pP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3178C5">
            <w:pPr>
              <w:spacing w:line="240" w:lineRule="exact"/>
              <w:ind w:firstLineChars="200" w:firstLine="422"/>
              <w:jc w:val="right"/>
              <w:rPr>
                <w:rFonts w:asciiTheme="minorEastAsia" w:eastAsiaTheme="minorEastAsia" w:hAnsiTheme="minorEastAsia"/>
                <w:b/>
                <w:color w:val="000000" w:themeColor="text1"/>
                <w:sz w:val="21"/>
                <w:szCs w:val="21"/>
              </w:rPr>
            </w:pP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3178C5">
            <w:pPr>
              <w:spacing w:line="240" w:lineRule="exact"/>
              <w:ind w:firstLineChars="200" w:firstLine="422"/>
              <w:jc w:val="right"/>
              <w:rPr>
                <w:rFonts w:asciiTheme="minorEastAsia" w:eastAsiaTheme="minorEastAsia" w:hAnsiTheme="minorEastAsia"/>
                <w:b/>
                <w:color w:val="000000" w:themeColor="text1"/>
                <w:sz w:val="21"/>
                <w:szCs w:val="21"/>
              </w:rPr>
            </w:pP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3178C5">
            <w:pPr>
              <w:spacing w:line="240" w:lineRule="exact"/>
              <w:ind w:firstLineChars="200" w:firstLine="422"/>
              <w:jc w:val="right"/>
              <w:rPr>
                <w:rFonts w:asciiTheme="minorEastAsia" w:eastAsiaTheme="minorEastAsia" w:hAnsiTheme="minorEastAsia"/>
                <w:b/>
                <w:color w:val="000000" w:themeColor="text1"/>
                <w:sz w:val="21"/>
                <w:szCs w:val="21"/>
              </w:rPr>
            </w:pP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52"/>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国防支出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314</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314</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0</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0</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104"/>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公共安全支出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3248</w:t>
            </w: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3438</w:t>
            </w: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190</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5.85</w:t>
            </w: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623"/>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教育支出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96390</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95993</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-397</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-0.41</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2020年调整预算中包含了一般债券资金中安排的支出以及区委议教工作会增加支出。与2020年年初预算相比，增长了3.81%</w:t>
            </w:r>
          </w:p>
        </w:tc>
      </w:tr>
      <w:tr w:rsidR="003178C5">
        <w:trPr>
          <w:trHeight w:val="467"/>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科学技术支出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3732</w:t>
            </w: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right="40"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4463</w:t>
            </w: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731</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19.59</w:t>
            </w: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为了进一步缩小预决算差异，2021年预算中适当增加了上级专项转移支付预计纳入年初预算金额</w:t>
            </w:r>
          </w:p>
        </w:tc>
      </w:tr>
      <w:tr w:rsidR="003178C5">
        <w:trPr>
          <w:trHeight w:val="104"/>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文化</w:t>
            </w:r>
            <w:r>
              <w:rPr>
                <w:rFonts w:asciiTheme="minorEastAsia" w:eastAsiaTheme="minorEastAsia" w:hAnsiTheme="minorEastAsia" w:hint="eastAsia"/>
                <w:b/>
                <w:bCs/>
                <w:color w:val="000000" w:themeColor="text1"/>
                <w:sz w:val="21"/>
                <w:szCs w:val="21"/>
              </w:rPr>
              <w:t>旅游</w:t>
            </w:r>
            <w:r>
              <w:rPr>
                <w:rFonts w:asciiTheme="minorEastAsia" w:eastAsiaTheme="minorEastAsia" w:hAnsiTheme="minorEastAsia"/>
                <w:b/>
                <w:bCs/>
                <w:color w:val="000000" w:themeColor="text1"/>
                <w:sz w:val="21"/>
                <w:szCs w:val="21"/>
              </w:rPr>
              <w:t>体育与传媒支出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2730</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2702</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-28</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-1.03</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251"/>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社会保障和就业支出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108086</w:t>
            </w: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112774</w:t>
            </w: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4688</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4.34</w:t>
            </w: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155"/>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hint="eastAsia"/>
                <w:b/>
                <w:bCs/>
                <w:color w:val="000000" w:themeColor="text1"/>
                <w:sz w:val="21"/>
                <w:szCs w:val="21"/>
              </w:rPr>
              <w:t>卫生健康支出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68307</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67714</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-593</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-0.87</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467"/>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节能环保支出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7411</w:t>
            </w: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9283</w:t>
            </w: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1872</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25.26</w:t>
            </w: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为了进一步缩小预决算差异，2021年预算中适当增加了上级专项转移支付预计纳入年初预算金额</w:t>
            </w:r>
          </w:p>
        </w:tc>
      </w:tr>
      <w:tr w:rsidR="003178C5">
        <w:trPr>
          <w:trHeight w:val="104"/>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城乡社区支出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9955</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10095</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140</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1.41</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467"/>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农林水支出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36329</w:t>
            </w: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44080</w:t>
            </w: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775</w:t>
            </w:r>
            <w:r>
              <w:rPr>
                <w:rFonts w:asciiTheme="minorEastAsia" w:eastAsiaTheme="minorEastAsia" w:hAnsiTheme="minorEastAsia"/>
                <w:b/>
                <w:color w:val="000000" w:themeColor="text1"/>
                <w:sz w:val="21"/>
                <w:szCs w:val="21"/>
              </w:rPr>
              <w:t>1</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21.</w:t>
            </w:r>
            <w:r>
              <w:rPr>
                <w:rFonts w:asciiTheme="minorEastAsia" w:eastAsiaTheme="minorEastAsia" w:hAnsiTheme="minorEastAsia" w:hint="eastAsia"/>
                <w:b/>
                <w:color w:val="000000" w:themeColor="text1"/>
                <w:sz w:val="21"/>
                <w:szCs w:val="21"/>
              </w:rPr>
              <w:t>34</w:t>
            </w: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为了进一步缩小预决算差异，2021年预算中适当增加了上级专项转移支付预计纳入年初预算金额</w:t>
            </w:r>
          </w:p>
        </w:tc>
      </w:tr>
      <w:tr w:rsidR="003178C5">
        <w:trPr>
          <w:trHeight w:val="104"/>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交通运输支出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7834</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6</w:t>
            </w:r>
            <w:r>
              <w:rPr>
                <w:rFonts w:asciiTheme="minorEastAsia" w:eastAsiaTheme="minorEastAsia" w:hAnsiTheme="minorEastAsia" w:hint="eastAsia"/>
                <w:b/>
                <w:color w:val="000000" w:themeColor="text1"/>
                <w:sz w:val="21"/>
                <w:szCs w:val="21"/>
              </w:rPr>
              <w:t>92</w:t>
            </w:r>
            <w:r>
              <w:rPr>
                <w:rFonts w:asciiTheme="minorEastAsia" w:eastAsiaTheme="minorEastAsia" w:hAnsiTheme="minorEastAsia"/>
                <w:b/>
                <w:color w:val="000000" w:themeColor="text1"/>
                <w:sz w:val="21"/>
                <w:szCs w:val="21"/>
              </w:rPr>
              <w:t>1</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-9</w:t>
            </w:r>
            <w:r>
              <w:rPr>
                <w:rFonts w:asciiTheme="minorEastAsia" w:eastAsiaTheme="minorEastAsia" w:hAnsiTheme="minorEastAsia" w:hint="eastAsia"/>
                <w:b/>
                <w:color w:val="000000" w:themeColor="text1"/>
                <w:sz w:val="21"/>
                <w:szCs w:val="21"/>
              </w:rPr>
              <w:t>1</w:t>
            </w:r>
            <w:r>
              <w:rPr>
                <w:rFonts w:asciiTheme="minorEastAsia" w:eastAsiaTheme="minorEastAsia" w:hAnsiTheme="minorEastAsia"/>
                <w:b/>
                <w:color w:val="000000" w:themeColor="text1"/>
                <w:sz w:val="21"/>
                <w:szCs w:val="21"/>
              </w:rPr>
              <w:t>3</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00" w:firstLine="211"/>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w:t>
            </w:r>
            <w:r>
              <w:rPr>
                <w:rFonts w:asciiTheme="minorEastAsia" w:eastAsiaTheme="minorEastAsia" w:hAnsiTheme="minorEastAsia" w:hint="eastAsia"/>
                <w:b/>
                <w:color w:val="000000" w:themeColor="text1"/>
                <w:sz w:val="21"/>
                <w:szCs w:val="21"/>
              </w:rPr>
              <w:t>11</w:t>
            </w:r>
            <w:r>
              <w:rPr>
                <w:rFonts w:asciiTheme="minorEastAsia" w:eastAsiaTheme="minorEastAsia" w:hAnsiTheme="minorEastAsia"/>
                <w:b/>
                <w:color w:val="000000" w:themeColor="text1"/>
                <w:sz w:val="21"/>
                <w:szCs w:val="21"/>
              </w:rPr>
              <w:t>.</w:t>
            </w:r>
            <w:r>
              <w:rPr>
                <w:rFonts w:asciiTheme="minorEastAsia" w:eastAsiaTheme="minorEastAsia" w:hAnsiTheme="minorEastAsia" w:hint="eastAsia"/>
                <w:b/>
                <w:color w:val="000000" w:themeColor="text1"/>
                <w:sz w:val="21"/>
                <w:szCs w:val="21"/>
              </w:rPr>
              <w:t>65</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104"/>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资源勘探信息等支出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2828</w:t>
            </w: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2877</w:t>
            </w: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49</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1.73</w:t>
            </w: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415"/>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商业服务业等支出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449</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1270</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821</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00" w:firstLine="211"/>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182.85</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为了进一步缩小预决算差异，2021年预算中增加了上级专项转移支付预计纳入年初预算金额</w:t>
            </w:r>
          </w:p>
        </w:tc>
      </w:tr>
      <w:tr w:rsidR="003178C5">
        <w:trPr>
          <w:trHeight w:val="52"/>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金融支出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3178C5">
            <w:pPr>
              <w:spacing w:line="240" w:lineRule="exact"/>
              <w:ind w:firstLineChars="200" w:firstLine="422"/>
              <w:jc w:val="right"/>
              <w:rPr>
                <w:rFonts w:asciiTheme="minorEastAsia" w:eastAsiaTheme="minorEastAsia" w:hAnsiTheme="minorEastAsia"/>
                <w:b/>
                <w:color w:val="000000" w:themeColor="text1"/>
                <w:sz w:val="21"/>
                <w:szCs w:val="21"/>
              </w:rPr>
            </w:pP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3178C5">
            <w:pPr>
              <w:spacing w:line="240" w:lineRule="exact"/>
              <w:ind w:firstLineChars="200" w:firstLine="422"/>
              <w:jc w:val="right"/>
              <w:rPr>
                <w:rFonts w:asciiTheme="minorEastAsia" w:eastAsiaTheme="minorEastAsia" w:hAnsiTheme="minorEastAsia"/>
                <w:b/>
                <w:color w:val="000000" w:themeColor="text1"/>
                <w:sz w:val="21"/>
                <w:szCs w:val="21"/>
              </w:rPr>
            </w:pP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0</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3178C5">
            <w:pPr>
              <w:spacing w:line="240" w:lineRule="exact"/>
              <w:ind w:firstLineChars="200" w:firstLine="422"/>
              <w:jc w:val="right"/>
              <w:rPr>
                <w:rFonts w:asciiTheme="minorEastAsia" w:eastAsiaTheme="minorEastAsia" w:hAnsiTheme="minorEastAsia"/>
                <w:b/>
                <w:color w:val="000000" w:themeColor="text1"/>
                <w:sz w:val="21"/>
                <w:szCs w:val="21"/>
              </w:rPr>
            </w:pP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104"/>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援助其他地区支出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3178C5">
            <w:pPr>
              <w:spacing w:line="240" w:lineRule="exact"/>
              <w:ind w:firstLineChars="200" w:firstLine="422"/>
              <w:jc w:val="right"/>
              <w:rPr>
                <w:rFonts w:asciiTheme="minorEastAsia" w:eastAsiaTheme="minorEastAsia" w:hAnsiTheme="minorEastAsia"/>
                <w:b/>
                <w:color w:val="000000" w:themeColor="text1"/>
                <w:sz w:val="21"/>
                <w:szCs w:val="21"/>
              </w:rPr>
            </w:pP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3178C5">
            <w:pPr>
              <w:spacing w:line="240" w:lineRule="exact"/>
              <w:ind w:firstLineChars="200" w:firstLine="422"/>
              <w:jc w:val="right"/>
              <w:rPr>
                <w:rFonts w:asciiTheme="minorEastAsia" w:eastAsiaTheme="minorEastAsia" w:hAnsiTheme="minorEastAsia"/>
                <w:b/>
                <w:color w:val="000000" w:themeColor="text1"/>
                <w:sz w:val="21"/>
                <w:szCs w:val="21"/>
              </w:rPr>
            </w:pP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0</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3178C5">
            <w:pPr>
              <w:spacing w:line="240" w:lineRule="exact"/>
              <w:ind w:firstLineChars="200" w:firstLine="422"/>
              <w:jc w:val="right"/>
              <w:rPr>
                <w:rFonts w:asciiTheme="minorEastAsia" w:eastAsiaTheme="minorEastAsia" w:hAnsiTheme="minorEastAsia"/>
                <w:b/>
                <w:color w:val="000000" w:themeColor="text1"/>
                <w:sz w:val="21"/>
                <w:szCs w:val="21"/>
              </w:rPr>
            </w:pP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364"/>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hint="eastAsia"/>
                <w:b/>
                <w:bCs/>
                <w:color w:val="000000" w:themeColor="text1"/>
                <w:sz w:val="21"/>
                <w:szCs w:val="21"/>
              </w:rPr>
              <w:t>自然资源</w:t>
            </w:r>
            <w:r>
              <w:rPr>
                <w:rFonts w:asciiTheme="minorEastAsia" w:eastAsiaTheme="minorEastAsia" w:hAnsiTheme="minorEastAsia"/>
                <w:b/>
                <w:bCs/>
                <w:color w:val="000000" w:themeColor="text1"/>
                <w:sz w:val="21"/>
                <w:szCs w:val="21"/>
              </w:rPr>
              <w:t>海洋气象等支出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1630</w:t>
            </w: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916</w:t>
            </w: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-714</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00" w:firstLine="211"/>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-43.80</w:t>
            </w: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2020年调整预算中安排了780万元确权国土确权颁证、乡村规划编制经费</w:t>
            </w:r>
          </w:p>
        </w:tc>
      </w:tr>
      <w:tr w:rsidR="003178C5">
        <w:trPr>
          <w:trHeight w:val="467"/>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住房保障支出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8275</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9573</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1298</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15.69</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为了进一步缩小预决算差异，2021年预算中适当增加了上级专项转移支付预计纳入年初预算金额</w:t>
            </w:r>
          </w:p>
        </w:tc>
      </w:tr>
      <w:tr w:rsidR="003178C5">
        <w:trPr>
          <w:trHeight w:val="415"/>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粮油物资储备支出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427</w:t>
            </w: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1187</w:t>
            </w: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7</w:t>
            </w:r>
            <w:r>
              <w:rPr>
                <w:rFonts w:asciiTheme="minorEastAsia" w:eastAsiaTheme="minorEastAsia" w:hAnsiTheme="minorEastAsia" w:hint="eastAsia"/>
                <w:b/>
                <w:color w:val="000000" w:themeColor="text1"/>
                <w:sz w:val="21"/>
                <w:szCs w:val="21"/>
              </w:rPr>
              <w:t>6</w:t>
            </w:r>
            <w:r>
              <w:rPr>
                <w:rFonts w:asciiTheme="minorEastAsia" w:eastAsiaTheme="minorEastAsia" w:hAnsiTheme="minorEastAsia"/>
                <w:b/>
                <w:color w:val="000000" w:themeColor="text1"/>
                <w:sz w:val="21"/>
                <w:szCs w:val="21"/>
              </w:rPr>
              <w:t>0</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00" w:firstLine="211"/>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17</w:t>
            </w:r>
            <w:r>
              <w:rPr>
                <w:rFonts w:asciiTheme="minorEastAsia" w:eastAsiaTheme="minorEastAsia" w:hAnsiTheme="minorEastAsia" w:hint="eastAsia"/>
                <w:b/>
                <w:color w:val="000000" w:themeColor="text1"/>
                <w:sz w:val="21"/>
                <w:szCs w:val="21"/>
              </w:rPr>
              <w:t>7</w:t>
            </w:r>
            <w:r>
              <w:rPr>
                <w:rFonts w:asciiTheme="minorEastAsia" w:eastAsiaTheme="minorEastAsia" w:hAnsiTheme="minorEastAsia"/>
                <w:b/>
                <w:color w:val="000000" w:themeColor="text1"/>
                <w:sz w:val="21"/>
                <w:szCs w:val="21"/>
              </w:rPr>
              <w:t>.</w:t>
            </w:r>
            <w:r>
              <w:rPr>
                <w:rFonts w:asciiTheme="minorEastAsia" w:eastAsiaTheme="minorEastAsia" w:hAnsiTheme="minorEastAsia" w:hint="eastAsia"/>
                <w:b/>
                <w:color w:val="000000" w:themeColor="text1"/>
                <w:sz w:val="21"/>
                <w:szCs w:val="21"/>
              </w:rPr>
              <w:t>98</w:t>
            </w: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为了进一步缩小预决算差异，2021年预算中增加了上级专项转移支付预计纳入年初预算金额</w:t>
            </w:r>
          </w:p>
        </w:tc>
      </w:tr>
      <w:tr w:rsidR="003178C5">
        <w:trPr>
          <w:trHeight w:val="104"/>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灾害防治及应急</w:t>
            </w:r>
            <w:r>
              <w:rPr>
                <w:rFonts w:asciiTheme="minorEastAsia" w:eastAsiaTheme="minorEastAsia" w:hAnsiTheme="minorEastAsia" w:hint="eastAsia"/>
                <w:b/>
                <w:bCs/>
                <w:color w:val="000000" w:themeColor="text1"/>
                <w:sz w:val="21"/>
                <w:szCs w:val="21"/>
              </w:rPr>
              <w:t>管理</w:t>
            </w:r>
            <w:r>
              <w:rPr>
                <w:rFonts w:asciiTheme="minorEastAsia" w:eastAsiaTheme="minorEastAsia" w:hAnsiTheme="minorEastAsia"/>
                <w:b/>
                <w:bCs/>
                <w:color w:val="000000" w:themeColor="text1"/>
                <w:sz w:val="21"/>
                <w:szCs w:val="21"/>
              </w:rPr>
              <w:t>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1805</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1389</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-416</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00" w:firstLine="211"/>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-23.05</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104"/>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其他支出</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9780</w:t>
            </w: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6180</w:t>
            </w: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-3600</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00" w:firstLine="211"/>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-36.81</w:t>
            </w: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155"/>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债务付息支出</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5500</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6707</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1207</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21.95</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增加了2020年政府</w:t>
            </w:r>
            <w:r>
              <w:rPr>
                <w:rFonts w:asciiTheme="minorEastAsia" w:eastAsiaTheme="minorEastAsia" w:hAnsiTheme="minorEastAsia" w:hint="eastAsia"/>
                <w:b/>
                <w:color w:val="000000" w:themeColor="text1"/>
                <w:sz w:val="21"/>
                <w:szCs w:val="21"/>
              </w:rPr>
              <w:t>一</w:t>
            </w:r>
            <w:r>
              <w:rPr>
                <w:rFonts w:asciiTheme="minorEastAsia" w:eastAsiaTheme="minorEastAsia" w:hAnsiTheme="minorEastAsia"/>
                <w:b/>
                <w:color w:val="000000" w:themeColor="text1"/>
                <w:sz w:val="21"/>
                <w:szCs w:val="21"/>
              </w:rPr>
              <w:t>般债券利息</w:t>
            </w:r>
          </w:p>
        </w:tc>
      </w:tr>
      <w:tr w:rsidR="003178C5">
        <w:trPr>
          <w:trHeight w:val="52"/>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left"/>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预备费</w:t>
            </w:r>
          </w:p>
        </w:tc>
        <w:tc>
          <w:tcPr>
            <w:tcW w:w="894"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4500</w:t>
            </w:r>
          </w:p>
        </w:tc>
        <w:tc>
          <w:tcPr>
            <w:tcW w:w="885"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5000</w:t>
            </w:r>
          </w:p>
        </w:tc>
        <w:tc>
          <w:tcPr>
            <w:tcW w:w="1001"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500</w:t>
            </w:r>
          </w:p>
        </w:tc>
        <w:tc>
          <w:tcPr>
            <w:tcW w:w="992"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11.11</w:t>
            </w:r>
          </w:p>
        </w:tc>
        <w:tc>
          <w:tcPr>
            <w:tcW w:w="3467" w:type="dxa"/>
            <w:tcBorders>
              <w:top w:val="single" w:sz="8" w:space="0" w:color="FFFFFF"/>
              <w:left w:val="single" w:sz="8" w:space="0" w:color="FFFFFF"/>
              <w:bottom w:val="single" w:sz="8" w:space="0" w:color="FFFFFF"/>
              <w:right w:val="single" w:sz="8" w:space="0" w:color="FFFFFF"/>
            </w:tcBorders>
            <w:shd w:val="clear" w:color="auto" w:fill="EBF0F2"/>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r w:rsidR="003178C5">
        <w:trPr>
          <w:trHeight w:val="104"/>
          <w:jc w:val="center"/>
        </w:trPr>
        <w:tc>
          <w:tcPr>
            <w:tcW w:w="2409" w:type="dxa"/>
            <w:tcBorders>
              <w:top w:val="single" w:sz="8" w:space="0" w:color="FFFFFF"/>
              <w:left w:val="single" w:sz="8" w:space="0" w:color="FFFFFF"/>
              <w:bottom w:val="single" w:sz="8" w:space="0" w:color="FFFFFF"/>
              <w:right w:val="single" w:sz="8" w:space="0" w:color="FFFFFF"/>
            </w:tcBorders>
            <w:shd w:val="clear" w:color="auto" w:fill="6EA0B0"/>
            <w:tcMar>
              <w:top w:w="15" w:type="dxa"/>
              <w:left w:w="26" w:type="dxa"/>
              <w:bottom w:w="0" w:type="dxa"/>
              <w:right w:w="26" w:type="dxa"/>
            </w:tcMar>
            <w:vAlign w:val="center"/>
          </w:tcPr>
          <w:p w:rsidR="003178C5" w:rsidRDefault="006A6E2E">
            <w:pPr>
              <w:spacing w:line="240" w:lineRule="exact"/>
              <w:jc w:val="center"/>
              <w:rPr>
                <w:rFonts w:asciiTheme="minorEastAsia" w:eastAsiaTheme="minorEastAsia" w:hAnsiTheme="minorEastAsia"/>
                <w:b/>
                <w:color w:val="000000" w:themeColor="text1"/>
                <w:sz w:val="21"/>
                <w:szCs w:val="21"/>
              </w:rPr>
            </w:pPr>
            <w:r>
              <w:rPr>
                <w:rFonts w:asciiTheme="minorEastAsia" w:eastAsiaTheme="minorEastAsia" w:hAnsiTheme="minorEastAsia"/>
                <w:b/>
                <w:bCs/>
                <w:color w:val="000000" w:themeColor="text1"/>
                <w:sz w:val="21"/>
                <w:szCs w:val="21"/>
              </w:rPr>
              <w:t>合</w:t>
            </w:r>
            <w:r>
              <w:rPr>
                <w:rFonts w:asciiTheme="minorEastAsia" w:eastAsiaTheme="minorEastAsia" w:hAnsiTheme="minorEastAsia" w:hint="eastAsia"/>
                <w:b/>
                <w:bCs/>
                <w:color w:val="000000" w:themeColor="text1"/>
                <w:sz w:val="21"/>
                <w:szCs w:val="21"/>
              </w:rPr>
              <w:t xml:space="preserve">  </w:t>
            </w:r>
            <w:r>
              <w:rPr>
                <w:rFonts w:asciiTheme="minorEastAsia" w:eastAsiaTheme="minorEastAsia" w:hAnsiTheme="minorEastAsia"/>
                <w:b/>
                <w:bCs/>
                <w:color w:val="000000" w:themeColor="text1"/>
                <w:sz w:val="21"/>
                <w:szCs w:val="21"/>
              </w:rPr>
              <w:t>计</w:t>
            </w:r>
          </w:p>
        </w:tc>
        <w:tc>
          <w:tcPr>
            <w:tcW w:w="894"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440381</w:t>
            </w:r>
          </w:p>
        </w:tc>
        <w:tc>
          <w:tcPr>
            <w:tcW w:w="885"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451</w:t>
            </w:r>
            <w:r>
              <w:rPr>
                <w:rFonts w:asciiTheme="minorEastAsia" w:eastAsiaTheme="minorEastAsia" w:hAnsiTheme="minorEastAsia" w:hint="eastAsia"/>
                <w:b/>
                <w:color w:val="000000" w:themeColor="text1"/>
                <w:sz w:val="21"/>
                <w:szCs w:val="21"/>
              </w:rPr>
              <w:t>304</w:t>
            </w:r>
          </w:p>
        </w:tc>
        <w:tc>
          <w:tcPr>
            <w:tcW w:w="1001"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150" w:firstLine="316"/>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10</w:t>
            </w:r>
            <w:r>
              <w:rPr>
                <w:rFonts w:asciiTheme="minorEastAsia" w:eastAsiaTheme="minorEastAsia" w:hAnsiTheme="minorEastAsia" w:hint="eastAsia"/>
                <w:b/>
                <w:color w:val="000000" w:themeColor="text1"/>
                <w:sz w:val="21"/>
                <w:szCs w:val="21"/>
              </w:rPr>
              <w:t>92</w:t>
            </w:r>
            <w:r>
              <w:rPr>
                <w:rFonts w:asciiTheme="minorEastAsia" w:eastAsiaTheme="minorEastAsia" w:hAnsiTheme="minorEastAsia"/>
                <w:b/>
                <w:color w:val="000000" w:themeColor="text1"/>
                <w:sz w:val="21"/>
                <w:szCs w:val="21"/>
              </w:rPr>
              <w:t>3</w:t>
            </w:r>
          </w:p>
        </w:tc>
        <w:tc>
          <w:tcPr>
            <w:tcW w:w="992"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right"/>
              <w:rPr>
                <w:rFonts w:asciiTheme="minorEastAsia" w:eastAsiaTheme="minorEastAsia" w:hAnsiTheme="minorEastAsia"/>
                <w:b/>
                <w:sz w:val="21"/>
                <w:szCs w:val="21"/>
              </w:rPr>
            </w:pPr>
            <w:r>
              <w:rPr>
                <w:rFonts w:asciiTheme="minorEastAsia" w:eastAsiaTheme="minorEastAsia" w:hAnsiTheme="minorEastAsia"/>
                <w:b/>
                <w:color w:val="000000" w:themeColor="text1"/>
                <w:sz w:val="21"/>
                <w:szCs w:val="21"/>
              </w:rPr>
              <w:t>2.4</w:t>
            </w:r>
            <w:r>
              <w:rPr>
                <w:rFonts w:asciiTheme="minorEastAsia" w:eastAsiaTheme="minorEastAsia" w:hAnsiTheme="minorEastAsia" w:hint="eastAsia"/>
                <w:b/>
                <w:color w:val="000000" w:themeColor="text1"/>
                <w:sz w:val="21"/>
                <w:szCs w:val="21"/>
              </w:rPr>
              <w:t>8</w:t>
            </w:r>
          </w:p>
        </w:tc>
        <w:tc>
          <w:tcPr>
            <w:tcW w:w="3467" w:type="dxa"/>
            <w:tcBorders>
              <w:top w:val="single" w:sz="8" w:space="0" w:color="FFFFFF"/>
              <w:left w:val="single" w:sz="8" w:space="0" w:color="FFFFFF"/>
              <w:bottom w:val="single" w:sz="8" w:space="0" w:color="FFFFFF"/>
              <w:right w:val="single" w:sz="8" w:space="0" w:color="FFFFFF"/>
            </w:tcBorders>
            <w:shd w:val="clear" w:color="auto" w:fill="D5DFE4"/>
            <w:tcMar>
              <w:top w:w="15" w:type="dxa"/>
              <w:left w:w="26" w:type="dxa"/>
              <w:bottom w:w="0" w:type="dxa"/>
              <w:right w:w="26" w:type="dxa"/>
            </w:tcMar>
            <w:vAlign w:val="center"/>
          </w:tcPr>
          <w:p w:rsidR="003178C5" w:rsidRDefault="006A6E2E">
            <w:pPr>
              <w:spacing w:line="240" w:lineRule="exact"/>
              <w:ind w:firstLineChars="200" w:firstLine="422"/>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 xml:space="preserve">　</w:t>
            </w:r>
          </w:p>
        </w:tc>
      </w:tr>
    </w:tbl>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lastRenderedPageBreak/>
        <w:t>收支平衡情况。2021年预算收入总规模为484271万元，其中区本级地方财政收入78635万元，上级补助收入361443万元，调入资金16000万元，动用预算稳定调节基金5155万元，财政部代理发行地方政府一般债券23038万元。</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支出总规模为484271万元，其中区本级财政支出451304万元，上解上级支出9929万元，地方政府债券还本支出23038万元。</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当年预算收支平衡。</w:t>
      </w:r>
    </w:p>
    <w:p w:rsidR="003178C5" w:rsidRDefault="006A6E2E">
      <w:pPr>
        <w:spacing w:line="560" w:lineRule="exact"/>
        <w:ind w:firstLineChars="200" w:firstLine="643"/>
        <w:rPr>
          <w:rFonts w:ascii="仿宋" w:eastAsia="仿宋" w:hAnsi="仿宋"/>
          <w:color w:val="000000" w:themeColor="text1"/>
        </w:rPr>
      </w:pPr>
      <w:r>
        <w:rPr>
          <w:rFonts w:ascii="仿宋" w:eastAsia="仿宋" w:hAnsi="仿宋" w:hint="eastAsia"/>
          <w:b/>
          <w:color w:val="000000" w:themeColor="text1"/>
        </w:rPr>
        <w:t>2.政府性基金预算草案</w:t>
      </w:r>
      <w:r>
        <w:rPr>
          <w:rFonts w:ascii="仿宋" w:eastAsia="仿宋" w:hAnsi="仿宋" w:hint="eastAsia"/>
        </w:rPr>
        <w:t>。</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收入预算72500万元，其中国有土地使用权出让收入70000万元，国家电影事业发展专项资金收入60万元，大中型水库移民后期扶持基金收入1500万元，大中型水库库区基金收入30万元，国家重大水利工程建设基金收入70万元，彩票公益金收入820万元，小型水库移民扶助基金收入20万元。</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支出规模72500万元，具体项目为国家电影事业发展专项资金及应对专项债务收入安排的支出60万元，国有土地使用权出让收入安排的支出64500万元，大中型水库移民后期扶持基金支出1500万元，大中型水库库区基金及对应专项债务收入安排的支出30万元，国家重大水利工程建设基金及对应专项债务收入安排的支出70万元，彩票公益金及对应专项债务收入安排的支出820万元，小型水库移民扶助基金及对应专项债务收入安排的支出20万元，债务付息支出5500万元。</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lastRenderedPageBreak/>
        <w:t>当年预算收支平衡。</w:t>
      </w:r>
    </w:p>
    <w:p w:rsidR="003178C5" w:rsidRDefault="006A6E2E">
      <w:pPr>
        <w:spacing w:line="560" w:lineRule="exact"/>
        <w:ind w:firstLineChars="200" w:firstLine="643"/>
        <w:rPr>
          <w:rFonts w:ascii="仿宋" w:eastAsia="仿宋" w:hAnsi="仿宋"/>
          <w:color w:val="000000" w:themeColor="text1"/>
        </w:rPr>
      </w:pPr>
      <w:r>
        <w:rPr>
          <w:rFonts w:ascii="仿宋" w:eastAsia="仿宋" w:hAnsi="仿宋" w:hint="eastAsia"/>
          <w:b/>
          <w:color w:val="000000" w:themeColor="text1"/>
        </w:rPr>
        <w:t>3.社会保险基金预算草案</w:t>
      </w:r>
      <w:r>
        <w:rPr>
          <w:rFonts w:ascii="仿宋" w:eastAsia="仿宋" w:hAnsi="仿宋" w:hint="eastAsia"/>
          <w:color w:val="000000" w:themeColor="text1"/>
        </w:rPr>
        <w:t>。</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收入预算270359万元，支出预算267788万元，明细如下：</w:t>
      </w:r>
    </w:p>
    <w:p w:rsidR="003178C5" w:rsidRDefault="006A6E2E">
      <w:pPr>
        <w:spacing w:line="560" w:lineRule="exact"/>
        <w:ind w:firstLineChars="200" w:firstLine="643"/>
        <w:jc w:val="center"/>
        <w:rPr>
          <w:rFonts w:ascii="仿宋" w:eastAsia="仿宋" w:hAnsi="仿宋"/>
          <w:b/>
          <w:color w:val="000000" w:themeColor="text1"/>
        </w:rPr>
      </w:pPr>
      <w:r>
        <w:rPr>
          <w:rFonts w:ascii="仿宋" w:eastAsia="仿宋" w:hAnsi="仿宋" w:hint="eastAsia"/>
          <w:b/>
          <w:color w:val="000000" w:themeColor="text1"/>
        </w:rPr>
        <w:t>社会保险基金预算收支明细表</w:t>
      </w:r>
    </w:p>
    <w:p w:rsidR="003178C5" w:rsidRDefault="006A6E2E">
      <w:pPr>
        <w:spacing w:line="560" w:lineRule="exact"/>
        <w:ind w:firstLineChars="200" w:firstLine="640"/>
        <w:jc w:val="right"/>
        <w:rPr>
          <w:rFonts w:ascii="仿宋" w:eastAsia="仿宋" w:hAnsi="仿宋"/>
          <w:color w:val="000000" w:themeColor="text1"/>
        </w:rPr>
      </w:pPr>
      <w:r>
        <w:rPr>
          <w:rFonts w:ascii="仿宋" w:eastAsia="仿宋" w:hAnsi="仿宋" w:hint="eastAsia"/>
          <w:color w:val="000000" w:themeColor="text1"/>
        </w:rPr>
        <w:t>单位：万元</w:t>
      </w:r>
    </w:p>
    <w:tbl>
      <w:tblPr>
        <w:tblW w:w="9153" w:type="dxa"/>
        <w:tblInd w:w="108" w:type="dxa"/>
        <w:tblCellMar>
          <w:left w:w="0" w:type="dxa"/>
          <w:right w:w="0" w:type="dxa"/>
        </w:tblCellMar>
        <w:tblLook w:val="04A0" w:firstRow="1" w:lastRow="0" w:firstColumn="1" w:lastColumn="0" w:noHBand="0" w:noVBand="1"/>
      </w:tblPr>
      <w:tblGrid>
        <w:gridCol w:w="5093"/>
        <w:gridCol w:w="2111"/>
        <w:gridCol w:w="1949"/>
      </w:tblGrid>
      <w:tr w:rsidR="003178C5">
        <w:trPr>
          <w:trHeight w:val="128"/>
        </w:trPr>
        <w:tc>
          <w:tcPr>
            <w:tcW w:w="5093" w:type="dxa"/>
            <w:tcBorders>
              <w:top w:val="single" w:sz="8" w:space="0" w:color="FFFFFF"/>
              <w:left w:val="single" w:sz="8" w:space="0" w:color="FFFFFF"/>
              <w:bottom w:val="single" w:sz="24"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b/>
                <w:bCs/>
                <w:color w:val="000000" w:themeColor="text1"/>
                <w:sz w:val="21"/>
                <w:szCs w:val="21"/>
              </w:rPr>
              <w:t>科目名称</w:t>
            </w:r>
          </w:p>
        </w:tc>
        <w:tc>
          <w:tcPr>
            <w:tcW w:w="2111" w:type="dxa"/>
            <w:tcBorders>
              <w:top w:val="single" w:sz="8" w:space="0" w:color="FFFFFF"/>
              <w:left w:val="single" w:sz="8" w:space="0" w:color="FFFFFF"/>
              <w:bottom w:val="single" w:sz="24"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color w:val="000000" w:themeColor="text1"/>
                <w:sz w:val="21"/>
                <w:szCs w:val="21"/>
              </w:rPr>
            </w:pPr>
            <w:r>
              <w:rPr>
                <w:rFonts w:asciiTheme="minorEastAsia" w:eastAsiaTheme="minorEastAsia" w:hAnsiTheme="minorEastAsia"/>
                <w:b/>
                <w:bCs/>
                <w:color w:val="000000" w:themeColor="text1"/>
                <w:sz w:val="21"/>
                <w:szCs w:val="21"/>
              </w:rPr>
              <w:t>收入</w:t>
            </w:r>
          </w:p>
        </w:tc>
        <w:tc>
          <w:tcPr>
            <w:tcW w:w="1949" w:type="dxa"/>
            <w:tcBorders>
              <w:top w:val="single" w:sz="8" w:space="0" w:color="FFFFFF"/>
              <w:left w:val="single" w:sz="8" w:space="0" w:color="FFFFFF"/>
              <w:bottom w:val="single" w:sz="24"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color w:val="000000" w:themeColor="text1"/>
                <w:sz w:val="21"/>
                <w:szCs w:val="21"/>
              </w:rPr>
            </w:pPr>
            <w:r>
              <w:rPr>
                <w:rFonts w:asciiTheme="minorEastAsia" w:eastAsiaTheme="minorEastAsia" w:hAnsiTheme="minorEastAsia"/>
                <w:b/>
                <w:bCs/>
                <w:color w:val="000000" w:themeColor="text1"/>
                <w:sz w:val="21"/>
                <w:szCs w:val="21"/>
              </w:rPr>
              <w:t>支出</w:t>
            </w:r>
          </w:p>
        </w:tc>
      </w:tr>
      <w:tr w:rsidR="003178C5">
        <w:trPr>
          <w:trHeight w:val="128"/>
        </w:trPr>
        <w:tc>
          <w:tcPr>
            <w:tcW w:w="5093" w:type="dxa"/>
            <w:tcBorders>
              <w:top w:val="single" w:sz="24" w:space="0" w:color="FFFFFF"/>
              <w:left w:val="single" w:sz="8" w:space="0" w:color="FFFFFF"/>
              <w:bottom w:val="single" w:sz="8"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color w:val="FFFFFF" w:themeColor="background1"/>
                <w:sz w:val="21"/>
                <w:szCs w:val="21"/>
              </w:rPr>
            </w:pPr>
            <w:r>
              <w:rPr>
                <w:rFonts w:asciiTheme="minorEastAsia" w:eastAsiaTheme="minorEastAsia" w:hAnsiTheme="minorEastAsia"/>
                <w:b/>
                <w:bCs/>
                <w:color w:val="FFFFFF" w:themeColor="background1"/>
                <w:sz w:val="21"/>
                <w:szCs w:val="21"/>
              </w:rPr>
              <w:t>企业养老保险基金</w:t>
            </w:r>
          </w:p>
        </w:tc>
        <w:tc>
          <w:tcPr>
            <w:tcW w:w="2111" w:type="dxa"/>
            <w:tcBorders>
              <w:top w:val="single" w:sz="24" w:space="0" w:color="FFFFFF"/>
              <w:left w:val="single" w:sz="8" w:space="0" w:color="FFFFFF"/>
              <w:bottom w:val="single" w:sz="8" w:space="0" w:color="FFFFFF"/>
              <w:right w:val="single" w:sz="8" w:space="0" w:color="FFFFFF"/>
            </w:tcBorders>
            <w:shd w:val="clear" w:color="auto" w:fill="D5DFE4"/>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114363</w:t>
            </w:r>
          </w:p>
        </w:tc>
        <w:tc>
          <w:tcPr>
            <w:tcW w:w="1949" w:type="dxa"/>
            <w:tcBorders>
              <w:top w:val="single" w:sz="24" w:space="0" w:color="FFFFFF"/>
              <w:left w:val="single" w:sz="8" w:space="0" w:color="FFFFFF"/>
              <w:bottom w:val="single" w:sz="8" w:space="0" w:color="FFFFFF"/>
              <w:right w:val="single" w:sz="8" w:space="0" w:color="FFFFFF"/>
            </w:tcBorders>
            <w:shd w:val="clear" w:color="auto" w:fill="D5DFE4"/>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114083</w:t>
            </w:r>
          </w:p>
        </w:tc>
      </w:tr>
      <w:tr w:rsidR="003178C5">
        <w:trPr>
          <w:trHeight w:val="128"/>
        </w:trPr>
        <w:tc>
          <w:tcPr>
            <w:tcW w:w="5093" w:type="dxa"/>
            <w:tcBorders>
              <w:top w:val="single" w:sz="8" w:space="0" w:color="FFFFFF"/>
              <w:left w:val="single" w:sz="8" w:space="0" w:color="FFFFFF"/>
              <w:bottom w:val="single" w:sz="8"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color w:val="FFFFFF" w:themeColor="background1"/>
                <w:sz w:val="21"/>
                <w:szCs w:val="21"/>
              </w:rPr>
            </w:pPr>
            <w:r>
              <w:rPr>
                <w:rFonts w:asciiTheme="minorEastAsia" w:eastAsiaTheme="minorEastAsia" w:hAnsiTheme="minorEastAsia"/>
                <w:b/>
                <w:bCs/>
                <w:color w:val="FFFFFF" w:themeColor="background1"/>
                <w:sz w:val="21"/>
                <w:szCs w:val="21"/>
              </w:rPr>
              <w:t>失业保险基金</w:t>
            </w:r>
          </w:p>
        </w:tc>
        <w:tc>
          <w:tcPr>
            <w:tcW w:w="2111" w:type="dxa"/>
            <w:tcBorders>
              <w:top w:val="single" w:sz="8" w:space="0" w:color="FFFFFF"/>
              <w:left w:val="single" w:sz="8" w:space="0" w:color="FFFFFF"/>
              <w:bottom w:val="single" w:sz="8" w:space="0" w:color="FFFFFF"/>
              <w:right w:val="single" w:sz="8" w:space="0" w:color="FFFFFF"/>
            </w:tcBorders>
            <w:shd w:val="clear" w:color="auto" w:fill="EBF0F2"/>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295</w:t>
            </w:r>
          </w:p>
        </w:tc>
        <w:tc>
          <w:tcPr>
            <w:tcW w:w="1949" w:type="dxa"/>
            <w:tcBorders>
              <w:top w:val="single" w:sz="8" w:space="0" w:color="FFFFFF"/>
              <w:left w:val="single" w:sz="8" w:space="0" w:color="FFFFFF"/>
              <w:bottom w:val="single" w:sz="8" w:space="0" w:color="FFFFFF"/>
              <w:right w:val="single" w:sz="8" w:space="0" w:color="FFFFFF"/>
            </w:tcBorders>
            <w:shd w:val="clear" w:color="auto" w:fill="EBF0F2"/>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775</w:t>
            </w:r>
          </w:p>
        </w:tc>
      </w:tr>
      <w:tr w:rsidR="003178C5">
        <w:trPr>
          <w:trHeight w:val="128"/>
        </w:trPr>
        <w:tc>
          <w:tcPr>
            <w:tcW w:w="5093" w:type="dxa"/>
            <w:tcBorders>
              <w:top w:val="single" w:sz="8" w:space="0" w:color="FFFFFF"/>
              <w:left w:val="single" w:sz="8" w:space="0" w:color="FFFFFF"/>
              <w:bottom w:val="single" w:sz="8"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color w:val="FFFFFF" w:themeColor="background1"/>
                <w:sz w:val="21"/>
                <w:szCs w:val="21"/>
              </w:rPr>
            </w:pPr>
            <w:r>
              <w:rPr>
                <w:rFonts w:asciiTheme="minorEastAsia" w:eastAsiaTheme="minorEastAsia" w:hAnsiTheme="minorEastAsia"/>
                <w:b/>
                <w:bCs/>
                <w:color w:val="FFFFFF" w:themeColor="background1"/>
                <w:sz w:val="21"/>
                <w:szCs w:val="21"/>
              </w:rPr>
              <w:t>城镇职工基本医疗保险基金</w:t>
            </w:r>
          </w:p>
        </w:tc>
        <w:tc>
          <w:tcPr>
            <w:tcW w:w="2111" w:type="dxa"/>
            <w:tcBorders>
              <w:top w:val="single" w:sz="8" w:space="0" w:color="FFFFFF"/>
              <w:left w:val="single" w:sz="8" w:space="0" w:color="FFFFFF"/>
              <w:bottom w:val="single" w:sz="8" w:space="0" w:color="FFFFFF"/>
              <w:right w:val="single" w:sz="8" w:space="0" w:color="FFFFFF"/>
            </w:tcBorders>
            <w:shd w:val="clear" w:color="auto" w:fill="D5DFE4"/>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18893</w:t>
            </w:r>
          </w:p>
        </w:tc>
        <w:tc>
          <w:tcPr>
            <w:tcW w:w="1949" w:type="dxa"/>
            <w:tcBorders>
              <w:top w:val="single" w:sz="8" w:space="0" w:color="FFFFFF"/>
              <w:left w:val="single" w:sz="8" w:space="0" w:color="FFFFFF"/>
              <w:bottom w:val="single" w:sz="8" w:space="0" w:color="FFFFFF"/>
              <w:right w:val="single" w:sz="8" w:space="0" w:color="FFFFFF"/>
            </w:tcBorders>
            <w:shd w:val="clear" w:color="auto" w:fill="D5DFE4"/>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17676</w:t>
            </w:r>
          </w:p>
        </w:tc>
      </w:tr>
      <w:tr w:rsidR="003178C5">
        <w:trPr>
          <w:trHeight w:val="128"/>
        </w:trPr>
        <w:tc>
          <w:tcPr>
            <w:tcW w:w="5093" w:type="dxa"/>
            <w:tcBorders>
              <w:top w:val="single" w:sz="8" w:space="0" w:color="FFFFFF"/>
              <w:left w:val="single" w:sz="8" w:space="0" w:color="FFFFFF"/>
              <w:bottom w:val="single" w:sz="8"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color w:val="FFFFFF" w:themeColor="background1"/>
                <w:sz w:val="21"/>
                <w:szCs w:val="21"/>
              </w:rPr>
            </w:pPr>
            <w:r>
              <w:rPr>
                <w:rFonts w:asciiTheme="minorEastAsia" w:eastAsiaTheme="minorEastAsia" w:hAnsiTheme="minorEastAsia"/>
                <w:b/>
                <w:bCs/>
                <w:color w:val="FFFFFF" w:themeColor="background1"/>
                <w:sz w:val="21"/>
                <w:szCs w:val="21"/>
              </w:rPr>
              <w:t>工伤保险基金</w:t>
            </w:r>
          </w:p>
        </w:tc>
        <w:tc>
          <w:tcPr>
            <w:tcW w:w="2111" w:type="dxa"/>
            <w:tcBorders>
              <w:top w:val="single" w:sz="8" w:space="0" w:color="FFFFFF"/>
              <w:left w:val="single" w:sz="8" w:space="0" w:color="FFFFFF"/>
              <w:bottom w:val="single" w:sz="8" w:space="0" w:color="FFFFFF"/>
              <w:right w:val="single" w:sz="8" w:space="0" w:color="FFFFFF"/>
            </w:tcBorders>
            <w:shd w:val="clear" w:color="auto" w:fill="EBF0F2"/>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1984</w:t>
            </w:r>
          </w:p>
        </w:tc>
        <w:tc>
          <w:tcPr>
            <w:tcW w:w="1949" w:type="dxa"/>
            <w:tcBorders>
              <w:top w:val="single" w:sz="8" w:space="0" w:color="FFFFFF"/>
              <w:left w:val="single" w:sz="8" w:space="0" w:color="FFFFFF"/>
              <w:bottom w:val="single" w:sz="8" w:space="0" w:color="FFFFFF"/>
              <w:right w:val="single" w:sz="8" w:space="0" w:color="FFFFFF"/>
            </w:tcBorders>
            <w:shd w:val="clear" w:color="auto" w:fill="EBF0F2"/>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1488</w:t>
            </w:r>
          </w:p>
        </w:tc>
      </w:tr>
      <w:tr w:rsidR="003178C5">
        <w:trPr>
          <w:trHeight w:val="128"/>
        </w:trPr>
        <w:tc>
          <w:tcPr>
            <w:tcW w:w="5093" w:type="dxa"/>
            <w:tcBorders>
              <w:top w:val="single" w:sz="8" w:space="0" w:color="FFFFFF"/>
              <w:left w:val="single" w:sz="8" w:space="0" w:color="FFFFFF"/>
              <w:bottom w:val="single" w:sz="8"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color w:val="FFFFFF" w:themeColor="background1"/>
                <w:sz w:val="21"/>
                <w:szCs w:val="21"/>
              </w:rPr>
            </w:pPr>
            <w:r>
              <w:rPr>
                <w:rFonts w:asciiTheme="minorEastAsia" w:eastAsiaTheme="minorEastAsia" w:hAnsiTheme="minorEastAsia"/>
                <w:b/>
                <w:bCs/>
                <w:color w:val="FFFFFF" w:themeColor="background1"/>
                <w:sz w:val="21"/>
                <w:szCs w:val="21"/>
              </w:rPr>
              <w:t>城乡居民基本养老保险基金</w:t>
            </w:r>
          </w:p>
        </w:tc>
        <w:tc>
          <w:tcPr>
            <w:tcW w:w="2111" w:type="dxa"/>
            <w:tcBorders>
              <w:top w:val="single" w:sz="8" w:space="0" w:color="FFFFFF"/>
              <w:left w:val="single" w:sz="8" w:space="0" w:color="FFFFFF"/>
              <w:bottom w:val="single" w:sz="8" w:space="0" w:color="FFFFFF"/>
              <w:right w:val="single" w:sz="8" w:space="0" w:color="FFFFFF"/>
            </w:tcBorders>
            <w:shd w:val="clear" w:color="auto" w:fill="D5DFE4"/>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21699</w:t>
            </w:r>
          </w:p>
        </w:tc>
        <w:tc>
          <w:tcPr>
            <w:tcW w:w="1949" w:type="dxa"/>
            <w:tcBorders>
              <w:top w:val="single" w:sz="8" w:space="0" w:color="FFFFFF"/>
              <w:left w:val="single" w:sz="8" w:space="0" w:color="FFFFFF"/>
              <w:bottom w:val="single" w:sz="8" w:space="0" w:color="FFFFFF"/>
              <w:right w:val="single" w:sz="8" w:space="0" w:color="FFFFFF"/>
            </w:tcBorders>
            <w:shd w:val="clear" w:color="auto" w:fill="D5DFE4"/>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20907</w:t>
            </w:r>
          </w:p>
        </w:tc>
      </w:tr>
      <w:tr w:rsidR="003178C5">
        <w:trPr>
          <w:trHeight w:val="55"/>
        </w:trPr>
        <w:tc>
          <w:tcPr>
            <w:tcW w:w="5093" w:type="dxa"/>
            <w:tcBorders>
              <w:top w:val="single" w:sz="8" w:space="0" w:color="FFFFFF"/>
              <w:left w:val="single" w:sz="8" w:space="0" w:color="FFFFFF"/>
              <w:bottom w:val="single" w:sz="8"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color w:val="FFFFFF" w:themeColor="background1"/>
                <w:sz w:val="21"/>
                <w:szCs w:val="21"/>
              </w:rPr>
            </w:pPr>
            <w:r>
              <w:rPr>
                <w:rFonts w:asciiTheme="minorEastAsia" w:eastAsiaTheme="minorEastAsia" w:hAnsiTheme="minorEastAsia"/>
                <w:b/>
                <w:bCs/>
                <w:color w:val="FFFFFF" w:themeColor="background1"/>
                <w:sz w:val="21"/>
                <w:szCs w:val="21"/>
              </w:rPr>
              <w:t>城乡居民医疗保险基金</w:t>
            </w:r>
          </w:p>
        </w:tc>
        <w:tc>
          <w:tcPr>
            <w:tcW w:w="2111" w:type="dxa"/>
            <w:tcBorders>
              <w:top w:val="single" w:sz="8" w:space="0" w:color="FFFFFF"/>
              <w:left w:val="single" w:sz="8" w:space="0" w:color="FFFFFF"/>
              <w:bottom w:val="single" w:sz="8" w:space="0" w:color="FFFFFF"/>
              <w:right w:val="single" w:sz="8" w:space="0" w:color="FFFFFF"/>
            </w:tcBorders>
            <w:shd w:val="clear" w:color="auto" w:fill="EBF0F2"/>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59559</w:t>
            </w:r>
          </w:p>
        </w:tc>
        <w:tc>
          <w:tcPr>
            <w:tcW w:w="1949" w:type="dxa"/>
            <w:tcBorders>
              <w:top w:val="single" w:sz="8" w:space="0" w:color="FFFFFF"/>
              <w:left w:val="single" w:sz="8" w:space="0" w:color="FFFFFF"/>
              <w:bottom w:val="single" w:sz="8" w:space="0" w:color="FFFFFF"/>
              <w:right w:val="single" w:sz="8" w:space="0" w:color="FFFFFF"/>
            </w:tcBorders>
            <w:shd w:val="clear" w:color="auto" w:fill="EBF0F2"/>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59983</w:t>
            </w:r>
          </w:p>
        </w:tc>
      </w:tr>
      <w:tr w:rsidR="003178C5">
        <w:trPr>
          <w:trHeight w:val="128"/>
        </w:trPr>
        <w:tc>
          <w:tcPr>
            <w:tcW w:w="5093" w:type="dxa"/>
            <w:tcBorders>
              <w:top w:val="single" w:sz="8" w:space="0" w:color="FFFFFF"/>
              <w:left w:val="single" w:sz="8" w:space="0" w:color="FFFFFF"/>
              <w:bottom w:val="single" w:sz="8"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color w:val="FFFFFF" w:themeColor="background1"/>
                <w:sz w:val="21"/>
                <w:szCs w:val="21"/>
              </w:rPr>
            </w:pPr>
            <w:r>
              <w:rPr>
                <w:rFonts w:asciiTheme="minorEastAsia" w:eastAsiaTheme="minorEastAsia" w:hAnsiTheme="minorEastAsia"/>
                <w:b/>
                <w:bCs/>
                <w:color w:val="FFFFFF" w:themeColor="background1"/>
                <w:sz w:val="21"/>
                <w:szCs w:val="21"/>
              </w:rPr>
              <w:t>机关事业单位养老保险基金</w:t>
            </w:r>
          </w:p>
        </w:tc>
        <w:tc>
          <w:tcPr>
            <w:tcW w:w="2111" w:type="dxa"/>
            <w:tcBorders>
              <w:top w:val="single" w:sz="8" w:space="0" w:color="FFFFFF"/>
              <w:left w:val="single" w:sz="8" w:space="0" w:color="FFFFFF"/>
              <w:bottom w:val="single" w:sz="8" w:space="0" w:color="FFFFFF"/>
              <w:right w:val="single" w:sz="8" w:space="0" w:color="FFFFFF"/>
            </w:tcBorders>
            <w:shd w:val="clear" w:color="auto" w:fill="D5DFE4"/>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53566</w:t>
            </w:r>
          </w:p>
        </w:tc>
        <w:tc>
          <w:tcPr>
            <w:tcW w:w="1949" w:type="dxa"/>
            <w:tcBorders>
              <w:top w:val="single" w:sz="8" w:space="0" w:color="FFFFFF"/>
              <w:left w:val="single" w:sz="8" w:space="0" w:color="FFFFFF"/>
              <w:bottom w:val="single" w:sz="8" w:space="0" w:color="FFFFFF"/>
              <w:right w:val="single" w:sz="8" w:space="0" w:color="FFFFFF"/>
            </w:tcBorders>
            <w:shd w:val="clear" w:color="auto" w:fill="D5DFE4"/>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52876</w:t>
            </w:r>
          </w:p>
        </w:tc>
      </w:tr>
      <w:tr w:rsidR="003178C5">
        <w:trPr>
          <w:trHeight w:val="128"/>
        </w:trPr>
        <w:tc>
          <w:tcPr>
            <w:tcW w:w="5093" w:type="dxa"/>
            <w:tcBorders>
              <w:top w:val="single" w:sz="8" w:space="0" w:color="FFFFFF"/>
              <w:left w:val="single" w:sz="8" w:space="0" w:color="FFFFFF"/>
              <w:bottom w:val="single" w:sz="8" w:space="0" w:color="FFFFFF"/>
              <w:right w:val="single" w:sz="8" w:space="0" w:color="FFFFFF"/>
            </w:tcBorders>
            <w:shd w:val="clear" w:color="auto" w:fill="6EA0B0"/>
            <w:tcMar>
              <w:top w:w="15" w:type="dxa"/>
              <w:left w:w="108" w:type="dxa"/>
              <w:bottom w:w="0" w:type="dxa"/>
              <w:right w:w="108" w:type="dxa"/>
            </w:tcMar>
          </w:tcPr>
          <w:p w:rsidR="003178C5" w:rsidRDefault="006A6E2E">
            <w:pPr>
              <w:spacing w:line="400" w:lineRule="exact"/>
              <w:ind w:firstLineChars="200" w:firstLine="422"/>
              <w:jc w:val="center"/>
              <w:rPr>
                <w:rFonts w:asciiTheme="minorEastAsia" w:eastAsiaTheme="minorEastAsia" w:hAnsiTheme="minorEastAsia"/>
                <w:b/>
                <w:color w:val="FFFFFF" w:themeColor="background1"/>
                <w:sz w:val="21"/>
                <w:szCs w:val="21"/>
              </w:rPr>
            </w:pPr>
            <w:r>
              <w:rPr>
                <w:rFonts w:asciiTheme="minorEastAsia" w:eastAsiaTheme="minorEastAsia" w:hAnsiTheme="minorEastAsia"/>
                <w:b/>
                <w:bCs/>
                <w:color w:val="FFFFFF" w:themeColor="background1"/>
                <w:sz w:val="21"/>
                <w:szCs w:val="21"/>
              </w:rPr>
              <w:t>合</w:t>
            </w:r>
            <w:r>
              <w:rPr>
                <w:rFonts w:asciiTheme="minorEastAsia" w:eastAsiaTheme="minorEastAsia" w:hAnsiTheme="minorEastAsia" w:hint="eastAsia"/>
                <w:b/>
                <w:bCs/>
                <w:color w:val="FFFFFF" w:themeColor="background1"/>
                <w:sz w:val="21"/>
                <w:szCs w:val="21"/>
              </w:rPr>
              <w:t xml:space="preserve">  </w:t>
            </w:r>
            <w:r>
              <w:rPr>
                <w:rFonts w:asciiTheme="minorEastAsia" w:eastAsiaTheme="minorEastAsia" w:hAnsiTheme="minorEastAsia"/>
                <w:b/>
                <w:bCs/>
                <w:color w:val="FFFFFF" w:themeColor="background1"/>
                <w:sz w:val="21"/>
                <w:szCs w:val="21"/>
              </w:rPr>
              <w:t>计</w:t>
            </w:r>
          </w:p>
        </w:tc>
        <w:tc>
          <w:tcPr>
            <w:tcW w:w="2111" w:type="dxa"/>
            <w:tcBorders>
              <w:top w:val="single" w:sz="8" w:space="0" w:color="FFFFFF"/>
              <w:left w:val="single" w:sz="8" w:space="0" w:color="FFFFFF"/>
              <w:bottom w:val="single" w:sz="8" w:space="0" w:color="FFFFFF"/>
              <w:right w:val="single" w:sz="8" w:space="0" w:color="FFFFFF"/>
            </w:tcBorders>
            <w:shd w:val="clear" w:color="auto" w:fill="EBF0F2"/>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270359</w:t>
            </w:r>
          </w:p>
        </w:tc>
        <w:tc>
          <w:tcPr>
            <w:tcW w:w="1949" w:type="dxa"/>
            <w:tcBorders>
              <w:top w:val="single" w:sz="8" w:space="0" w:color="FFFFFF"/>
              <w:left w:val="single" w:sz="8" w:space="0" w:color="FFFFFF"/>
              <w:bottom w:val="single" w:sz="8" w:space="0" w:color="FFFFFF"/>
              <w:right w:val="single" w:sz="8" w:space="0" w:color="FFFFFF"/>
            </w:tcBorders>
            <w:shd w:val="clear" w:color="auto" w:fill="EBF0F2"/>
            <w:tcMar>
              <w:top w:w="15" w:type="dxa"/>
              <w:left w:w="108" w:type="dxa"/>
              <w:bottom w:w="0" w:type="dxa"/>
              <w:right w:w="108" w:type="dxa"/>
            </w:tcMar>
          </w:tcPr>
          <w:p w:rsidR="003178C5" w:rsidRDefault="006A6E2E">
            <w:pPr>
              <w:spacing w:line="400" w:lineRule="exact"/>
              <w:ind w:firstLineChars="200" w:firstLine="422"/>
              <w:jc w:val="lef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267788</w:t>
            </w:r>
          </w:p>
        </w:tc>
      </w:tr>
    </w:tbl>
    <w:p w:rsidR="003178C5" w:rsidRDefault="006A6E2E">
      <w:pPr>
        <w:spacing w:line="560" w:lineRule="exact"/>
        <w:ind w:firstLineChars="200" w:firstLine="640"/>
        <w:rPr>
          <w:rFonts w:ascii="仿宋" w:eastAsia="仿宋" w:hAnsi="仿宋"/>
          <w:b/>
          <w:color w:val="000000" w:themeColor="text1"/>
        </w:rPr>
      </w:pPr>
      <w:r>
        <w:rPr>
          <w:rFonts w:ascii="仿宋" w:eastAsia="仿宋" w:hAnsi="仿宋" w:hint="eastAsia"/>
          <w:color w:val="000000" w:themeColor="text1"/>
        </w:rPr>
        <w:t>当年预算结余2571万元。</w:t>
      </w:r>
    </w:p>
    <w:p w:rsidR="003178C5" w:rsidRDefault="006A6E2E">
      <w:pPr>
        <w:spacing w:line="560" w:lineRule="exact"/>
        <w:ind w:firstLineChars="200" w:firstLine="643"/>
        <w:rPr>
          <w:rFonts w:ascii="仿宋" w:eastAsia="仿宋" w:hAnsi="仿宋"/>
          <w:b/>
          <w:color w:val="000000" w:themeColor="text1"/>
        </w:rPr>
      </w:pPr>
      <w:r>
        <w:rPr>
          <w:rFonts w:ascii="仿宋" w:eastAsia="仿宋" w:hAnsi="仿宋" w:hint="eastAsia"/>
          <w:b/>
          <w:color w:val="000000" w:themeColor="text1"/>
        </w:rPr>
        <w:t>4.国有资本经营预算草案</w:t>
      </w:r>
      <w:r>
        <w:rPr>
          <w:rFonts w:ascii="仿宋" w:eastAsia="仿宋" w:hAnsi="仿宋" w:hint="eastAsia"/>
          <w:color w:val="000000" w:themeColor="text1"/>
        </w:rPr>
        <w:t>。</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收入预算15000万元，主要收入项目安排情况：区城投集团上缴利润5000万元，区龙岭投公司上缴利润10000万元。</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支出预算15000万元，主要支出项目安排情况：城乡社区事务支出7500万元，调出一般公共预算7500万元。</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当年预算收支平衡。</w:t>
      </w:r>
    </w:p>
    <w:p w:rsidR="003178C5" w:rsidRDefault="006A6E2E">
      <w:pPr>
        <w:spacing w:line="560" w:lineRule="exact"/>
        <w:ind w:firstLineChars="200" w:firstLine="643"/>
        <w:rPr>
          <w:rFonts w:ascii="楷体" w:eastAsia="楷体" w:hAnsi="楷体"/>
          <w:b/>
        </w:rPr>
      </w:pPr>
      <w:r>
        <w:rPr>
          <w:rFonts w:ascii="楷体" w:eastAsia="楷体" w:hAnsi="楷体" w:hint="eastAsia"/>
          <w:b/>
        </w:rPr>
        <w:t>（二）2021年区本级资金保障重点</w:t>
      </w:r>
    </w:p>
    <w:p w:rsidR="003178C5" w:rsidRDefault="006A6E2E">
      <w:pPr>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2021年，区本级预算安排紧紧围绕全区各项重点工作部署，从严控制一般性支出，集中财力保工资、保运转、保基本民生，</w:t>
      </w:r>
      <w:r>
        <w:rPr>
          <w:rFonts w:ascii="仿宋" w:eastAsia="仿宋" w:hAnsi="仿宋" w:hint="eastAsia"/>
          <w:color w:val="000000" w:themeColor="text1"/>
        </w:rPr>
        <w:lastRenderedPageBreak/>
        <w:t>扎实推进乡村振兴，开创“三农”工作新局面。</w:t>
      </w:r>
    </w:p>
    <w:p w:rsidR="003178C5" w:rsidRDefault="006A6E2E">
      <w:pPr>
        <w:tabs>
          <w:tab w:val="left" w:pos="312"/>
        </w:tabs>
        <w:spacing w:line="560" w:lineRule="exact"/>
        <w:ind w:firstLineChars="200" w:firstLine="643"/>
        <w:rPr>
          <w:rFonts w:ascii="仿宋" w:eastAsia="仿宋" w:hAnsi="仿宋"/>
        </w:rPr>
      </w:pPr>
      <w:r>
        <w:rPr>
          <w:rFonts w:ascii="仿宋" w:eastAsia="仿宋" w:hAnsi="仿宋" w:hint="eastAsia"/>
          <w:b/>
        </w:rPr>
        <w:t>1.严守“三保”底线</w:t>
      </w:r>
      <w:r>
        <w:rPr>
          <w:rFonts w:ascii="仿宋" w:eastAsia="仿宋" w:hAnsi="仿宋" w:hint="eastAsia"/>
        </w:rPr>
        <w:t>。根据省财政厅下发文件中关于“三保”项目及支出标准要求，我区“三保”财力、“三保”支出需求、“三保”保障情况如下：</w:t>
      </w:r>
    </w:p>
    <w:p w:rsidR="003178C5" w:rsidRDefault="006A6E2E">
      <w:pPr>
        <w:spacing w:line="560" w:lineRule="exact"/>
        <w:ind w:firstLineChars="200" w:firstLine="640"/>
        <w:rPr>
          <w:rFonts w:ascii="仿宋" w:eastAsia="仿宋" w:hAnsi="仿宋"/>
        </w:rPr>
      </w:pPr>
      <w:r>
        <w:rPr>
          <w:rFonts w:ascii="仿宋" w:eastAsia="仿宋" w:hAnsi="仿宋" w:hint="eastAsia"/>
        </w:rPr>
        <w:t>（1）“三保”可用财力测算情况</w:t>
      </w:r>
    </w:p>
    <w:p w:rsidR="003178C5" w:rsidRPr="00630472" w:rsidRDefault="006A6E2E">
      <w:pPr>
        <w:spacing w:line="560" w:lineRule="exact"/>
        <w:ind w:firstLineChars="200" w:firstLine="640"/>
        <w:rPr>
          <w:rFonts w:ascii="仿宋" w:eastAsia="仿宋" w:hAnsi="仿宋"/>
          <w:color w:val="000000" w:themeColor="text1"/>
        </w:rPr>
      </w:pPr>
      <w:r w:rsidRPr="00630472">
        <w:rPr>
          <w:rFonts w:ascii="仿宋" w:eastAsia="仿宋" w:hAnsi="仿宋" w:hint="eastAsia"/>
          <w:color w:val="000000" w:themeColor="text1"/>
        </w:rPr>
        <w:t xml:space="preserve"> 根据草案安排的收入项目情况以及上级规定计算口径，测算全年“三保”可用财力为</w:t>
      </w:r>
      <w:r w:rsidR="00DA31C7" w:rsidRPr="00630472">
        <w:rPr>
          <w:rFonts w:ascii="仿宋" w:eastAsia="仿宋" w:hAnsi="仿宋" w:hint="eastAsia"/>
          <w:color w:val="000000" w:themeColor="text1"/>
        </w:rPr>
        <w:t>428516</w:t>
      </w:r>
      <w:r w:rsidRPr="00630472">
        <w:rPr>
          <w:rFonts w:ascii="仿宋" w:eastAsia="仿宋" w:hAnsi="仿宋" w:hint="eastAsia"/>
          <w:color w:val="000000" w:themeColor="text1"/>
        </w:rPr>
        <w:t>万元。其中：区本级地方一般公共预算收入为</w:t>
      </w:r>
      <w:r w:rsidR="00DA31C7" w:rsidRPr="00630472">
        <w:rPr>
          <w:rFonts w:ascii="仿宋" w:eastAsia="仿宋" w:hAnsi="仿宋"/>
          <w:color w:val="000000" w:themeColor="text1"/>
        </w:rPr>
        <w:t>78635</w:t>
      </w:r>
      <w:r w:rsidRPr="00630472">
        <w:rPr>
          <w:rFonts w:ascii="仿宋" w:eastAsia="仿宋" w:hAnsi="仿宋" w:hint="eastAsia"/>
          <w:color w:val="000000" w:themeColor="text1"/>
        </w:rPr>
        <w:t>万元，上级补助收入</w:t>
      </w:r>
      <w:r w:rsidR="00630472" w:rsidRPr="00630472">
        <w:rPr>
          <w:rFonts w:ascii="仿宋" w:eastAsia="仿宋" w:hAnsi="仿宋"/>
          <w:color w:val="000000" w:themeColor="text1"/>
        </w:rPr>
        <w:t>343810</w:t>
      </w:r>
      <w:r w:rsidRPr="00630472">
        <w:rPr>
          <w:rFonts w:ascii="仿宋" w:eastAsia="仿宋" w:hAnsi="仿宋" w:hint="eastAsia"/>
          <w:color w:val="000000" w:themeColor="text1"/>
        </w:rPr>
        <w:t>万元（税收返还收入16384万元，一般性转移支付收入</w:t>
      </w:r>
      <w:r w:rsidR="00DA31C7" w:rsidRPr="00630472">
        <w:rPr>
          <w:rFonts w:ascii="仿宋" w:eastAsia="仿宋" w:hAnsi="仿宋"/>
          <w:color w:val="000000" w:themeColor="text1"/>
        </w:rPr>
        <w:t>279751</w:t>
      </w:r>
      <w:r w:rsidRPr="00630472">
        <w:rPr>
          <w:rFonts w:ascii="仿宋" w:eastAsia="仿宋" w:hAnsi="仿宋" w:hint="eastAsia"/>
          <w:color w:val="000000" w:themeColor="text1"/>
        </w:rPr>
        <w:t>万元，可用于“三保”的专项转移支付收入47675万元），调入资金16000万元，扣减上解支出9929万元。</w:t>
      </w:r>
    </w:p>
    <w:p w:rsidR="003178C5" w:rsidRDefault="006A6E2E">
      <w:pPr>
        <w:spacing w:line="560" w:lineRule="exact"/>
        <w:ind w:firstLineChars="200" w:firstLine="640"/>
        <w:rPr>
          <w:rFonts w:ascii="仿宋" w:eastAsia="仿宋" w:hAnsi="仿宋"/>
        </w:rPr>
      </w:pPr>
      <w:r>
        <w:rPr>
          <w:rFonts w:ascii="仿宋" w:eastAsia="仿宋" w:hAnsi="仿宋" w:hint="eastAsia"/>
        </w:rPr>
        <w:t>（2）“三保”需求和保障情况</w:t>
      </w:r>
    </w:p>
    <w:p w:rsidR="003178C5" w:rsidRDefault="006A6E2E">
      <w:pPr>
        <w:spacing w:line="560" w:lineRule="exact"/>
        <w:ind w:firstLineChars="200" w:firstLine="640"/>
        <w:rPr>
          <w:rFonts w:ascii="仿宋" w:eastAsia="仿宋" w:hAnsi="仿宋"/>
        </w:rPr>
      </w:pPr>
      <w:r>
        <w:rPr>
          <w:rFonts w:ascii="仿宋" w:eastAsia="仿宋" w:hAnsi="仿宋" w:hint="eastAsia"/>
        </w:rPr>
        <w:t>按照上级制定的“三保”保障范围和标准测算，全年“三保”支出需求为260899万元，预算安排280390万元，“三保”预算无缺口。具体情况如下：</w:t>
      </w:r>
    </w:p>
    <w:p w:rsidR="003178C5" w:rsidRDefault="006A6E2E">
      <w:pPr>
        <w:spacing w:line="560" w:lineRule="exact"/>
        <w:ind w:firstLineChars="200" w:firstLine="640"/>
        <w:rPr>
          <w:rFonts w:ascii="仿宋" w:eastAsia="仿宋" w:hAnsi="仿宋"/>
        </w:rPr>
      </w:pPr>
      <w:r>
        <w:rPr>
          <w:rFonts w:ascii="仿宋" w:eastAsia="仿宋" w:hAnsi="仿宋" w:hint="eastAsia"/>
        </w:rPr>
        <w:t>保工资。在职人员11667人，其中行政部门3537人、公检法部门16人、全额事业单位8114人。按中央标准测算在职人员经费支出需求112252万元，预算安排115965万元，无缺口。</w:t>
      </w:r>
    </w:p>
    <w:p w:rsidR="003178C5" w:rsidRDefault="006A6E2E">
      <w:pPr>
        <w:spacing w:line="560" w:lineRule="exact"/>
        <w:ind w:firstLineChars="200" w:firstLine="640"/>
        <w:rPr>
          <w:rFonts w:ascii="仿宋" w:eastAsia="仿宋" w:hAnsi="仿宋"/>
        </w:rPr>
      </w:pPr>
      <w:r>
        <w:rPr>
          <w:rFonts w:ascii="仿宋" w:eastAsia="仿宋" w:hAnsi="仿宋" w:hint="eastAsia"/>
        </w:rPr>
        <w:t>保运转。认真落实中央、省、市压减一般性支出的政策要求，确保部门单位基本运转，安排行政部门公用经费6207万元，公检法部门公用经费49万元，其他部门公用经费615万元（根据上级三保预算编制要求，“三保”预算保运转部分不含教育和卫</w:t>
      </w:r>
      <w:r>
        <w:rPr>
          <w:rFonts w:ascii="仿宋" w:eastAsia="仿宋" w:hAnsi="仿宋" w:hint="eastAsia"/>
        </w:rPr>
        <w:lastRenderedPageBreak/>
        <w:t>生部门）。全区公用经费需求合计5887万元，预算安排6871万元，无缺口。</w:t>
      </w:r>
    </w:p>
    <w:p w:rsidR="003178C5" w:rsidRDefault="006A6E2E">
      <w:pPr>
        <w:spacing w:line="560" w:lineRule="exact"/>
        <w:ind w:firstLineChars="200" w:firstLine="640"/>
        <w:rPr>
          <w:rFonts w:ascii="仿宋" w:eastAsia="仿宋" w:hAnsi="仿宋"/>
        </w:rPr>
      </w:pPr>
      <w:r>
        <w:rPr>
          <w:rFonts w:ascii="仿宋" w:eastAsia="仿宋" w:hAnsi="仿宋" w:hint="eastAsia"/>
        </w:rPr>
        <w:t>保基本民生。按照省财政厅下发的中央保障标准测算，保基本民生需求142760万元，预算安排157554万元，“保基本民生”支出无缺口。其中：扶贫支出需求8738万元，预算安排8758万元，无缺口；教育经费支出需求11317万元，预算安排11542万元，无缺口；文化支出需求142万元，预算安排160万元，无缺口；社会保障支出需求21082万元，预算安排24114万元，无缺口；卫生健康支出需求49112万元，预算安排51458万元，无缺口；村级支出需求1562万元，预算安排4895万元，无缺口；其他基本民生支出需求50807万元，预算安排56627万元，无缺口。</w:t>
      </w:r>
    </w:p>
    <w:p w:rsidR="003178C5" w:rsidRDefault="006A6E2E">
      <w:pPr>
        <w:spacing w:line="560" w:lineRule="exact"/>
        <w:ind w:firstLineChars="200" w:firstLine="643"/>
        <w:rPr>
          <w:rFonts w:ascii="仿宋" w:eastAsia="仿宋" w:hAnsi="仿宋"/>
        </w:rPr>
      </w:pPr>
      <w:r>
        <w:rPr>
          <w:rFonts w:ascii="仿宋" w:eastAsia="仿宋" w:hAnsi="仿宋" w:hint="eastAsia"/>
          <w:b/>
        </w:rPr>
        <w:t>2.助力乡村振兴</w:t>
      </w:r>
      <w:r>
        <w:rPr>
          <w:rFonts w:ascii="仿宋" w:eastAsia="仿宋" w:hAnsi="仿宋" w:hint="eastAsia"/>
        </w:rPr>
        <w:t>。落实“四个不摘”要求，保持脱贫攻坚政策总体稳定，建立防止返贫监测帮扶机制，接续推进脱贫攻坚同乡村振兴有效衔接，巩固拓展脱贫攻坚成果。高质量编制“多规合一”实用性村庄规划，实现村庄规划编制全覆盖。持续整治农村人居环境，全面推行“户分类、村收集、镇清运、区无害化处理”垃圾分类处理模式，改（新）建农村户用卫生厕所。</w:t>
      </w:r>
    </w:p>
    <w:p w:rsidR="003178C5" w:rsidRDefault="006A6E2E">
      <w:pPr>
        <w:spacing w:line="560" w:lineRule="exact"/>
        <w:ind w:firstLineChars="200" w:firstLine="643"/>
        <w:rPr>
          <w:rFonts w:ascii="仿宋" w:eastAsia="仿宋" w:hAnsi="仿宋"/>
        </w:rPr>
      </w:pPr>
      <w:r>
        <w:rPr>
          <w:rFonts w:ascii="仿宋" w:eastAsia="仿宋" w:hAnsi="仿宋" w:hint="eastAsia"/>
          <w:b/>
        </w:rPr>
        <w:t>3.推进污染防治</w:t>
      </w:r>
      <w:r>
        <w:rPr>
          <w:rFonts w:ascii="仿宋" w:eastAsia="仿宋" w:hAnsi="仿宋" w:hint="eastAsia"/>
        </w:rPr>
        <w:t>。统筹整合资金9283万元，大力推进大气污染联防联控联治，强力推进工业企业排放管控、工地扬尘治理、油烟渣土治理、砂石企业扬尘治理、机动车尾气治理、“散乱污”企业整治、秸秆垃圾禁烧、烟花爆竹禁放，推动城乡生态环境持续改善。</w:t>
      </w:r>
    </w:p>
    <w:p w:rsidR="003178C5" w:rsidRDefault="006A6E2E">
      <w:pPr>
        <w:spacing w:line="560" w:lineRule="exact"/>
        <w:ind w:firstLineChars="200" w:firstLine="643"/>
        <w:rPr>
          <w:rFonts w:ascii="仿宋" w:eastAsia="仿宋" w:hAnsi="仿宋"/>
        </w:rPr>
      </w:pPr>
      <w:r>
        <w:rPr>
          <w:rFonts w:ascii="仿宋" w:eastAsia="仿宋" w:hAnsi="仿宋" w:hint="eastAsia"/>
          <w:b/>
        </w:rPr>
        <w:lastRenderedPageBreak/>
        <w:t>4.严防债务风险</w:t>
      </w:r>
      <w:r>
        <w:rPr>
          <w:rFonts w:ascii="仿宋" w:eastAsia="仿宋" w:hAnsi="仿宋" w:hint="eastAsia"/>
        </w:rPr>
        <w:t>。将2021年到期政府债券本息全额列入预算，共计35245万元，其中一般公共预算29745万元，政府性基金预算5500万元。此外，安排偿债准备金1000万元。</w:t>
      </w:r>
    </w:p>
    <w:p w:rsidR="003178C5" w:rsidRDefault="006A6E2E">
      <w:pPr>
        <w:spacing w:line="560" w:lineRule="exact"/>
        <w:ind w:firstLineChars="200" w:firstLine="643"/>
        <w:rPr>
          <w:rFonts w:ascii="仿宋" w:eastAsia="仿宋" w:hAnsi="仿宋"/>
        </w:rPr>
      </w:pPr>
      <w:r>
        <w:rPr>
          <w:rFonts w:ascii="仿宋" w:eastAsia="仿宋" w:hAnsi="仿宋" w:hint="eastAsia"/>
          <w:b/>
        </w:rPr>
        <w:t>5.补齐民生短板</w:t>
      </w:r>
      <w:r>
        <w:rPr>
          <w:rFonts w:ascii="仿宋" w:eastAsia="仿宋" w:hAnsi="仿宋" w:hint="eastAsia"/>
        </w:rPr>
        <w:t>。</w:t>
      </w:r>
      <w:r>
        <w:rPr>
          <w:rFonts w:ascii="仿宋" w:eastAsia="仿宋" w:hAnsi="仿宋" w:hint="eastAsia"/>
          <w:b/>
        </w:rPr>
        <w:t>一是</w:t>
      </w:r>
      <w:r>
        <w:rPr>
          <w:rFonts w:ascii="仿宋" w:eastAsia="仿宋" w:hAnsi="仿宋" w:hint="eastAsia"/>
        </w:rPr>
        <w:t>安排教育支出95993万元。推进基础教育均衡发展，积极推进学前教育，全面落实教育生均公用经费补助政策</w:t>
      </w:r>
      <w:r>
        <w:rPr>
          <w:rFonts w:asciiTheme="minorEastAsia" w:eastAsiaTheme="minorEastAsia" w:hAnsiTheme="minorEastAsia" w:hint="eastAsia"/>
          <w:position w:val="6"/>
          <w:sz w:val="21"/>
          <w:szCs w:val="21"/>
        </w:rPr>
        <w:t>〔15〕</w:t>
      </w:r>
      <w:r>
        <w:rPr>
          <w:rFonts w:ascii="仿宋" w:eastAsia="仿宋" w:hAnsi="仿宋" w:hint="eastAsia"/>
        </w:rPr>
        <w:t>和各项助学政策，支持中小学薄弱学校新建、改扩建，优化教育资源均衡配置，促进教育公平和质量提高。支持职业教育及高中教育发展，安排资金3794万元，积极落实中等职业学校助学金及免学费政策，支持改善办学条件和教育内涵提升。</w:t>
      </w:r>
      <w:r>
        <w:rPr>
          <w:rFonts w:ascii="仿宋" w:eastAsia="仿宋" w:hAnsi="仿宋" w:hint="eastAsia"/>
          <w:b/>
        </w:rPr>
        <w:t>二是</w:t>
      </w:r>
      <w:r>
        <w:rPr>
          <w:rFonts w:ascii="仿宋" w:eastAsia="仿宋" w:hAnsi="仿宋" w:hint="eastAsia"/>
        </w:rPr>
        <w:t>安排社会保障和就业支出112774万元。完善养老保险制度，安排资金16171万元，落实城乡居民养老保险财政补贴政策。安排资金33329万元，兜底保障行政事业单位退休人员养老金发放。完善社会救助制度，安排资金9879万元，加大对退役安置、残疾人事业、困难群体的救助力度，提高社会救助和保障水平。促进就业再就业，安排资金1897万元，支持高校毕业生就业创业、再就业岗位培训等。</w:t>
      </w:r>
      <w:r>
        <w:rPr>
          <w:rFonts w:ascii="仿宋" w:eastAsia="仿宋" w:hAnsi="仿宋" w:hint="eastAsia"/>
          <w:b/>
        </w:rPr>
        <w:t>三是</w:t>
      </w:r>
      <w:r>
        <w:rPr>
          <w:rFonts w:ascii="仿宋" w:eastAsia="仿宋" w:hAnsi="仿宋" w:hint="eastAsia"/>
        </w:rPr>
        <w:t>安排医疗卫生支出67714万元。健全医疗保障体系，安排资金42127万元，用于城乡居民基本医疗保险补助。完善基本医疗服务体系，安排资金6949万元，推进基本公共卫生服务均等化，加大对分级诊疗工作的支持力度，逐步建立完善财政补助与医疗服务数量、质量相挂钩的补助机制，支持公共卫生事业发展，改善基层卫生机构医疗条件。</w:t>
      </w:r>
      <w:r>
        <w:rPr>
          <w:rFonts w:ascii="仿宋" w:eastAsia="仿宋" w:hAnsi="仿宋" w:hint="eastAsia"/>
          <w:b/>
          <w:spacing w:val="-4"/>
        </w:rPr>
        <w:t>四是</w:t>
      </w:r>
      <w:r>
        <w:rPr>
          <w:rFonts w:ascii="仿宋" w:eastAsia="仿宋" w:hAnsi="仿宋" w:hint="eastAsia"/>
          <w:spacing w:val="-4"/>
        </w:rPr>
        <w:t>安排文化体育与传媒支出2702万元。主要用于“两馆一站”免费开放、群</w:t>
      </w:r>
      <w:r>
        <w:rPr>
          <w:rFonts w:ascii="仿宋" w:eastAsia="仿宋" w:hAnsi="仿宋" w:hint="eastAsia"/>
          <w:spacing w:val="-4"/>
        </w:rPr>
        <w:lastRenderedPageBreak/>
        <w:t>众文化活动以及送戏送电影下乡等惠民工程的开展，推进胡林翼故居恢复建设、金家堤支部纪念园建设、叶紫故居提质改造，推动“一碑五馆”创建国家 AAA 级旅游景区、泉交河镇竹泉山村创建湖南省乡村旅游重点村，打造特色旅游线路</w:t>
      </w:r>
      <w:r>
        <w:rPr>
          <w:rFonts w:ascii="仿宋" w:eastAsia="仿宋" w:hAnsi="仿宋" w:hint="eastAsia"/>
        </w:rPr>
        <w:t>。</w:t>
      </w:r>
    </w:p>
    <w:p w:rsidR="003178C5" w:rsidRDefault="006A6E2E">
      <w:pPr>
        <w:spacing w:line="560" w:lineRule="exact"/>
        <w:ind w:firstLineChars="200" w:firstLine="643"/>
        <w:rPr>
          <w:rFonts w:ascii="仿宋" w:eastAsia="仿宋" w:hAnsi="仿宋"/>
        </w:rPr>
      </w:pPr>
      <w:r>
        <w:rPr>
          <w:rFonts w:ascii="楷体" w:eastAsia="楷体" w:hAnsi="楷体" w:hint="eastAsia"/>
          <w:b/>
        </w:rPr>
        <w:t xml:space="preserve">（三）2021年财政工作重点 </w:t>
      </w:r>
    </w:p>
    <w:p w:rsidR="003178C5" w:rsidRDefault="006A6E2E">
      <w:pPr>
        <w:spacing w:line="560" w:lineRule="exact"/>
        <w:ind w:firstLineChars="200" w:firstLine="640"/>
        <w:rPr>
          <w:rFonts w:ascii="仿宋" w:eastAsia="仿宋" w:hAnsi="仿宋"/>
        </w:rPr>
      </w:pPr>
      <w:r>
        <w:rPr>
          <w:rFonts w:ascii="仿宋" w:eastAsia="仿宋" w:hAnsi="仿宋" w:hint="eastAsia"/>
        </w:rPr>
        <w:t>2021年是“十四五”规划开局之年，财政部门将紧紧围绕区委、区政府总体工作部署，在变化变局中抢抓机遇，在逆境逆势中砥砺奋进，加大财政资金统筹力度，扎实做好“六稳”“六保”工作，调整优化支出结构，促进全区经济社会平稳健康发展。</w:t>
      </w:r>
    </w:p>
    <w:p w:rsidR="003178C5" w:rsidRDefault="006A6E2E">
      <w:pPr>
        <w:spacing w:line="560" w:lineRule="exact"/>
        <w:ind w:firstLineChars="200" w:firstLine="643"/>
        <w:rPr>
          <w:rFonts w:ascii="仿宋" w:eastAsia="仿宋" w:hAnsi="仿宋"/>
        </w:rPr>
      </w:pPr>
      <w:r>
        <w:rPr>
          <w:rFonts w:ascii="仿宋" w:eastAsia="仿宋" w:hAnsi="仿宋" w:hint="eastAsia"/>
          <w:b/>
        </w:rPr>
        <w:t>1</w:t>
      </w:r>
      <w:r>
        <w:rPr>
          <w:rFonts w:ascii="仿宋" w:eastAsia="仿宋" w:hAnsi="仿宋"/>
          <w:b/>
        </w:rPr>
        <w:t>.</w:t>
      </w:r>
      <w:r>
        <w:rPr>
          <w:rFonts w:ascii="仿宋" w:eastAsia="仿宋" w:hAnsi="仿宋" w:hint="eastAsia"/>
          <w:b/>
        </w:rPr>
        <w:t>提升质量，增强发展后劲</w:t>
      </w:r>
      <w:r>
        <w:rPr>
          <w:rFonts w:ascii="仿宋" w:eastAsia="仿宋" w:hAnsi="仿宋" w:hint="eastAsia"/>
        </w:rPr>
        <w:t>。一是进一步规范收入组织，提高收入质量，增强发展后劲。不折不扣落实中央减税降费政策，确保企业切实享受政策红利，继续巩固现有财源，对重点税源企业展开“一企一策”精准帮扶，积极培育市场前景好、地方税收分享比例高的企业。二是贯彻“政府过紧日子”要求，大力压减一般性支出。持续大力压减一般性支出，严把预算支出关口，进一步压减非重点、非刚性、进度慢、绩效低的资金，集中财力用于民生和重点领域、重大项目支出，切实兜牢“三保”底线。三是盘活财政存量。健全结转结余资金清理长效机制，控制结转结余资金规模。完善财政存量资金与预算安排统筹结合机制，对上年末财政存量资金规模较大的部门，适当压缩下年财政预算安排规模。四是防范债务风险。健全地方政府债务常态化监测机制，及时发现和处置潜在风险，综合采取各类措施稳妥化解存量债务，</w:t>
      </w:r>
      <w:r>
        <w:rPr>
          <w:rFonts w:ascii="仿宋" w:eastAsia="仿宋" w:hAnsi="仿宋" w:hint="eastAsia"/>
        </w:rPr>
        <w:lastRenderedPageBreak/>
        <w:t>坚决守住不发生系统性风险的底线。</w:t>
      </w:r>
    </w:p>
    <w:p w:rsidR="003178C5" w:rsidRDefault="006A6E2E">
      <w:pPr>
        <w:spacing w:line="560" w:lineRule="exact"/>
        <w:ind w:firstLineChars="200" w:firstLine="643"/>
        <w:rPr>
          <w:rFonts w:ascii="仿宋" w:eastAsia="仿宋" w:hAnsi="仿宋"/>
        </w:rPr>
      </w:pPr>
      <w:r>
        <w:rPr>
          <w:rFonts w:ascii="仿宋" w:eastAsia="仿宋" w:hAnsi="仿宋" w:hint="eastAsia"/>
          <w:b/>
        </w:rPr>
        <w:t>2.落实责任，着力立项争资</w:t>
      </w:r>
      <w:r>
        <w:rPr>
          <w:rFonts w:ascii="仿宋" w:eastAsia="仿宋" w:hAnsi="仿宋" w:hint="eastAsia"/>
        </w:rPr>
        <w:t>。一是把握国家产业布局和投资导向，找准中央投资方向，加强与上级财政部门的主动汇报和对接，争取更多的财力性转移支付。二是全力配合相关部门争取农业、水利、交通、教育、科技、住房保障等专项转移支付。三是做好政府债券项目的储备与申报，全力争取更多的政府一般债券资金和专项债券资金，为保障财政平衡运行提供有力支撑。</w:t>
      </w:r>
    </w:p>
    <w:p w:rsidR="003178C5" w:rsidRDefault="006A6E2E">
      <w:pPr>
        <w:spacing w:line="560" w:lineRule="exact"/>
        <w:ind w:firstLineChars="200" w:firstLine="643"/>
        <w:rPr>
          <w:rFonts w:ascii="仿宋" w:eastAsia="仿宋" w:hAnsi="仿宋"/>
        </w:rPr>
      </w:pPr>
      <w:r>
        <w:rPr>
          <w:rFonts w:ascii="仿宋" w:eastAsia="仿宋" w:hAnsi="仿宋" w:hint="eastAsia"/>
          <w:b/>
        </w:rPr>
        <w:t>3</w:t>
      </w:r>
      <w:r>
        <w:rPr>
          <w:rFonts w:ascii="仿宋" w:eastAsia="仿宋" w:hAnsi="仿宋"/>
          <w:b/>
        </w:rPr>
        <w:t>.</w:t>
      </w:r>
      <w:r>
        <w:rPr>
          <w:rFonts w:ascii="仿宋" w:eastAsia="仿宋" w:hAnsi="仿宋" w:hint="eastAsia"/>
          <w:b/>
        </w:rPr>
        <w:t>深化改革，激发财政活力</w:t>
      </w:r>
      <w:r>
        <w:rPr>
          <w:rFonts w:ascii="仿宋" w:eastAsia="仿宋" w:hAnsi="仿宋" w:hint="eastAsia"/>
        </w:rPr>
        <w:t>。一是推进政府采购电子卖场平台建设，进一步规范政府限额标准以下支出行为，落实采购人主体责任、加强内控管理，提升采购预算绩效。二是全面深化国库管理制度改革。加快启动支付电子化改革</w:t>
      </w:r>
      <w:r>
        <w:rPr>
          <w:rFonts w:asciiTheme="minorEastAsia" w:eastAsiaTheme="minorEastAsia" w:hAnsiTheme="minorEastAsia" w:hint="eastAsia"/>
          <w:position w:val="6"/>
          <w:sz w:val="21"/>
          <w:szCs w:val="21"/>
        </w:rPr>
        <w:t>〔16〕</w:t>
      </w:r>
      <w:r>
        <w:rPr>
          <w:rFonts w:ascii="仿宋" w:eastAsia="仿宋" w:hAnsi="仿宋" w:hint="eastAsia"/>
        </w:rPr>
        <w:t>、预算一体化管理，构建覆盖财政资金全流程的完整业务系统。继续清理整顿财政专户，构建规范透明的支付机制。三是落实新一轮市区财政管理体制。通过研究新体制，界定好收入征收范围，清理规范招商引资优惠政策，厘清市区事权范围，摸清市级资金配套底子等，做出最有利于赫山的举措。</w:t>
      </w:r>
    </w:p>
    <w:p w:rsidR="003178C5" w:rsidRDefault="006A6E2E">
      <w:pPr>
        <w:spacing w:line="560" w:lineRule="exact"/>
        <w:ind w:firstLineChars="200" w:firstLine="643"/>
        <w:rPr>
          <w:rFonts w:ascii="仿宋" w:eastAsia="仿宋" w:hAnsi="仿宋"/>
        </w:rPr>
      </w:pPr>
      <w:r>
        <w:rPr>
          <w:rFonts w:ascii="仿宋" w:eastAsia="仿宋" w:hAnsi="仿宋" w:hint="eastAsia"/>
          <w:b/>
        </w:rPr>
        <w:t>4</w:t>
      </w:r>
      <w:r>
        <w:rPr>
          <w:rFonts w:ascii="仿宋" w:eastAsia="仿宋" w:hAnsi="仿宋"/>
          <w:b/>
        </w:rPr>
        <w:t>.</w:t>
      </w:r>
      <w:r>
        <w:rPr>
          <w:rFonts w:ascii="仿宋" w:eastAsia="仿宋" w:hAnsi="仿宋" w:hint="eastAsia"/>
          <w:b/>
        </w:rPr>
        <w:t>强化监督，提高资金绩效</w:t>
      </w:r>
      <w:r>
        <w:rPr>
          <w:rFonts w:ascii="仿宋" w:eastAsia="仿宋" w:hAnsi="仿宋" w:hint="eastAsia"/>
        </w:rPr>
        <w:t>。一是加快内控制度</w:t>
      </w:r>
      <w:r>
        <w:rPr>
          <w:rFonts w:asciiTheme="minorEastAsia" w:eastAsiaTheme="minorEastAsia" w:hAnsiTheme="minorEastAsia" w:hint="eastAsia"/>
          <w:position w:val="6"/>
          <w:sz w:val="21"/>
          <w:szCs w:val="21"/>
        </w:rPr>
        <w:t>〔17〕</w:t>
      </w:r>
      <w:r>
        <w:rPr>
          <w:rFonts w:ascii="仿宋" w:eastAsia="仿宋" w:hAnsi="仿宋" w:hint="eastAsia"/>
        </w:rPr>
        <w:t>体系建设。进一步完善内部管理监督长效机制，建立健全财政内控制度和全财政运行监控体系，创新动态监控方式，扩大动态监控范围，强化预防、纠偏、威慑功能，保障预算执行严格规范、财政资金使用合规透明。二是加强财政监督检查。严格执行《财政违法行为处罚处分条例》等法律法规，重点关民生、涉农、乡村振兴等</w:t>
      </w:r>
      <w:r>
        <w:rPr>
          <w:rFonts w:ascii="仿宋" w:eastAsia="仿宋" w:hAnsi="仿宋" w:hint="eastAsia"/>
        </w:rPr>
        <w:lastRenderedPageBreak/>
        <w:t>财政资金管理使用情况。继续深化“互联网+监督”民生资金公开全领域监管机制，构建源头控制、在线跟踪和监督问效三位一体的监管体系。</w:t>
      </w:r>
      <w:r>
        <w:rPr>
          <w:rFonts w:ascii="仿宋" w:eastAsia="仿宋" w:hAnsi="仿宋" w:hint="eastAsia"/>
          <w:color w:val="000000" w:themeColor="text1"/>
        </w:rPr>
        <w:t>三是强化预算绩效管理。加强绩效目标管理，优化绩效目标设置。开展绩效目标执行监控，及时纠正偏差，堵塞管理漏洞。强化绩效运行跟踪监控和定期评价机制，强化绩效评价结果应用，将评价结果作为政策调整、改进管理和预算安排的重要依据。</w:t>
      </w:r>
      <w:r>
        <w:rPr>
          <w:rFonts w:ascii="仿宋" w:eastAsia="仿宋" w:hAnsi="仿宋" w:hint="eastAsia"/>
        </w:rPr>
        <w:t>四是加快预决算公开制度化、机制化建设。进一步落实预决算信息公开主体责任，强化主动公开意识，改进公开方式方法，不断完善公开内容，扩大公开范围。加大预决算公开考核力度，完善预决算公开制度体系和工作推进机制。</w:t>
      </w:r>
    </w:p>
    <w:p w:rsidR="003178C5" w:rsidRDefault="006A6E2E">
      <w:pPr>
        <w:spacing w:line="560" w:lineRule="exact"/>
        <w:ind w:firstLineChars="200" w:firstLine="640"/>
        <w:rPr>
          <w:rFonts w:ascii="仿宋" w:eastAsia="仿宋" w:hAnsi="仿宋"/>
        </w:rPr>
      </w:pPr>
      <w:r>
        <w:rPr>
          <w:rFonts w:ascii="仿宋" w:eastAsia="仿宋" w:hAnsi="仿宋" w:hint="eastAsia"/>
        </w:rPr>
        <w:t>各位代表，2021年全区财政工作任务艰巨、责任重大。我们将坚持以习近平新时代中国特色社会主义思想为指导，在区委、区政府坚强领导和区人大、区政协监督</w:t>
      </w:r>
      <w:r>
        <w:rPr>
          <w:rFonts w:ascii="仿宋" w:eastAsia="仿宋" w:hAnsi="仿宋" w:hint="eastAsia"/>
          <w:color w:val="000000" w:themeColor="text1"/>
        </w:rPr>
        <w:t>支持</w:t>
      </w:r>
      <w:r>
        <w:rPr>
          <w:rFonts w:ascii="仿宋" w:eastAsia="仿宋" w:hAnsi="仿宋" w:hint="eastAsia"/>
        </w:rPr>
        <w:t>下，求真务实，攻坚克难，积极发挥财政职能作用，全面做好“六稳”“六保”工作，确保圆满完成各项目标任务，为加快建设更加美丽、富饶、幸福的新赫山作出新的更大的贡献！</w:t>
      </w:r>
    </w:p>
    <w:p w:rsidR="003178C5" w:rsidRDefault="006A6E2E">
      <w:pPr>
        <w:widowControl/>
        <w:jc w:val="left"/>
        <w:rPr>
          <w:rFonts w:ascii="仿宋_GB2312" w:hAnsi="黑体"/>
          <w:bCs/>
          <w:color w:val="000000"/>
          <w:sz w:val="24"/>
        </w:rPr>
      </w:pPr>
      <w:r>
        <w:rPr>
          <w:rFonts w:ascii="仿宋_GB2312" w:hAnsi="黑体"/>
          <w:bCs/>
          <w:color w:val="000000"/>
          <w:sz w:val="24"/>
        </w:rPr>
        <w:br w:type="page"/>
      </w:r>
    </w:p>
    <w:p w:rsidR="003178C5" w:rsidRDefault="006A6E2E">
      <w:pPr>
        <w:spacing w:line="400" w:lineRule="exact"/>
        <w:rPr>
          <w:rFonts w:ascii="黑体" w:eastAsia="黑体" w:hAnsi="黑体"/>
          <w:bCs/>
          <w:color w:val="000000"/>
          <w:sz w:val="24"/>
        </w:rPr>
      </w:pPr>
      <w:r>
        <w:rPr>
          <w:rFonts w:ascii="黑体" w:eastAsia="黑体" w:hAnsi="黑体" w:hint="eastAsia"/>
          <w:bCs/>
          <w:color w:val="000000"/>
          <w:sz w:val="24"/>
        </w:rPr>
        <w:lastRenderedPageBreak/>
        <w:t>注释：</w:t>
      </w:r>
    </w:p>
    <w:p w:rsidR="003178C5" w:rsidRDefault="006A6E2E">
      <w:pPr>
        <w:spacing w:line="400" w:lineRule="exact"/>
        <w:ind w:firstLineChars="200" w:firstLine="480"/>
        <w:rPr>
          <w:rFonts w:ascii="楷体" w:eastAsia="楷体" w:hAnsi="楷体" w:cs="Arial"/>
          <w:color w:val="333333"/>
          <w:sz w:val="26"/>
          <w:szCs w:val="26"/>
          <w:shd w:val="clear" w:color="auto" w:fill="FFFFFF"/>
        </w:rPr>
      </w:pPr>
      <w:r>
        <w:rPr>
          <w:rFonts w:ascii="楷体" w:eastAsia="楷体" w:hAnsi="楷体" w:cs="宋体" w:hint="eastAsia"/>
          <w:color w:val="000000"/>
          <w:sz w:val="24"/>
        </w:rPr>
        <w:t>(1)</w:t>
      </w:r>
      <w:r>
        <w:rPr>
          <w:rFonts w:ascii="楷体" w:eastAsia="楷体" w:hAnsi="楷体" w:hint="eastAsia"/>
        </w:rPr>
        <w:t xml:space="preserve"> </w:t>
      </w:r>
      <w:r>
        <w:rPr>
          <w:rFonts w:ascii="楷体" w:eastAsia="楷体" w:hAnsi="楷体" w:hint="eastAsia"/>
          <w:sz w:val="24"/>
          <w:szCs w:val="24"/>
        </w:rPr>
        <w:t>六稳：</w:t>
      </w:r>
      <w:r>
        <w:rPr>
          <w:rFonts w:ascii="楷体" w:eastAsia="楷体" w:hAnsi="楷体" w:cs="宋体" w:hint="eastAsia"/>
          <w:color w:val="000000"/>
          <w:sz w:val="24"/>
        </w:rPr>
        <w:t>稳就业、稳金融、稳外贸、稳外资、稳投资、稳预期；六保：保居民就业、保基本民生、保市场主体、保粮食能源安全、保产业链供应链稳定、保基层运转。</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(2)一般公共预算：指政府凭借国家政治权力，以社会管理者身份筹集以税收为主体的财政收入，用于保障和改善民生、维持国家行政职能正常行使、保障国家安全等方面的收支预算。</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(3)政府性基金预算：指政府通过向社会征收基金、收费，以及出让土地、发行彩票等方式取得收入，专项用于支持特定基础设施建设和社会事业发展等方面的收支预算。</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(4)社会保险基金预算：指政府通过社会保险单位缴费、政府公共预算安排等方式取得收入，专项用于社会保障支出的收支预算。</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(5)三保：保工资、保运转、保基本民生。</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(6)三大攻坚战： 指防范化解重大风险、精准脱贫、污染防治三大攻坚战。</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(7)健康扶贫“三个一批”：大病集中救治一批、慢病签约服务管理一批、重病兜底保障一批。按照三个一批的原则，组织对患有大病和长期慢性病的贫困人口实行分类分批救治，进一步推动健康扶贫落实到人、精准到病。</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(8)雨露计划：是以政府主导、社会参与为特色，以提高素质、增强就业和创业能力为宗旨，以中职（中技）学历职业教育、创业培训等为手段，帮助贫困地区青壮年农民解决在就业、创业中遇到的实际困难，达到发展生产、增加收入，促进贫困地区经济发展的目的。</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(9)两馆一站：图书馆、文化馆和乡镇文化站。</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(10)一卡通：按照“补贴政策不变、资金分配权限不变、部门职责不变”的原则，将财政安排的各项惠农补贴资金，通过一个代发金融机构直接划转到农户个人特定账户的兑付方式，实现“一户(人)一卡(折)”，确保农民及时、安全、足额领取各项惠农补贴资金。</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(11)政策性农业保险：是政府通过保费补贴等政策扶持，对种植业、养殖业因遭受自然灾害和意外事故造成的经济损失提供的直接物化成本保险。</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(12)</w:t>
      </w:r>
      <w:r>
        <w:rPr>
          <w:rFonts w:ascii="楷体" w:eastAsia="楷体" w:hAnsi="楷体" w:hint="eastAsia"/>
        </w:rPr>
        <w:t xml:space="preserve"> </w:t>
      </w:r>
      <w:r>
        <w:rPr>
          <w:rFonts w:ascii="楷体" w:eastAsia="楷体" w:hAnsi="楷体" w:hint="eastAsia"/>
          <w:sz w:val="24"/>
          <w:szCs w:val="24"/>
        </w:rPr>
        <w:t>三公经费：</w:t>
      </w:r>
      <w:r>
        <w:rPr>
          <w:rFonts w:ascii="楷体" w:eastAsia="楷体" w:hAnsi="楷体" w:cs="宋体" w:hint="eastAsia"/>
          <w:color w:val="000000"/>
          <w:sz w:val="24"/>
        </w:rPr>
        <w:t>是指政府部门人员在因公出国(境)、公务车购置及运行、公务招待过程中支出的财政经费。</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(13)三方对账：是指对财政部门有关单位财政资金账户一定期限内的银行存款变</w:t>
      </w:r>
      <w:r>
        <w:rPr>
          <w:rFonts w:ascii="楷体" w:eastAsia="楷体" w:hAnsi="楷体" w:cs="宋体" w:hint="eastAsia"/>
          <w:color w:val="000000"/>
          <w:sz w:val="24"/>
        </w:rPr>
        <w:lastRenderedPageBreak/>
        <w:t>动情况予以核实，由财政财务监督股、国库股和管理财政账户资金的业务股室进行三方共同核对，以规避风险，确保财政资金安全。</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(14)互联网+监督：是运用互联网技术和信息化手段推进政务公开、改进政务服务、构建互联网治理体系，也是标本兼治“雁过拔毛”式腐败问题的一项重要工作。</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(15)生均</w:t>
      </w:r>
      <w:hyperlink r:id="rId10" w:tgtFrame="_blank" w:history="1">
        <w:r>
          <w:rPr>
            <w:rFonts w:ascii="楷体" w:eastAsia="楷体" w:hAnsi="楷体" w:cs="宋体" w:hint="eastAsia"/>
            <w:color w:val="000000"/>
            <w:sz w:val="24"/>
          </w:rPr>
          <w:t>公用经费</w:t>
        </w:r>
      </w:hyperlink>
      <w:r>
        <w:rPr>
          <w:rFonts w:ascii="楷体" w:eastAsia="楷体" w:hAnsi="楷体" w:cs="宋体" w:hint="eastAsia"/>
          <w:color w:val="000000"/>
          <w:sz w:val="24"/>
        </w:rPr>
        <w:t>：是满足学校教育教学活动正常进行以及整个学校的正常运转而消耗的物力、人力所产生的费用，它和教育人员经费共同构成教育事业性经费。</w:t>
      </w:r>
    </w:p>
    <w:p w:rsidR="003178C5" w:rsidRDefault="006A6E2E">
      <w:pPr>
        <w:spacing w:line="400" w:lineRule="exact"/>
        <w:ind w:firstLineChars="200" w:firstLine="480"/>
        <w:rPr>
          <w:rFonts w:ascii="楷体" w:eastAsia="楷体" w:hAnsi="楷体" w:cs="宋体"/>
          <w:color w:val="000000"/>
          <w:sz w:val="24"/>
        </w:rPr>
      </w:pPr>
      <w:r>
        <w:rPr>
          <w:rFonts w:ascii="楷体" w:eastAsia="楷体" w:hAnsi="楷体" w:cs="宋体" w:hint="eastAsia"/>
          <w:color w:val="000000"/>
          <w:sz w:val="24"/>
        </w:rPr>
        <w:t>(16)支付电子化改革：是以国库集中支付制度改革为统领，以现代网络信息技术为依托，以电子凭证安全支撑控件为核心，构建安全、便捷、高效的“电子支付安全支撑体系”，是国库集中支付制度在新形势下的发展与完善。</w:t>
      </w:r>
    </w:p>
    <w:p w:rsidR="003178C5" w:rsidRDefault="006A6E2E">
      <w:pPr>
        <w:spacing w:line="400" w:lineRule="exact"/>
        <w:ind w:firstLineChars="200" w:firstLine="480"/>
        <w:rPr>
          <w:rFonts w:ascii="楷体" w:eastAsia="楷体" w:hAnsi="楷体"/>
        </w:rPr>
      </w:pPr>
      <w:r>
        <w:rPr>
          <w:rFonts w:ascii="楷体" w:eastAsia="楷体" w:hAnsi="楷体" w:cs="宋体" w:hint="eastAsia"/>
          <w:color w:val="000000"/>
          <w:sz w:val="24"/>
        </w:rPr>
        <w:t>(17)内控制度：是单位内部建立的使各项业务活动互相联系、互相制约的一系列具有控制职能的措施、方法和规程。</w:t>
      </w:r>
      <w:r>
        <w:rPr>
          <w:rFonts w:ascii="楷体" w:eastAsia="楷体" w:hAnsi="楷体" w:cs="Arial" w:hint="eastAsia"/>
          <w:color w:val="333333"/>
          <w:sz w:val="26"/>
          <w:szCs w:val="26"/>
          <w:shd w:val="clear" w:color="auto" w:fill="FFFFFF"/>
        </w:rPr>
        <w:tab/>
      </w:r>
      <w:bookmarkEnd w:id="0"/>
    </w:p>
    <w:sectPr w:rsidR="003178C5">
      <w:footerReference w:type="default" r:id="rId11"/>
      <w:pgSz w:w="11906" w:h="16838"/>
      <w:pgMar w:top="2098" w:right="1474" w:bottom="1985" w:left="1588" w:header="851" w:footer="170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2379" w:rsidRDefault="00AB2379">
      <w:r>
        <w:separator/>
      </w:r>
    </w:p>
  </w:endnote>
  <w:endnote w:type="continuationSeparator" w:id="0">
    <w:p w:rsidR="00AB2379" w:rsidRDefault="00AB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仿宋_GB2312">
    <w:panose1 w:val="020B0604020202020204"/>
    <w:charset w:val="86"/>
    <w:family w:val="modern"/>
    <w:pitch w:val="fixed"/>
    <w:sig w:usb0="00000001" w:usb1="080E0000" w:usb2="00000010"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B0604020202020204"/>
    <w:charset w:val="86"/>
    <w:family w:val="script"/>
    <w:pitch w:val="variable"/>
    <w:sig w:usb0="00000001" w:usb1="080E0000" w:usb2="00000010"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910659"/>
    </w:sdtPr>
    <w:sdtEndPr/>
    <w:sdtContent>
      <w:p w:rsidR="003178C5" w:rsidRDefault="006A6E2E">
        <w:pPr>
          <w:pStyle w:val="a5"/>
          <w:jc w:val="center"/>
        </w:pPr>
        <w:r>
          <w:fldChar w:fldCharType="begin"/>
        </w:r>
        <w:r>
          <w:instrText>PAGE   \* MERGEFORMAT</w:instrText>
        </w:r>
        <w:r>
          <w:fldChar w:fldCharType="separate"/>
        </w:r>
        <w:r>
          <w:rPr>
            <w:lang w:val="zh-CN"/>
          </w:rPr>
          <w:t>12</w:t>
        </w:r>
        <w:r>
          <w:fldChar w:fldCharType="end"/>
        </w:r>
      </w:p>
    </w:sdtContent>
  </w:sdt>
  <w:p w:rsidR="003178C5" w:rsidRDefault="003178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2379" w:rsidRDefault="00AB2379">
      <w:r>
        <w:separator/>
      </w:r>
    </w:p>
  </w:footnote>
  <w:footnote w:type="continuationSeparator" w:id="0">
    <w:p w:rsidR="00AB2379" w:rsidRDefault="00AB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1B0B"/>
    <w:rsid w:val="0000209B"/>
    <w:rsid w:val="00017DCD"/>
    <w:rsid w:val="00022A73"/>
    <w:rsid w:val="000467CC"/>
    <w:rsid w:val="00046EA3"/>
    <w:rsid w:val="00054756"/>
    <w:rsid w:val="00063C70"/>
    <w:rsid w:val="00064B78"/>
    <w:rsid w:val="000668DC"/>
    <w:rsid w:val="000724B1"/>
    <w:rsid w:val="000824D0"/>
    <w:rsid w:val="00087805"/>
    <w:rsid w:val="000A3EFF"/>
    <w:rsid w:val="000B16B6"/>
    <w:rsid w:val="000B1823"/>
    <w:rsid w:val="000B1A36"/>
    <w:rsid w:val="000C480E"/>
    <w:rsid w:val="000D24F6"/>
    <w:rsid w:val="000D6940"/>
    <w:rsid w:val="000E0429"/>
    <w:rsid w:val="000E3093"/>
    <w:rsid w:val="000E3450"/>
    <w:rsid w:val="000E6ADE"/>
    <w:rsid w:val="000F2EBC"/>
    <w:rsid w:val="000F4304"/>
    <w:rsid w:val="0010408F"/>
    <w:rsid w:val="001061D9"/>
    <w:rsid w:val="00110751"/>
    <w:rsid w:val="0012283B"/>
    <w:rsid w:val="001243D5"/>
    <w:rsid w:val="00125932"/>
    <w:rsid w:val="0013543F"/>
    <w:rsid w:val="00140EA6"/>
    <w:rsid w:val="00145BBF"/>
    <w:rsid w:val="001602EC"/>
    <w:rsid w:val="001659A2"/>
    <w:rsid w:val="00166BC2"/>
    <w:rsid w:val="00176458"/>
    <w:rsid w:val="001841B5"/>
    <w:rsid w:val="0018427C"/>
    <w:rsid w:val="0019073E"/>
    <w:rsid w:val="00191105"/>
    <w:rsid w:val="001917D6"/>
    <w:rsid w:val="00191F07"/>
    <w:rsid w:val="001A47DF"/>
    <w:rsid w:val="001A7695"/>
    <w:rsid w:val="001B0BD8"/>
    <w:rsid w:val="001B389E"/>
    <w:rsid w:val="001B7328"/>
    <w:rsid w:val="001C0D1F"/>
    <w:rsid w:val="001C68F9"/>
    <w:rsid w:val="001C771E"/>
    <w:rsid w:val="001C787A"/>
    <w:rsid w:val="001E4214"/>
    <w:rsid w:val="001E59C5"/>
    <w:rsid w:val="001F1399"/>
    <w:rsid w:val="001F36F0"/>
    <w:rsid w:val="002204AE"/>
    <w:rsid w:val="00225DFB"/>
    <w:rsid w:val="00230B62"/>
    <w:rsid w:val="00231CE8"/>
    <w:rsid w:val="00237EBB"/>
    <w:rsid w:val="00250820"/>
    <w:rsid w:val="00256555"/>
    <w:rsid w:val="0026305A"/>
    <w:rsid w:val="00266A4F"/>
    <w:rsid w:val="0027027E"/>
    <w:rsid w:val="00291CDA"/>
    <w:rsid w:val="002B3077"/>
    <w:rsid w:val="002C03D7"/>
    <w:rsid w:val="002C4080"/>
    <w:rsid w:val="002C667B"/>
    <w:rsid w:val="002D0692"/>
    <w:rsid w:val="002D2593"/>
    <w:rsid w:val="002E6D05"/>
    <w:rsid w:val="002E7A72"/>
    <w:rsid w:val="002F63EE"/>
    <w:rsid w:val="003004C5"/>
    <w:rsid w:val="00300E45"/>
    <w:rsid w:val="0030352A"/>
    <w:rsid w:val="00306D29"/>
    <w:rsid w:val="003178C5"/>
    <w:rsid w:val="0033484A"/>
    <w:rsid w:val="00340966"/>
    <w:rsid w:val="0034175E"/>
    <w:rsid w:val="00344B39"/>
    <w:rsid w:val="0036253A"/>
    <w:rsid w:val="003627F6"/>
    <w:rsid w:val="003638FB"/>
    <w:rsid w:val="0036642C"/>
    <w:rsid w:val="003810CE"/>
    <w:rsid w:val="00393846"/>
    <w:rsid w:val="0039511A"/>
    <w:rsid w:val="003B6BB5"/>
    <w:rsid w:val="003C478B"/>
    <w:rsid w:val="003D1447"/>
    <w:rsid w:val="003D22F4"/>
    <w:rsid w:val="003D34ED"/>
    <w:rsid w:val="003E4E88"/>
    <w:rsid w:val="003E6B81"/>
    <w:rsid w:val="003F5520"/>
    <w:rsid w:val="00400219"/>
    <w:rsid w:val="004044BE"/>
    <w:rsid w:val="004107AC"/>
    <w:rsid w:val="00410B44"/>
    <w:rsid w:val="00415D7B"/>
    <w:rsid w:val="004160BD"/>
    <w:rsid w:val="00420393"/>
    <w:rsid w:val="00426940"/>
    <w:rsid w:val="00431880"/>
    <w:rsid w:val="00437416"/>
    <w:rsid w:val="004423A7"/>
    <w:rsid w:val="004425EB"/>
    <w:rsid w:val="004434DA"/>
    <w:rsid w:val="0044642D"/>
    <w:rsid w:val="0045111E"/>
    <w:rsid w:val="00453413"/>
    <w:rsid w:val="004632A2"/>
    <w:rsid w:val="00471AE1"/>
    <w:rsid w:val="004731A2"/>
    <w:rsid w:val="00482D3E"/>
    <w:rsid w:val="00494EC6"/>
    <w:rsid w:val="004B4910"/>
    <w:rsid w:val="004C138F"/>
    <w:rsid w:val="004D2770"/>
    <w:rsid w:val="004E162C"/>
    <w:rsid w:val="004E29D9"/>
    <w:rsid w:val="004E483A"/>
    <w:rsid w:val="004F2BBF"/>
    <w:rsid w:val="004F4A9B"/>
    <w:rsid w:val="00503AA9"/>
    <w:rsid w:val="00503EF1"/>
    <w:rsid w:val="0052518D"/>
    <w:rsid w:val="00526E3E"/>
    <w:rsid w:val="005466CF"/>
    <w:rsid w:val="00552C91"/>
    <w:rsid w:val="00560A00"/>
    <w:rsid w:val="00561495"/>
    <w:rsid w:val="00563F3A"/>
    <w:rsid w:val="00573271"/>
    <w:rsid w:val="005774D8"/>
    <w:rsid w:val="00581FBB"/>
    <w:rsid w:val="00591C54"/>
    <w:rsid w:val="005920D8"/>
    <w:rsid w:val="00593CDA"/>
    <w:rsid w:val="00594858"/>
    <w:rsid w:val="005A75CA"/>
    <w:rsid w:val="005B0449"/>
    <w:rsid w:val="005C461D"/>
    <w:rsid w:val="005D34C5"/>
    <w:rsid w:val="005E1C98"/>
    <w:rsid w:val="005F1D9B"/>
    <w:rsid w:val="005F2B34"/>
    <w:rsid w:val="005F31E8"/>
    <w:rsid w:val="005F6C05"/>
    <w:rsid w:val="00607BA5"/>
    <w:rsid w:val="00613636"/>
    <w:rsid w:val="00620BBC"/>
    <w:rsid w:val="00622062"/>
    <w:rsid w:val="006221FF"/>
    <w:rsid w:val="00623135"/>
    <w:rsid w:val="00623F77"/>
    <w:rsid w:val="00630472"/>
    <w:rsid w:val="00632D0E"/>
    <w:rsid w:val="0064074E"/>
    <w:rsid w:val="00642526"/>
    <w:rsid w:val="00644EEB"/>
    <w:rsid w:val="006503E8"/>
    <w:rsid w:val="00650D3B"/>
    <w:rsid w:val="006562DC"/>
    <w:rsid w:val="00665B1D"/>
    <w:rsid w:val="006671C0"/>
    <w:rsid w:val="00670B7A"/>
    <w:rsid w:val="00671683"/>
    <w:rsid w:val="00675189"/>
    <w:rsid w:val="006769C3"/>
    <w:rsid w:val="006800A7"/>
    <w:rsid w:val="00681026"/>
    <w:rsid w:val="006816D5"/>
    <w:rsid w:val="006823E3"/>
    <w:rsid w:val="006851B1"/>
    <w:rsid w:val="00685E2F"/>
    <w:rsid w:val="00696EE8"/>
    <w:rsid w:val="006A11B8"/>
    <w:rsid w:val="006A1A8C"/>
    <w:rsid w:val="006A4A97"/>
    <w:rsid w:val="006A6E2E"/>
    <w:rsid w:val="006A7A38"/>
    <w:rsid w:val="006D0E4D"/>
    <w:rsid w:val="006E2F5D"/>
    <w:rsid w:val="006F2B53"/>
    <w:rsid w:val="00732D39"/>
    <w:rsid w:val="007337D4"/>
    <w:rsid w:val="007438B0"/>
    <w:rsid w:val="00747466"/>
    <w:rsid w:val="00747DD5"/>
    <w:rsid w:val="00754A14"/>
    <w:rsid w:val="007566A1"/>
    <w:rsid w:val="007647D7"/>
    <w:rsid w:val="00770DD1"/>
    <w:rsid w:val="007762E6"/>
    <w:rsid w:val="00776C8B"/>
    <w:rsid w:val="00782F0F"/>
    <w:rsid w:val="00787659"/>
    <w:rsid w:val="0079111A"/>
    <w:rsid w:val="00797D20"/>
    <w:rsid w:val="007A00BF"/>
    <w:rsid w:val="007B4412"/>
    <w:rsid w:val="007D75E0"/>
    <w:rsid w:val="007E30F9"/>
    <w:rsid w:val="007E5690"/>
    <w:rsid w:val="007E6252"/>
    <w:rsid w:val="007F1A3B"/>
    <w:rsid w:val="007F688D"/>
    <w:rsid w:val="007F6B06"/>
    <w:rsid w:val="00804125"/>
    <w:rsid w:val="00804541"/>
    <w:rsid w:val="00816BA1"/>
    <w:rsid w:val="008209AF"/>
    <w:rsid w:val="00825211"/>
    <w:rsid w:val="00836503"/>
    <w:rsid w:val="00850980"/>
    <w:rsid w:val="00856C54"/>
    <w:rsid w:val="008574DC"/>
    <w:rsid w:val="00857FB0"/>
    <w:rsid w:val="00893998"/>
    <w:rsid w:val="008A2974"/>
    <w:rsid w:val="008A2B90"/>
    <w:rsid w:val="008B6734"/>
    <w:rsid w:val="008D1625"/>
    <w:rsid w:val="008D2A31"/>
    <w:rsid w:val="008E33F8"/>
    <w:rsid w:val="008E56D2"/>
    <w:rsid w:val="00913ECC"/>
    <w:rsid w:val="0091466A"/>
    <w:rsid w:val="009237E1"/>
    <w:rsid w:val="00934675"/>
    <w:rsid w:val="00937E37"/>
    <w:rsid w:val="00945386"/>
    <w:rsid w:val="00953436"/>
    <w:rsid w:val="00954E15"/>
    <w:rsid w:val="00955ED1"/>
    <w:rsid w:val="0097200A"/>
    <w:rsid w:val="009754C0"/>
    <w:rsid w:val="00980212"/>
    <w:rsid w:val="00981191"/>
    <w:rsid w:val="00986B0B"/>
    <w:rsid w:val="009918B8"/>
    <w:rsid w:val="00992441"/>
    <w:rsid w:val="00992507"/>
    <w:rsid w:val="009A6068"/>
    <w:rsid w:val="009A7A3C"/>
    <w:rsid w:val="009C4102"/>
    <w:rsid w:val="009D2663"/>
    <w:rsid w:val="009D5EF5"/>
    <w:rsid w:val="009D645E"/>
    <w:rsid w:val="009D78A9"/>
    <w:rsid w:val="009E0EDD"/>
    <w:rsid w:val="009E2C1A"/>
    <w:rsid w:val="009F20D7"/>
    <w:rsid w:val="009F5EC9"/>
    <w:rsid w:val="00A05A0F"/>
    <w:rsid w:val="00A06AB9"/>
    <w:rsid w:val="00A1365C"/>
    <w:rsid w:val="00A157F9"/>
    <w:rsid w:val="00A23517"/>
    <w:rsid w:val="00A2432D"/>
    <w:rsid w:val="00A278E8"/>
    <w:rsid w:val="00A3205D"/>
    <w:rsid w:val="00A364DB"/>
    <w:rsid w:val="00A44B60"/>
    <w:rsid w:val="00A507D1"/>
    <w:rsid w:val="00A52139"/>
    <w:rsid w:val="00A6363F"/>
    <w:rsid w:val="00A70A1C"/>
    <w:rsid w:val="00A82CAA"/>
    <w:rsid w:val="00A867CC"/>
    <w:rsid w:val="00A905B9"/>
    <w:rsid w:val="00AA663A"/>
    <w:rsid w:val="00AB2379"/>
    <w:rsid w:val="00AB4900"/>
    <w:rsid w:val="00AC08F3"/>
    <w:rsid w:val="00AC61C0"/>
    <w:rsid w:val="00AD0DB3"/>
    <w:rsid w:val="00AD4E0A"/>
    <w:rsid w:val="00AD6BC9"/>
    <w:rsid w:val="00AE36B7"/>
    <w:rsid w:val="00AF435D"/>
    <w:rsid w:val="00B00F52"/>
    <w:rsid w:val="00B03F6D"/>
    <w:rsid w:val="00B040F2"/>
    <w:rsid w:val="00B07B70"/>
    <w:rsid w:val="00B07C4E"/>
    <w:rsid w:val="00B2547B"/>
    <w:rsid w:val="00B32809"/>
    <w:rsid w:val="00B335E8"/>
    <w:rsid w:val="00B61D15"/>
    <w:rsid w:val="00B64595"/>
    <w:rsid w:val="00B64F49"/>
    <w:rsid w:val="00B67DAE"/>
    <w:rsid w:val="00B734F1"/>
    <w:rsid w:val="00B84391"/>
    <w:rsid w:val="00B87785"/>
    <w:rsid w:val="00B90D15"/>
    <w:rsid w:val="00B91BCB"/>
    <w:rsid w:val="00B950AC"/>
    <w:rsid w:val="00BA5123"/>
    <w:rsid w:val="00BC025A"/>
    <w:rsid w:val="00BC0C10"/>
    <w:rsid w:val="00BC3842"/>
    <w:rsid w:val="00BC41B9"/>
    <w:rsid w:val="00BC49C5"/>
    <w:rsid w:val="00BC732A"/>
    <w:rsid w:val="00BC75BB"/>
    <w:rsid w:val="00BD081F"/>
    <w:rsid w:val="00BD5362"/>
    <w:rsid w:val="00BE1B0B"/>
    <w:rsid w:val="00BE4243"/>
    <w:rsid w:val="00BE6AC2"/>
    <w:rsid w:val="00BF009A"/>
    <w:rsid w:val="00BF449E"/>
    <w:rsid w:val="00BF4A97"/>
    <w:rsid w:val="00BF6321"/>
    <w:rsid w:val="00C01B44"/>
    <w:rsid w:val="00C02C75"/>
    <w:rsid w:val="00C06A64"/>
    <w:rsid w:val="00C134D2"/>
    <w:rsid w:val="00C201B4"/>
    <w:rsid w:val="00C240EC"/>
    <w:rsid w:val="00C260AE"/>
    <w:rsid w:val="00C27878"/>
    <w:rsid w:val="00C27CBD"/>
    <w:rsid w:val="00C325B4"/>
    <w:rsid w:val="00C34172"/>
    <w:rsid w:val="00C378CF"/>
    <w:rsid w:val="00C37C06"/>
    <w:rsid w:val="00C43B0C"/>
    <w:rsid w:val="00C45A6E"/>
    <w:rsid w:val="00C478C1"/>
    <w:rsid w:val="00C526F4"/>
    <w:rsid w:val="00C533C8"/>
    <w:rsid w:val="00C53B99"/>
    <w:rsid w:val="00C542F1"/>
    <w:rsid w:val="00C547FB"/>
    <w:rsid w:val="00C56E71"/>
    <w:rsid w:val="00C6645B"/>
    <w:rsid w:val="00C74D06"/>
    <w:rsid w:val="00C7627E"/>
    <w:rsid w:val="00C76D5E"/>
    <w:rsid w:val="00C8239D"/>
    <w:rsid w:val="00C8340F"/>
    <w:rsid w:val="00C8484C"/>
    <w:rsid w:val="00C87105"/>
    <w:rsid w:val="00C94FCC"/>
    <w:rsid w:val="00CA0FE2"/>
    <w:rsid w:val="00CA4A33"/>
    <w:rsid w:val="00CC6AFC"/>
    <w:rsid w:val="00CD62BE"/>
    <w:rsid w:val="00CE7DB9"/>
    <w:rsid w:val="00CF1E8D"/>
    <w:rsid w:val="00CF46C0"/>
    <w:rsid w:val="00D00FF1"/>
    <w:rsid w:val="00D0709A"/>
    <w:rsid w:val="00D115AE"/>
    <w:rsid w:val="00D12769"/>
    <w:rsid w:val="00D13CD3"/>
    <w:rsid w:val="00D20640"/>
    <w:rsid w:val="00D21103"/>
    <w:rsid w:val="00D224FE"/>
    <w:rsid w:val="00D24F83"/>
    <w:rsid w:val="00D25604"/>
    <w:rsid w:val="00D308E9"/>
    <w:rsid w:val="00D3494F"/>
    <w:rsid w:val="00D52AFD"/>
    <w:rsid w:val="00D537BA"/>
    <w:rsid w:val="00D65CB2"/>
    <w:rsid w:val="00D66774"/>
    <w:rsid w:val="00D72566"/>
    <w:rsid w:val="00D76BCD"/>
    <w:rsid w:val="00D868E7"/>
    <w:rsid w:val="00D93E16"/>
    <w:rsid w:val="00DA08B9"/>
    <w:rsid w:val="00DA1D85"/>
    <w:rsid w:val="00DA2EDD"/>
    <w:rsid w:val="00DA31C7"/>
    <w:rsid w:val="00DA659B"/>
    <w:rsid w:val="00DB3C2E"/>
    <w:rsid w:val="00DB4C5A"/>
    <w:rsid w:val="00DB5568"/>
    <w:rsid w:val="00DC0AA5"/>
    <w:rsid w:val="00DC1D27"/>
    <w:rsid w:val="00DC499D"/>
    <w:rsid w:val="00DC7CB3"/>
    <w:rsid w:val="00DE61A7"/>
    <w:rsid w:val="00DF3E22"/>
    <w:rsid w:val="00DF62F6"/>
    <w:rsid w:val="00E05496"/>
    <w:rsid w:val="00E07DFB"/>
    <w:rsid w:val="00E15004"/>
    <w:rsid w:val="00E16F7C"/>
    <w:rsid w:val="00E17C6F"/>
    <w:rsid w:val="00E20056"/>
    <w:rsid w:val="00E23288"/>
    <w:rsid w:val="00E265A8"/>
    <w:rsid w:val="00E2698C"/>
    <w:rsid w:val="00E3483F"/>
    <w:rsid w:val="00E37D98"/>
    <w:rsid w:val="00E4364B"/>
    <w:rsid w:val="00E44064"/>
    <w:rsid w:val="00E4460B"/>
    <w:rsid w:val="00E538B7"/>
    <w:rsid w:val="00E753AD"/>
    <w:rsid w:val="00E85E14"/>
    <w:rsid w:val="00E90B32"/>
    <w:rsid w:val="00E91696"/>
    <w:rsid w:val="00E9628E"/>
    <w:rsid w:val="00E97151"/>
    <w:rsid w:val="00EA090E"/>
    <w:rsid w:val="00EA0A08"/>
    <w:rsid w:val="00EA40CB"/>
    <w:rsid w:val="00EA5D13"/>
    <w:rsid w:val="00EA7FA1"/>
    <w:rsid w:val="00EC0584"/>
    <w:rsid w:val="00EC21FF"/>
    <w:rsid w:val="00EC4D23"/>
    <w:rsid w:val="00EC5478"/>
    <w:rsid w:val="00ED2B40"/>
    <w:rsid w:val="00F002C8"/>
    <w:rsid w:val="00F07D45"/>
    <w:rsid w:val="00F12F09"/>
    <w:rsid w:val="00F31D69"/>
    <w:rsid w:val="00F3609F"/>
    <w:rsid w:val="00F447AD"/>
    <w:rsid w:val="00F5741A"/>
    <w:rsid w:val="00F60543"/>
    <w:rsid w:val="00F651EC"/>
    <w:rsid w:val="00F754E7"/>
    <w:rsid w:val="00F81997"/>
    <w:rsid w:val="00F92407"/>
    <w:rsid w:val="00F95E8A"/>
    <w:rsid w:val="00FA0D2E"/>
    <w:rsid w:val="00FA2390"/>
    <w:rsid w:val="00FB72A8"/>
    <w:rsid w:val="00FC246B"/>
    <w:rsid w:val="00FC4771"/>
    <w:rsid w:val="00FC55D6"/>
    <w:rsid w:val="00FC5D84"/>
    <w:rsid w:val="00FC5F7C"/>
    <w:rsid w:val="00FC7378"/>
    <w:rsid w:val="00FE7F14"/>
    <w:rsid w:val="00FF3930"/>
    <w:rsid w:val="00FF6CB9"/>
    <w:rsid w:val="2822527D"/>
    <w:rsid w:val="30344B8E"/>
    <w:rsid w:val="41F63C9F"/>
    <w:rsid w:val="4B815EC0"/>
    <w:rsid w:val="59754412"/>
    <w:rsid w:val="5C7E1212"/>
    <w:rsid w:val="651D13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D07C9C4-0822-7A4C-BA64-EB813C0F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仿宋_GB2312" w:hAnsi="Times New Roman" w:cs="Times New Roman"/>
      <w:kern w:val="0"/>
      <w:sz w:val="18"/>
      <w:szCs w:val="18"/>
    </w:rPr>
  </w:style>
  <w:style w:type="paragraph" w:styleId="aa">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idu.com/s?wd=%E5%85%AC%E7%94%A8%E7%BB%8F%E8%B4%B9&amp;tn=SE_PcZhidaonwhc_ngpagmjz&amp;rsv_dl=gh_pc_zhidao"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2020</a:t>
            </a:r>
            <a:r>
              <a:rPr lang="zh-CN"/>
              <a:t>年区本级地方财政收入完成情况（万元）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75"/>
      <c:rotY val="13"/>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2020年区本级地方财政收入完成情况（万元）</c:v>
                </c:pt>
              </c:strCache>
            </c:strRef>
          </c:tx>
          <c:explosion val="11"/>
          <c:dPt>
            <c:idx val="0"/>
            <c:bubble3D val="0"/>
            <c:explosion val="9"/>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0C0-BF42-9A24-0BCFCDC3AEE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0C0-BF42-9A24-0BCFCDC3AEE4}"/>
              </c:ext>
            </c:extLst>
          </c:dPt>
          <c:dLbls>
            <c:dLbl>
              <c:idx val="0"/>
              <c:layout>
                <c:manualLayout>
                  <c:x val="8.0941965587635306E-2"/>
                  <c:y val="-1.3609236345456801E-2"/>
                </c:manualLayout>
              </c:layout>
              <c:tx>
                <c:rich>
                  <a:bodyPr/>
                  <a:lstStyle/>
                  <a:p>
                    <a:r>
                      <a:rPr lang="zh-CN" altLang="en-US"/>
                      <a:t>税收收入，
</a:t>
                    </a:r>
                    <a:r>
                      <a:rPr lang="en-US" altLang="zh-CN"/>
                      <a:t>99,043</a:t>
                    </a:r>
                    <a:r>
                      <a:rPr lang="zh-CN" altLang="en-US"/>
                      <a:t>，</a:t>
                    </a:r>
                    <a:r>
                      <a:rPr lang="en-US" altLang="zh-CN"/>
                      <a:t>77.98%</a:t>
                    </a:r>
                  </a:p>
                </c:rich>
              </c:tx>
              <c:dLblPos val="bestFit"/>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50C0-BF42-9A24-0BCFCDC3AEE4}"/>
                </c:ext>
              </c:extLst>
            </c:dLbl>
            <c:dLbl>
              <c:idx val="1"/>
              <c:layout>
                <c:manualLayout>
                  <c:x val="-8.310836788626122E-2"/>
                  <c:y val="8.7123054572306909E-3"/>
                </c:manualLayout>
              </c:layout>
              <c:tx>
                <c:rich>
                  <a:bodyPr/>
                  <a:lstStyle/>
                  <a:p>
                    <a:r>
                      <a:rPr lang="zh-CN" altLang="en-US"/>
                      <a:t>非税收入，</a:t>
                    </a:r>
                  </a:p>
                  <a:p>
                    <a:r>
                      <a:rPr lang="en-US" altLang="zh-CN"/>
                      <a:t>27,962</a:t>
                    </a:r>
                    <a:r>
                      <a:rPr lang="zh-CN" altLang="en-US"/>
                      <a:t>，</a:t>
                    </a:r>
                    <a:r>
                      <a:rPr lang="en-US" altLang="zh-CN"/>
                      <a:t>22.02%</a:t>
                    </a:r>
                  </a:p>
                </c:rich>
              </c:tx>
              <c:dLblPos val="bestFit"/>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50C0-BF42-9A24-0BCFCDC3AEE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税收收入</c:v>
                </c:pt>
                <c:pt idx="1">
                  <c:v>非税收入</c:v>
                </c:pt>
              </c:strCache>
            </c:strRef>
          </c:cat>
          <c:val>
            <c:numRef>
              <c:f>Sheet1!$B$2:$B$3</c:f>
              <c:numCache>
                <c:formatCode>General</c:formatCode>
                <c:ptCount val="2"/>
                <c:pt idx="0">
                  <c:v>98952</c:v>
                </c:pt>
                <c:pt idx="1">
                  <c:v>26818</c:v>
                </c:pt>
              </c:numCache>
            </c:numRef>
          </c:val>
          <c:extLst>
            <c:ext xmlns:c16="http://schemas.microsoft.com/office/drawing/2014/chart" uri="{C3380CC4-5D6E-409C-BE32-E72D297353CC}">
              <c16:uniqueId val="{00000004-50C0-BF42-9A24-0BCFCDC3AEE4}"/>
            </c:ext>
          </c:extLst>
        </c:ser>
        <c:dLbls>
          <c:showLegendKey val="0"/>
          <c:showVal val="0"/>
          <c:showCatName val="1"/>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2019年区本级支出执行情况（万元）</c:v>
                </c:pt>
              </c:strCache>
            </c:strRef>
          </c:tx>
          <c:spPr>
            <a:scene3d>
              <a:camera prst="orthographicFront"/>
              <a:lightRig rig="threePt" dir="t"/>
            </a:scene3d>
            <a:sp3d/>
          </c:spPr>
          <c:explosion val="25"/>
          <c:dPt>
            <c:idx val="0"/>
            <c:bubble3D val="0"/>
            <c:extLst>
              <c:ext xmlns:c16="http://schemas.microsoft.com/office/drawing/2014/chart" uri="{C3380CC4-5D6E-409C-BE32-E72D297353CC}">
                <c16:uniqueId val="{00000001-9416-7C4B-BB05-4FD5237FDA09}"/>
              </c:ext>
            </c:extLst>
          </c:dPt>
          <c:dPt>
            <c:idx val="1"/>
            <c:bubble3D val="0"/>
            <c:extLst>
              <c:ext xmlns:c16="http://schemas.microsoft.com/office/drawing/2014/chart" uri="{C3380CC4-5D6E-409C-BE32-E72D297353CC}">
                <c16:uniqueId val="{00000003-9416-7C4B-BB05-4FD5237FDA09}"/>
              </c:ext>
            </c:extLst>
          </c:dPt>
          <c:dPt>
            <c:idx val="2"/>
            <c:bubble3D val="0"/>
            <c:extLst>
              <c:ext xmlns:c16="http://schemas.microsoft.com/office/drawing/2014/chart" uri="{C3380CC4-5D6E-409C-BE32-E72D297353CC}">
                <c16:uniqueId val="{00000005-9416-7C4B-BB05-4FD5237FDA09}"/>
              </c:ext>
            </c:extLst>
          </c:dPt>
          <c:dPt>
            <c:idx val="3"/>
            <c:bubble3D val="0"/>
            <c:extLst>
              <c:ext xmlns:c16="http://schemas.microsoft.com/office/drawing/2014/chart" uri="{C3380CC4-5D6E-409C-BE32-E72D297353CC}">
                <c16:uniqueId val="{00000007-9416-7C4B-BB05-4FD5237FDA09}"/>
              </c:ext>
            </c:extLst>
          </c:dPt>
          <c:dPt>
            <c:idx val="4"/>
            <c:bubble3D val="0"/>
            <c:extLst>
              <c:ext xmlns:c16="http://schemas.microsoft.com/office/drawing/2014/chart" uri="{C3380CC4-5D6E-409C-BE32-E72D297353CC}">
                <c16:uniqueId val="{00000009-9416-7C4B-BB05-4FD5237FDA09}"/>
              </c:ext>
            </c:extLst>
          </c:dPt>
          <c:dPt>
            <c:idx val="5"/>
            <c:bubble3D val="0"/>
            <c:extLst>
              <c:ext xmlns:c16="http://schemas.microsoft.com/office/drawing/2014/chart" uri="{C3380CC4-5D6E-409C-BE32-E72D297353CC}">
                <c16:uniqueId val="{0000000B-9416-7C4B-BB05-4FD5237FDA09}"/>
              </c:ext>
            </c:extLst>
          </c:dPt>
          <c:dPt>
            <c:idx val="6"/>
            <c:bubble3D val="0"/>
            <c:extLst>
              <c:ext xmlns:c16="http://schemas.microsoft.com/office/drawing/2014/chart" uri="{C3380CC4-5D6E-409C-BE32-E72D297353CC}">
                <c16:uniqueId val="{0000000D-9416-7C4B-BB05-4FD5237FDA09}"/>
              </c:ext>
            </c:extLst>
          </c:dPt>
          <c:dPt>
            <c:idx val="7"/>
            <c:bubble3D val="0"/>
            <c:extLst>
              <c:ext xmlns:c16="http://schemas.microsoft.com/office/drawing/2014/chart" uri="{C3380CC4-5D6E-409C-BE32-E72D297353CC}">
                <c16:uniqueId val="{0000000F-9416-7C4B-BB05-4FD5237FDA09}"/>
              </c:ext>
            </c:extLst>
          </c:dPt>
          <c:dPt>
            <c:idx val="8"/>
            <c:bubble3D val="0"/>
            <c:extLst>
              <c:ext xmlns:c16="http://schemas.microsoft.com/office/drawing/2014/chart" uri="{C3380CC4-5D6E-409C-BE32-E72D297353CC}">
                <c16:uniqueId val="{00000011-9416-7C4B-BB05-4FD5237FDA09}"/>
              </c:ext>
            </c:extLst>
          </c:dPt>
          <c:dPt>
            <c:idx val="9"/>
            <c:bubble3D val="0"/>
            <c:extLst>
              <c:ext xmlns:c16="http://schemas.microsoft.com/office/drawing/2014/chart" uri="{C3380CC4-5D6E-409C-BE32-E72D297353CC}">
                <c16:uniqueId val="{00000013-9416-7C4B-BB05-4FD5237FDA09}"/>
              </c:ext>
            </c:extLst>
          </c:dPt>
          <c:dPt>
            <c:idx val="10"/>
            <c:bubble3D val="0"/>
            <c:extLst>
              <c:ext xmlns:c16="http://schemas.microsoft.com/office/drawing/2014/chart" uri="{C3380CC4-5D6E-409C-BE32-E72D297353CC}">
                <c16:uniqueId val="{00000015-9416-7C4B-BB05-4FD5237FDA09}"/>
              </c:ext>
            </c:extLst>
          </c:dPt>
          <c:dPt>
            <c:idx val="11"/>
            <c:bubble3D val="0"/>
            <c:extLst>
              <c:ext xmlns:c16="http://schemas.microsoft.com/office/drawing/2014/chart" uri="{C3380CC4-5D6E-409C-BE32-E72D297353CC}">
                <c16:uniqueId val="{00000017-9416-7C4B-BB05-4FD5237FDA09}"/>
              </c:ext>
            </c:extLst>
          </c:dPt>
          <c:dPt>
            <c:idx val="12"/>
            <c:bubble3D val="0"/>
            <c:extLst>
              <c:ext xmlns:c16="http://schemas.microsoft.com/office/drawing/2014/chart" uri="{C3380CC4-5D6E-409C-BE32-E72D297353CC}">
                <c16:uniqueId val="{00000019-9416-7C4B-BB05-4FD5237FDA09}"/>
              </c:ext>
            </c:extLst>
          </c:dPt>
          <c:dPt>
            <c:idx val="13"/>
            <c:bubble3D val="0"/>
            <c:extLst>
              <c:ext xmlns:c16="http://schemas.microsoft.com/office/drawing/2014/chart" uri="{C3380CC4-5D6E-409C-BE32-E72D297353CC}">
                <c16:uniqueId val="{0000001B-9416-7C4B-BB05-4FD5237FDA09}"/>
              </c:ext>
            </c:extLst>
          </c:dPt>
          <c:dPt>
            <c:idx val="14"/>
            <c:bubble3D val="0"/>
            <c:extLst>
              <c:ext xmlns:c16="http://schemas.microsoft.com/office/drawing/2014/chart" uri="{C3380CC4-5D6E-409C-BE32-E72D297353CC}">
                <c16:uniqueId val="{0000001D-9416-7C4B-BB05-4FD5237FDA09}"/>
              </c:ext>
            </c:extLst>
          </c:dPt>
          <c:dPt>
            <c:idx val="15"/>
            <c:bubble3D val="0"/>
            <c:extLst>
              <c:ext xmlns:c16="http://schemas.microsoft.com/office/drawing/2014/chart" uri="{C3380CC4-5D6E-409C-BE32-E72D297353CC}">
                <c16:uniqueId val="{0000001F-9416-7C4B-BB05-4FD5237FDA09}"/>
              </c:ext>
            </c:extLst>
          </c:dPt>
          <c:dPt>
            <c:idx val="16"/>
            <c:bubble3D val="0"/>
            <c:extLst>
              <c:ext xmlns:c16="http://schemas.microsoft.com/office/drawing/2014/chart" uri="{C3380CC4-5D6E-409C-BE32-E72D297353CC}">
                <c16:uniqueId val="{00000021-9416-7C4B-BB05-4FD5237FDA09}"/>
              </c:ext>
            </c:extLst>
          </c:dPt>
          <c:dPt>
            <c:idx val="17"/>
            <c:bubble3D val="0"/>
            <c:extLst>
              <c:ext xmlns:c16="http://schemas.microsoft.com/office/drawing/2014/chart" uri="{C3380CC4-5D6E-409C-BE32-E72D297353CC}">
                <c16:uniqueId val="{00000023-9416-7C4B-BB05-4FD5237FDA09}"/>
              </c:ext>
            </c:extLst>
          </c:dPt>
          <c:dPt>
            <c:idx val="18"/>
            <c:bubble3D val="0"/>
            <c:extLst>
              <c:ext xmlns:c16="http://schemas.microsoft.com/office/drawing/2014/chart" uri="{C3380CC4-5D6E-409C-BE32-E72D297353CC}">
                <c16:uniqueId val="{00000025-9416-7C4B-BB05-4FD5237FDA09}"/>
              </c:ext>
            </c:extLst>
          </c:dPt>
          <c:dPt>
            <c:idx val="19"/>
            <c:bubble3D val="0"/>
            <c:extLst>
              <c:ext xmlns:c16="http://schemas.microsoft.com/office/drawing/2014/chart" uri="{C3380CC4-5D6E-409C-BE32-E72D297353CC}">
                <c16:uniqueId val="{00000027-9416-7C4B-BB05-4FD5237FDA09}"/>
              </c:ext>
            </c:extLst>
          </c:dPt>
          <c:dPt>
            <c:idx val="20"/>
            <c:bubble3D val="0"/>
            <c:extLst>
              <c:ext xmlns:c16="http://schemas.microsoft.com/office/drawing/2014/chart" uri="{C3380CC4-5D6E-409C-BE32-E72D297353CC}">
                <c16:uniqueId val="{00000029-9416-7C4B-BB05-4FD5237FDA09}"/>
              </c:ext>
            </c:extLst>
          </c:dPt>
          <c:dPt>
            <c:idx val="21"/>
            <c:bubble3D val="0"/>
            <c:extLst>
              <c:ext xmlns:c16="http://schemas.microsoft.com/office/drawing/2014/chart" uri="{C3380CC4-5D6E-409C-BE32-E72D297353CC}">
                <c16:uniqueId val="{0000002B-9416-7C4B-BB05-4FD5237FDA09}"/>
              </c:ext>
            </c:extLst>
          </c:dPt>
          <c:dPt>
            <c:idx val="22"/>
            <c:bubble3D val="0"/>
            <c:extLst>
              <c:ext xmlns:c16="http://schemas.microsoft.com/office/drawing/2014/chart" uri="{C3380CC4-5D6E-409C-BE32-E72D297353CC}">
                <c16:uniqueId val="{0000002D-9416-7C4B-BB05-4FD5237FDA09}"/>
              </c:ext>
            </c:extLst>
          </c:dPt>
          <c:dLbls>
            <c:dLbl>
              <c:idx val="0"/>
              <c:layout>
                <c:manualLayout>
                  <c:x val="0.19389097853048701"/>
                  <c:y val="0.178852678137455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16-7C4B-BB05-4FD5237FDA09}"/>
                </c:ext>
              </c:extLst>
            </c:dLbl>
            <c:dLbl>
              <c:idx val="1"/>
              <c:delete val="1"/>
              <c:extLst>
                <c:ext xmlns:c15="http://schemas.microsoft.com/office/drawing/2012/chart" uri="{CE6537A1-D6FC-4f65-9D91-7224C49458BB}"/>
                <c:ext xmlns:c16="http://schemas.microsoft.com/office/drawing/2014/chart" uri="{C3380CC4-5D6E-409C-BE32-E72D297353CC}">
                  <c16:uniqueId val="{00000003-9416-7C4B-BB05-4FD5237FDA09}"/>
                </c:ext>
              </c:extLst>
            </c:dLbl>
            <c:dLbl>
              <c:idx val="2"/>
              <c:delete val="1"/>
              <c:extLst>
                <c:ext xmlns:c15="http://schemas.microsoft.com/office/drawing/2012/chart" uri="{CE6537A1-D6FC-4f65-9D91-7224C49458BB}"/>
                <c:ext xmlns:c16="http://schemas.microsoft.com/office/drawing/2014/chart" uri="{C3380CC4-5D6E-409C-BE32-E72D297353CC}">
                  <c16:uniqueId val="{00000005-9416-7C4B-BB05-4FD5237FDA09}"/>
                </c:ext>
              </c:extLst>
            </c:dLbl>
            <c:dLbl>
              <c:idx val="3"/>
              <c:layout>
                <c:manualLayout>
                  <c:x val="0.108745553211371"/>
                  <c:y val="0.1966231651599109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16-7C4B-BB05-4FD5237FDA09}"/>
                </c:ext>
              </c:extLst>
            </c:dLbl>
            <c:dLbl>
              <c:idx val="5"/>
              <c:layout>
                <c:manualLayout>
                  <c:x val="5.7805768279495698E-2"/>
                  <c:y val="4.4799261203460903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416-7C4B-BB05-4FD5237FDA09}"/>
                </c:ext>
              </c:extLst>
            </c:dLbl>
            <c:dLbl>
              <c:idx val="6"/>
              <c:layout>
                <c:manualLayout>
                  <c:x val="5.8391153671887401E-2"/>
                  <c:y val="0.11850908936613901"/>
                </c:manualLayout>
              </c:layout>
              <c:tx>
                <c:rich>
                  <a:bodyPr/>
                  <a:lstStyle/>
                  <a:p>
                    <a:r>
                      <a:rPr lang="zh-CN" altLang="en-US"/>
                      <a:t>  文化旅游体育与传媒支出</a:t>
                    </a:r>
                    <a:r>
                      <a:rPr lang="en-US" altLang="zh-CN"/>
                      <a:t>, 7,814 </a:t>
                    </a:r>
                  </a:p>
                </c:rich>
              </c:tx>
              <c:dLblPos val="bestFit"/>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9416-7C4B-BB05-4FD5237FDA09}"/>
                </c:ext>
              </c:extLst>
            </c:dLbl>
            <c:dLbl>
              <c:idx val="8"/>
              <c:tx>
                <c:rich>
                  <a:bodyPr/>
                  <a:lstStyle/>
                  <a:p>
                    <a:r>
                      <a:rPr lang="zh-CN" altLang="en-US"/>
                      <a:t>  卫生健康支出</a:t>
                    </a:r>
                    <a:r>
                      <a:rPr lang="en-US" altLang="zh-CN"/>
                      <a:t>, 72,479 </a:t>
                    </a:r>
                  </a:p>
                </c:rich>
              </c:tx>
              <c:dLblPos val="bestFit"/>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9416-7C4B-BB05-4FD5237FDA09}"/>
                </c:ext>
              </c:extLst>
            </c:dLbl>
            <c:dLbl>
              <c:idx val="9"/>
              <c:layout>
                <c:manualLayout>
                  <c:x val="-4.6564540715815499E-2"/>
                  <c:y val="1.1674443472343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416-7C4B-BB05-4FD5237FDA09}"/>
                </c:ext>
              </c:extLst>
            </c:dLbl>
            <c:dLbl>
              <c:idx val="10"/>
              <c:layout>
                <c:manualLayout>
                  <c:x val="-1.040142564357E-2"/>
                  <c:y val="-5.6065908428113104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416-7C4B-BB05-4FD5237FDA09}"/>
                </c:ext>
              </c:extLst>
            </c:dLbl>
            <c:dLbl>
              <c:idx val="11"/>
              <c:layout>
                <c:manualLayout>
                  <c:x val="-1.09537396472408E-2"/>
                  <c:y val="0.128652809853734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416-7C4B-BB05-4FD5237FDA09}"/>
                </c:ext>
              </c:extLst>
            </c:dLbl>
            <c:dLbl>
              <c:idx val="12"/>
              <c:layout>
                <c:manualLayout>
                  <c:x val="-1.25242976043236E-2"/>
                  <c:y val="4.76669515617706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416-7C4B-BB05-4FD5237FDA09}"/>
                </c:ext>
              </c:extLst>
            </c:dLbl>
            <c:dLbl>
              <c:idx val="13"/>
              <c:layout>
                <c:manualLayout>
                  <c:x val="-0.205552548544185"/>
                  <c:y val="0.145229340558758"/>
                </c:manualLayout>
              </c:layout>
              <c:tx>
                <c:rich>
                  <a:bodyPr/>
                  <a:lstStyle/>
                  <a:p>
                    <a:r>
                      <a:rPr lang="zh-CN" altLang="en-US"/>
                      <a:t>  资源勘探工业信息等支出</a:t>
                    </a:r>
                    <a:r>
                      <a:rPr lang="en-US" altLang="zh-CN"/>
                      <a:t>, 2,344 </a:t>
                    </a:r>
                  </a:p>
                </c:rich>
              </c:tx>
              <c:dLblPos val="bestFit"/>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9416-7C4B-BB05-4FD5237FDA09}"/>
                </c:ext>
              </c:extLst>
            </c:dLbl>
            <c:dLbl>
              <c:idx val="14"/>
              <c:layout>
                <c:manualLayout>
                  <c:x val="-0.207133719482576"/>
                  <c:y val="5.391015499505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416-7C4B-BB05-4FD5237FDA09}"/>
                </c:ext>
              </c:extLst>
            </c:dLbl>
            <c:dLbl>
              <c:idx val="15"/>
              <c:delete val="1"/>
              <c:extLst>
                <c:ext xmlns:c15="http://schemas.microsoft.com/office/drawing/2012/chart" uri="{CE6537A1-D6FC-4f65-9D91-7224C49458BB}"/>
                <c:ext xmlns:c16="http://schemas.microsoft.com/office/drawing/2014/chart" uri="{C3380CC4-5D6E-409C-BE32-E72D297353CC}">
                  <c16:uniqueId val="{0000001F-9416-7C4B-BB05-4FD5237FDA09}"/>
                </c:ext>
              </c:extLst>
            </c:dLbl>
            <c:dLbl>
              <c:idx val="16"/>
              <c:delete val="1"/>
              <c:extLst>
                <c:ext xmlns:c15="http://schemas.microsoft.com/office/drawing/2012/chart" uri="{CE6537A1-D6FC-4f65-9D91-7224C49458BB}"/>
                <c:ext xmlns:c16="http://schemas.microsoft.com/office/drawing/2014/chart" uri="{C3380CC4-5D6E-409C-BE32-E72D297353CC}">
                  <c16:uniqueId val="{00000021-9416-7C4B-BB05-4FD5237FDA09}"/>
                </c:ext>
              </c:extLst>
            </c:dLbl>
            <c:dLbl>
              <c:idx val="17"/>
              <c:layout>
                <c:manualLayout>
                  <c:x val="-0.206914928790978"/>
                  <c:y val="-2.7666830329811602E-2"/>
                </c:manualLayout>
              </c:layout>
              <c:tx>
                <c:rich>
                  <a:bodyPr/>
                  <a:lstStyle/>
                  <a:p>
                    <a:r>
                      <a:rPr lang="zh-CN" altLang="en-US"/>
                      <a:t>  自然资源海洋气象等支出</a:t>
                    </a:r>
                    <a:r>
                      <a:rPr lang="en-US" altLang="zh-CN"/>
                      <a:t>, 3,469 </a:t>
                    </a:r>
                  </a:p>
                </c:rich>
              </c:tx>
              <c:dLblPos val="bestFit"/>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9416-7C4B-BB05-4FD5237FDA09}"/>
                </c:ext>
              </c:extLst>
            </c:dLbl>
            <c:dLbl>
              <c:idx val="18"/>
              <c:layout>
                <c:manualLayout>
                  <c:x val="-0.11167974920708799"/>
                  <c:y val="-2.03550884084062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416-7C4B-BB05-4FD5237FDA09}"/>
                </c:ext>
              </c:extLst>
            </c:dLbl>
            <c:dLbl>
              <c:idx val="19"/>
              <c:layout>
                <c:manualLayout>
                  <c:x val="1.00521260658903E-2"/>
                  <c:y val="-1.2317167051578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416-7C4B-BB05-4FD5237FDA09}"/>
                </c:ext>
              </c:extLst>
            </c:dLbl>
            <c:dLbl>
              <c:idx val="20"/>
              <c:layout>
                <c:manualLayout>
                  <c:x val="0.289358181871192"/>
                  <c:y val="7.7160493827160999E-4"/>
                </c:manualLayout>
              </c:layout>
              <c:tx>
                <c:rich>
                  <a:bodyPr/>
                  <a:lstStyle/>
                  <a:p>
                    <a:r>
                      <a:rPr lang="zh-CN" altLang="en-US"/>
                      <a:t>灾害防治及应急管理支出</a:t>
                    </a:r>
                    <a:r>
                      <a:rPr lang="en-US" altLang="zh-CN"/>
                      <a:t>, 2,611 </a:t>
                    </a:r>
                  </a:p>
                </c:rich>
              </c:tx>
              <c:dLblPos val="bestFit"/>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9-9416-7C4B-BB05-4FD5237FDA09}"/>
                </c:ext>
              </c:extLst>
            </c:dLbl>
            <c:dLbl>
              <c:idx val="21"/>
              <c:delete val="1"/>
              <c:extLst>
                <c:ext xmlns:c15="http://schemas.microsoft.com/office/drawing/2012/chart" uri="{CE6537A1-D6FC-4f65-9D91-7224C49458BB}"/>
                <c:ext xmlns:c16="http://schemas.microsoft.com/office/drawing/2014/chart" uri="{C3380CC4-5D6E-409C-BE32-E72D297353CC}">
                  <c16:uniqueId val="{0000002B-9416-7C4B-BB05-4FD5237FDA09}"/>
                </c:ext>
              </c:extLst>
            </c:dLbl>
            <c:dLbl>
              <c:idx val="22"/>
              <c:layout>
                <c:manualLayout>
                  <c:x val="0.10849373221815391"/>
                  <c:y val="3.617125226552223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D-9416-7C4B-BB05-4FD5237FDA09}"/>
                </c:ext>
              </c:extLst>
            </c:dLbl>
            <c:spPr>
              <a:noFill/>
              <a:ln>
                <a:noFill/>
              </a:ln>
              <a:effectLst/>
              <a:scene3d>
                <a:camera prst="orthographicFront"/>
                <a:lightRig rig="threePt" dir="t"/>
              </a:scene3d>
              <a:sp3d>
                <a:bevelT/>
              </a:sp3d>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Sheet1!$A$2:$A$24</c:f>
              <c:strCache>
                <c:ptCount val="23"/>
                <c:pt idx="0">
                  <c:v>  一般公共服务支出</c:v>
                </c:pt>
                <c:pt idx="1">
                  <c:v>  外交支出</c:v>
                </c:pt>
                <c:pt idx="2">
                  <c:v>  国防支出</c:v>
                </c:pt>
                <c:pt idx="3">
                  <c:v>  公共安全支出</c:v>
                </c:pt>
                <c:pt idx="4">
                  <c:v>  教育支出</c:v>
                </c:pt>
                <c:pt idx="5">
                  <c:v>  科学技术支出</c:v>
                </c:pt>
                <c:pt idx="6">
                  <c:v>  文化体育与传媒支出</c:v>
                </c:pt>
                <c:pt idx="7">
                  <c:v>  社会保障和就业支出</c:v>
                </c:pt>
                <c:pt idx="8">
                  <c:v>  医疗卫生与计划生育支出</c:v>
                </c:pt>
                <c:pt idx="9">
                  <c:v>  节能环保支出</c:v>
                </c:pt>
                <c:pt idx="10">
                  <c:v>  城乡社区支出</c:v>
                </c:pt>
                <c:pt idx="11">
                  <c:v>  农林水支出</c:v>
                </c:pt>
                <c:pt idx="12">
                  <c:v>  交通运输支出</c:v>
                </c:pt>
                <c:pt idx="13">
                  <c:v>  资源勘探信息等支出</c:v>
                </c:pt>
                <c:pt idx="14">
                  <c:v>  商业服务业等支出</c:v>
                </c:pt>
                <c:pt idx="15">
                  <c:v>  金融支出</c:v>
                </c:pt>
                <c:pt idx="16">
                  <c:v>  援助其他地区支出</c:v>
                </c:pt>
                <c:pt idx="17">
                  <c:v>  国土海洋气象等支出</c:v>
                </c:pt>
                <c:pt idx="18">
                  <c:v>  住房保障支出</c:v>
                </c:pt>
                <c:pt idx="19">
                  <c:v>  粮油物资储备支出</c:v>
                </c:pt>
                <c:pt idx="20">
                  <c:v>灾害防治及应急支出</c:v>
                </c:pt>
                <c:pt idx="21">
                  <c:v>  其他支出(类)</c:v>
                </c:pt>
                <c:pt idx="22">
                  <c:v>  债务付息支出</c:v>
                </c:pt>
              </c:strCache>
            </c:strRef>
          </c:cat>
          <c:val>
            <c:numRef>
              <c:f>Sheet1!$B$2:$B$24</c:f>
              <c:numCache>
                <c:formatCode>General</c:formatCode>
                <c:ptCount val="23"/>
                <c:pt idx="0" formatCode="#,##0_ ">
                  <c:v>69526</c:v>
                </c:pt>
                <c:pt idx="3" formatCode="#,##0_ ">
                  <c:v>3481</c:v>
                </c:pt>
                <c:pt idx="4" formatCode="#,##0_ ">
                  <c:v>107243</c:v>
                </c:pt>
                <c:pt idx="5" formatCode="#,##0_ ">
                  <c:v>6418</c:v>
                </c:pt>
                <c:pt idx="6" formatCode="#,##0_ ">
                  <c:v>7814</c:v>
                </c:pt>
                <c:pt idx="7" formatCode="#,##0_ ">
                  <c:v>95461</c:v>
                </c:pt>
                <c:pt idx="8" formatCode="#,##0_ ">
                  <c:v>72479</c:v>
                </c:pt>
                <c:pt idx="9" formatCode="#,##0_ ">
                  <c:v>9382</c:v>
                </c:pt>
                <c:pt idx="10" formatCode="#,##0_ ">
                  <c:v>20061</c:v>
                </c:pt>
                <c:pt idx="11" formatCode="#,##0_ ">
                  <c:v>94602</c:v>
                </c:pt>
                <c:pt idx="12" formatCode="#,##0_ ">
                  <c:v>18007</c:v>
                </c:pt>
                <c:pt idx="13" formatCode="#,##0_ ">
                  <c:v>2344</c:v>
                </c:pt>
                <c:pt idx="14" formatCode="#,##0_ ">
                  <c:v>2058</c:v>
                </c:pt>
                <c:pt idx="17" formatCode="#,##0_ ">
                  <c:v>3469</c:v>
                </c:pt>
                <c:pt idx="18" formatCode="#,##0_ ">
                  <c:v>16036</c:v>
                </c:pt>
                <c:pt idx="19" formatCode="#,##0_ ">
                  <c:v>4223</c:v>
                </c:pt>
                <c:pt idx="20" formatCode="#,##0_ ">
                  <c:v>2611</c:v>
                </c:pt>
                <c:pt idx="22" formatCode="#,##0_ ">
                  <c:v>5141</c:v>
                </c:pt>
              </c:numCache>
            </c:numRef>
          </c:val>
          <c:extLst>
            <c:ext xmlns:c16="http://schemas.microsoft.com/office/drawing/2014/chart" uri="{C3380CC4-5D6E-409C-BE32-E72D297353CC}">
              <c16:uniqueId val="{0000002E-9416-7C4B-BB05-4FD5237FDA09}"/>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zero"/>
    <c:showDLblsOverMax val="0"/>
  </c:chart>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485F8FC-E696-4810-9157-1DC60EF5B3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1908</Words>
  <Characters>10879</Characters>
  <Application>Microsoft Office Word</Application>
  <DocSecurity>0</DocSecurity>
  <Lines>90</Lines>
  <Paragraphs>25</Paragraphs>
  <ScaleCrop>false</ScaleCrop>
  <Company>Sky123.Org</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cp:revision>
  <cp:lastPrinted>2020-12-26T03:57:00Z</cp:lastPrinted>
  <dcterms:created xsi:type="dcterms:W3CDTF">2020-12-26T03:57:00Z</dcterms:created>
  <dcterms:modified xsi:type="dcterms:W3CDTF">2020-12-26T12:28:00Z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