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rPr>
        <w:t>3</w:t>
      </w:r>
      <w:r>
        <w:rPr>
          <w:rFonts w:hint="eastAsia" w:ascii="黑体" w:hAnsi="黑体" w:eastAsia="黑体" w:cs="黑体"/>
          <w:sz w:val="32"/>
          <w:szCs w:val="32"/>
        </w:rPr>
        <w:t>：</w:t>
      </w:r>
    </w:p>
    <w:p>
      <w:pPr>
        <w:spacing w:line="480" w:lineRule="exact"/>
        <w:jc w:val="center"/>
        <w:rPr>
          <w:rFonts w:ascii="方正小标宋简体" w:eastAsia="方正小标宋简体"/>
          <w:sz w:val="44"/>
          <w:szCs w:val="44"/>
        </w:rPr>
      </w:pPr>
      <w:r>
        <w:rPr>
          <w:rFonts w:ascii="方正小标宋简体" w:eastAsia="方正小标宋简体" w:cs="方正小标宋简体"/>
          <w:sz w:val="44"/>
          <w:szCs w:val="44"/>
        </w:rPr>
        <w:t>20</w:t>
      </w:r>
      <w:r>
        <w:rPr>
          <w:rFonts w:hint="eastAsia" w:ascii="方正小标宋简体" w:eastAsia="方正小标宋简体" w:cs="方正小标宋简体"/>
          <w:sz w:val="44"/>
          <w:szCs w:val="44"/>
          <w:lang w:val="en-US" w:eastAsia="zh-CN"/>
        </w:rPr>
        <w:t>20</w:t>
      </w:r>
      <w:bookmarkStart w:id="0" w:name="_GoBack"/>
      <w:bookmarkEnd w:id="0"/>
      <w:r>
        <w:rPr>
          <w:rFonts w:hint="eastAsia" w:ascii="方正小标宋简体" w:eastAsia="方正小标宋简体" w:cs="方正小标宋简体"/>
          <w:sz w:val="44"/>
          <w:szCs w:val="44"/>
        </w:rPr>
        <w:t>年度部门整体支出绩效自评指标计分表</w:t>
      </w:r>
    </w:p>
    <w:p>
      <w:pPr>
        <w:spacing w:line="80" w:lineRule="exact"/>
        <w:rPr>
          <w:rFonts w:ascii="仿宋_GB2312"/>
        </w:rPr>
      </w:pPr>
    </w:p>
    <w:tbl>
      <w:tblPr>
        <w:tblStyle w:val="3"/>
        <w:tblW w:w="93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570"/>
        <w:gridCol w:w="703"/>
        <w:gridCol w:w="446"/>
        <w:gridCol w:w="2976"/>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547"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一级</w:t>
            </w:r>
            <w:r>
              <w:rPr>
                <w:rFonts w:ascii="宋体"/>
              </w:rPr>
              <w:br w:type="textWrapping"/>
            </w:r>
            <w:r>
              <w:rPr>
                <w:rFonts w:hint="eastAsia" w:ascii="宋体" w:hAnsi="宋体" w:cs="宋体"/>
              </w:rPr>
              <w:t>指标</w:t>
            </w:r>
          </w:p>
        </w:tc>
        <w:tc>
          <w:tcPr>
            <w:tcW w:w="570"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二级指标</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三级指标</w:t>
            </w:r>
          </w:p>
        </w:tc>
        <w:tc>
          <w:tcPr>
            <w:tcW w:w="446"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自评分</w:t>
            </w:r>
          </w:p>
        </w:tc>
        <w:tc>
          <w:tcPr>
            <w:tcW w:w="2976"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指标解释</w:t>
            </w:r>
          </w:p>
        </w:tc>
        <w:tc>
          <w:tcPr>
            <w:tcW w:w="4122"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目标</w:t>
            </w:r>
            <w:r>
              <w:rPr>
                <w:rFonts w:ascii="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绩效目标合理性（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2</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①符合国家法律法规、国民经济和社会发展总体规划计</w:t>
            </w:r>
            <w:r>
              <w:rPr>
                <w:rFonts w:ascii="宋体" w:hAnsi="宋体" w:cs="宋体"/>
              </w:rPr>
              <w:t>1</w:t>
            </w:r>
            <w:r>
              <w:rPr>
                <w:rFonts w:hint="eastAsia" w:ascii="宋体" w:hAnsi="宋体" w:cs="宋体"/>
              </w:rPr>
              <w:t>分；②符合部门“三定”方案确定的职责计</w:t>
            </w:r>
            <w:r>
              <w:rPr>
                <w:rFonts w:ascii="宋体" w:hAnsi="宋体" w:cs="宋体"/>
              </w:rPr>
              <w:t>0.5</w:t>
            </w:r>
            <w:r>
              <w:rPr>
                <w:rFonts w:hint="eastAsia" w:ascii="宋体" w:hAnsi="宋体" w:cs="宋体"/>
              </w:rPr>
              <w:t>分；③是否符合部门制定的中长期实施规划计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绩效指标明确性（</w:t>
            </w:r>
            <w:r>
              <w:rPr>
                <w:rFonts w:ascii="宋体" w:hAnsi="宋体" w:cs="宋体"/>
              </w:rPr>
              <w:t>3</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3</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部门依据整体绩效目标所设定的绩效指标是否清晰、细化、可衡量，用以反映和考核部门整体绩效目标的明细化情况。</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①将部门整体的绩效目标细化分解为具体的工作任务计</w:t>
            </w:r>
            <w:r>
              <w:rPr>
                <w:rFonts w:ascii="宋体" w:hAnsi="宋体" w:cs="宋体"/>
              </w:rPr>
              <w:t>1</w:t>
            </w:r>
            <w:r>
              <w:rPr>
                <w:rFonts w:hint="eastAsia" w:ascii="宋体" w:hAnsi="宋体" w:cs="宋体"/>
              </w:rPr>
              <w:t>分；②通过清晰、可衡量的指标值予以体现计</w:t>
            </w:r>
            <w:r>
              <w:rPr>
                <w:rFonts w:ascii="宋体" w:hAnsi="宋体" w:cs="宋体"/>
              </w:rPr>
              <w:t>0.5</w:t>
            </w:r>
            <w:r>
              <w:rPr>
                <w:rFonts w:hint="eastAsia" w:ascii="宋体" w:hAnsi="宋体" w:cs="宋体"/>
              </w:rPr>
              <w:t>分。③与部门年度的任务数或计划数相对应计</w:t>
            </w:r>
            <w:r>
              <w:rPr>
                <w:rFonts w:ascii="宋体" w:hAnsi="宋体" w:cs="宋体"/>
              </w:rPr>
              <w:t>0.5</w:t>
            </w:r>
            <w:r>
              <w:rPr>
                <w:rFonts w:hint="eastAsia" w:ascii="宋体" w:hAnsi="宋体" w:cs="宋体"/>
              </w:rPr>
              <w:t>分；④与本年度部门预算资金相匹配计</w:t>
            </w:r>
            <w:r>
              <w:rPr>
                <w:rFonts w:ascii="宋体" w:hAnsi="宋体" w:cs="宋体"/>
              </w:rPr>
              <w:t>1</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在职人员控制率（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5</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部门本年度实际在职人员数与编制数的比率，用以反映和考核部门对人员成本的控制程度。</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小于或等于</w:t>
            </w:r>
            <w:r>
              <w:rPr>
                <w:rFonts w:ascii="宋体" w:hAnsi="宋体" w:cs="宋体"/>
              </w:rPr>
              <w:t>1</w:t>
            </w:r>
            <w:r>
              <w:rPr>
                <w:rFonts w:hint="eastAsia" w:ascii="宋体" w:hAnsi="宋体" w:cs="宋体"/>
              </w:rPr>
              <w:t>计</w:t>
            </w:r>
            <w:r>
              <w:rPr>
                <w:rFonts w:ascii="宋体" w:hAnsi="宋体" w:cs="宋体"/>
              </w:rPr>
              <w:t>5</w:t>
            </w:r>
            <w:r>
              <w:rPr>
                <w:rFonts w:hint="eastAsia" w:ascii="宋体" w:hAnsi="宋体" w:cs="宋体"/>
              </w:rPr>
              <w:t>分，否则按比例计分。在职人员数：部门实际在职人数，以财政部确定的部门决算编制口径为准。编制数：机构编制部门核定批复的部门的人员编制数。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“三公经费”</w:t>
            </w:r>
          </w:p>
          <w:p>
            <w:pPr>
              <w:spacing w:line="240" w:lineRule="exact"/>
              <w:jc w:val="center"/>
              <w:rPr>
                <w:rFonts w:ascii="宋体"/>
              </w:rPr>
            </w:pPr>
            <w:r>
              <w:rPr>
                <w:rFonts w:hint="eastAsia" w:ascii="宋体" w:hAnsi="宋体" w:cs="宋体"/>
              </w:rPr>
              <w:t>变动率（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5</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部门本年度“三公经费”预算数与上年度“三公经费”预算数的变动比率，用以反映和考核部门对控制重点行政成本的努力程度。</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。下降的计</w:t>
            </w:r>
            <w:r>
              <w:rPr>
                <w:rFonts w:ascii="宋体" w:hAnsi="宋体" w:cs="宋体"/>
              </w:rPr>
              <w:t>5</w:t>
            </w:r>
            <w:r>
              <w:rPr>
                <w:rFonts w:hint="eastAsia" w:ascii="宋体" w:hAnsi="宋体" w:cs="宋体"/>
              </w:rPr>
              <w:t>分，增加的按比例扣减。“三公经费”：年度预算安排的因公出国（境）费、公务车辆购置及运行费和公务招待费。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重点支出安排率（</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5</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部门本年度预算安排的重点项目支出与部门项目总支出的比率，用以反映和考核部门对履行主要职责或完成重点任务的保障程度。</w:t>
            </w:r>
          </w:p>
        </w:tc>
        <w:tc>
          <w:tcPr>
            <w:tcW w:w="4122" w:type="dxa"/>
            <w:tcMar>
              <w:top w:w="10" w:type="dxa"/>
              <w:left w:w="10" w:type="dxa"/>
              <w:bottom w:w="0" w:type="dxa"/>
              <w:right w:w="10" w:type="dxa"/>
            </w:tcMar>
            <w:vAlign w:val="center"/>
          </w:tcPr>
          <w:p>
            <w:pPr>
              <w:spacing w:line="240" w:lineRule="exact"/>
              <w:rPr>
                <w:rFonts w:ascii="宋体"/>
              </w:rPr>
            </w:pPr>
            <w:r>
              <w:rPr>
                <w:rFonts w:hint="eastAsia" w:ascii="宋体" w:hAnsi="宋体" w:cs="宋体"/>
              </w:rPr>
              <w:t>重点支出安排率</w:t>
            </w:r>
            <w:r>
              <w:rPr>
                <w:rFonts w:ascii="宋体" w:hAnsi="宋体" w:cs="宋体"/>
              </w:rPr>
              <w:t>=</w:t>
            </w:r>
            <w:r>
              <w:rPr>
                <w:rFonts w:hint="eastAsia" w:ascii="宋体" w:hAnsi="宋体" w:cs="宋体"/>
              </w:rPr>
              <w:t>（重点项目支出</w:t>
            </w:r>
            <w:r>
              <w:rPr>
                <w:rFonts w:ascii="宋体" w:hAnsi="宋体" w:cs="宋体"/>
              </w:rPr>
              <w:t>/</w:t>
            </w:r>
            <w:r>
              <w:rPr>
                <w:rFonts w:hint="eastAsia" w:ascii="宋体" w:hAnsi="宋体" w:cs="宋体"/>
              </w:rPr>
              <w:t>项目总支出）×</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支出安排率</w:t>
            </w:r>
            <w:r>
              <w:rPr>
                <w:rFonts w:ascii="宋体" w:hAnsi="宋体" w:cs="宋体"/>
              </w:rPr>
              <w:t>*5</w:t>
            </w:r>
            <w:r>
              <w:rPr>
                <w:rFonts w:hint="eastAsia" w:ascii="宋体" w:hAnsi="宋体" w:cs="宋体"/>
              </w:rPr>
              <w:t>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执行</w:t>
            </w:r>
          </w:p>
          <w:p>
            <w:pPr>
              <w:spacing w:line="240" w:lineRule="exact"/>
              <w:jc w:val="center"/>
              <w:rPr>
                <w:rFonts w:asci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预算完成率（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4</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部门本年度预算完成数与预算数的比率，用以反映和考核部门预算完成程度。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预算完成率</w:t>
            </w:r>
            <w:r>
              <w:rPr>
                <w:rFonts w:ascii="宋体" w:hAnsi="宋体" w:cs="宋体"/>
              </w:rPr>
              <w:t>=</w:t>
            </w:r>
            <w:r>
              <w:rPr>
                <w:rFonts w:hint="eastAsia" w:ascii="宋体" w:hAnsi="宋体" w:cs="宋体"/>
              </w:rPr>
              <w:t>（预算完成数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。完成年初预算计</w:t>
            </w:r>
            <w:r>
              <w:rPr>
                <w:rFonts w:ascii="宋体" w:hAnsi="宋体" w:cs="宋体"/>
              </w:rPr>
              <w:t>4</w:t>
            </w:r>
            <w:r>
              <w:rPr>
                <w:rFonts w:hint="eastAsia" w:ascii="宋体" w:hAnsi="宋体" w:cs="宋体"/>
              </w:rPr>
              <w:t>分，未完成年初预算按比例扣减，预算完成数：部门本年度实际完成的预算数。预算数：财政部门批复的本年度部门预算数。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预算调整率（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2</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部门本年度预算调整数与预算数的比率，用以反映和考核部门预算的调整程度。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。未调整的计</w:t>
            </w:r>
            <w:r>
              <w:rPr>
                <w:rFonts w:ascii="宋体" w:hAnsi="宋体" w:cs="宋体"/>
              </w:rPr>
              <w:t>2</w:t>
            </w:r>
            <w:r>
              <w:rPr>
                <w:rFonts w:hint="eastAsia" w:ascii="宋体" w:hAnsi="宋体" w:cs="宋体"/>
              </w:rPr>
              <w:t>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40" w:lineRule="exact"/>
              <w:jc w:val="center"/>
              <w:rPr>
                <w:rFonts w:ascii="宋体"/>
              </w:rPr>
            </w:pPr>
          </w:p>
        </w:tc>
        <w:tc>
          <w:tcPr>
            <w:tcW w:w="703" w:type="dxa"/>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支付进度率（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40" w:lineRule="exact"/>
              <w:jc w:val="center"/>
              <w:rPr>
                <w:rFonts w:hint="eastAsia" w:ascii="宋体" w:eastAsia="宋体"/>
                <w:lang w:val="en-US" w:eastAsia="zh-CN"/>
              </w:rPr>
            </w:pPr>
            <w:r>
              <w:rPr>
                <w:rFonts w:hint="eastAsia" w:ascii="宋体"/>
                <w:lang w:val="en-US" w:eastAsia="zh-CN"/>
              </w:rPr>
              <w:t>2</w:t>
            </w:r>
          </w:p>
        </w:tc>
        <w:tc>
          <w:tcPr>
            <w:tcW w:w="2976" w:type="dxa"/>
            <w:tcMar>
              <w:top w:w="10" w:type="dxa"/>
              <w:left w:w="10" w:type="dxa"/>
              <w:bottom w:w="0" w:type="dxa"/>
              <w:right w:w="10" w:type="dxa"/>
            </w:tcMar>
            <w:vAlign w:val="center"/>
          </w:tcPr>
          <w:p>
            <w:pPr>
              <w:tabs>
                <w:tab w:val="left" w:pos="2604"/>
              </w:tabs>
              <w:spacing w:line="240" w:lineRule="exact"/>
              <w:rPr>
                <w:rFonts w:ascii="宋体"/>
              </w:rPr>
            </w:pPr>
            <w:r>
              <w:rPr>
                <w:rFonts w:hint="eastAsia" w:ascii="宋体" w:hAnsi="宋体" w:cs="宋体"/>
              </w:rPr>
              <w:t>部门实际支付进度与既定支付进度的比率，用以反映和考核部门预算执行的及时性和均衡性程度。</w:t>
            </w:r>
          </w:p>
        </w:tc>
        <w:tc>
          <w:tcPr>
            <w:tcW w:w="4122" w:type="dxa"/>
            <w:tcMar>
              <w:top w:w="10" w:type="dxa"/>
              <w:left w:w="10" w:type="dxa"/>
              <w:bottom w:w="0" w:type="dxa"/>
              <w:right w:w="10" w:type="dxa"/>
            </w:tcMar>
            <w:vAlign w:val="center"/>
          </w:tcPr>
          <w:p>
            <w:pPr>
              <w:spacing w:line="220" w:lineRule="exact"/>
              <w:rPr>
                <w:rFonts w:ascii="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。完成年终进度的计</w:t>
            </w:r>
            <w:r>
              <w:rPr>
                <w:rFonts w:ascii="宋体" w:hAnsi="宋体" w:cs="宋体"/>
              </w:rPr>
              <w:t>1</w:t>
            </w:r>
            <w:r>
              <w:rPr>
                <w:rFonts w:hint="eastAsia" w:ascii="宋体" w:hAnsi="宋体" w:cs="宋体"/>
              </w:rPr>
              <w:t>分，按季度完成预算进度的计</w:t>
            </w:r>
            <w:r>
              <w:rPr>
                <w:rFonts w:ascii="宋体" w:hAnsi="宋体" w:cs="宋体"/>
              </w:rPr>
              <w:t>1</w:t>
            </w:r>
            <w:r>
              <w:rPr>
                <w:rFonts w:hint="eastAsia" w:ascii="宋体" w:hAnsi="宋体" w:cs="宋体"/>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ind w:left="113"/>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预算</w:t>
            </w:r>
            <w:r>
              <w:rPr>
                <w:rFonts w:ascii="宋体"/>
              </w:rPr>
              <w:br w:type="textWrapping"/>
            </w:r>
            <w:r>
              <w:rPr>
                <w:rFonts w:hint="eastAsia" w:ascii="宋体" w:hAnsi="宋体" w:cs="宋体"/>
              </w:rPr>
              <w:t>执行</w:t>
            </w:r>
          </w:p>
          <w:p>
            <w:pPr>
              <w:spacing w:line="260" w:lineRule="exact"/>
              <w:jc w:val="center"/>
              <w:rPr>
                <w:rFonts w:ascii="宋体"/>
              </w:rPr>
            </w:pPr>
            <w:r>
              <w:rPr>
                <w:rFonts w:hint="eastAsia" w:ascii="宋体" w:hAnsi="宋体" w:cs="宋体"/>
              </w:rPr>
              <w:t>（</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结转结余控制率（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default" w:ascii="宋体" w:eastAsia="宋体"/>
                <w:lang w:val="en-US" w:eastAsia="zh-CN"/>
              </w:rPr>
            </w:pPr>
            <w:r>
              <w:rPr>
                <w:rFonts w:hint="eastAsia" w:ascii="宋体"/>
                <w:lang w:val="en-US" w:eastAsia="zh-CN"/>
              </w:rPr>
              <w:t>4</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部门本年度结转结余总额与上年结转结余总额增减比例，用以反映和考核部门对存量资金的实际控制程度。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结转结余控制率</w:t>
            </w:r>
            <w:r>
              <w:rPr>
                <w:rFonts w:ascii="宋体" w:hAnsi="宋体" w:cs="宋体"/>
              </w:rPr>
              <w:t>=</w:t>
            </w:r>
            <w:r>
              <w:rPr>
                <w:rFonts w:hint="eastAsia" w:ascii="宋体" w:hAnsi="宋体" w:cs="宋体"/>
              </w:rPr>
              <w:t>（本年结转结余总额</w:t>
            </w:r>
            <w:r>
              <w:rPr>
                <w:rFonts w:ascii="宋体" w:cs="宋体"/>
              </w:rPr>
              <w:t>-</w:t>
            </w:r>
            <w:r>
              <w:rPr>
                <w:rFonts w:hint="eastAsia" w:ascii="宋体" w:hAnsi="宋体" w:cs="宋体"/>
              </w:rPr>
              <w:t>上年结转结余总额）</w:t>
            </w:r>
            <w:r>
              <w:rPr>
                <w:rFonts w:ascii="宋体" w:hAnsi="宋体" w:cs="宋体"/>
              </w:rPr>
              <w:t>/</w:t>
            </w:r>
            <w:r>
              <w:rPr>
                <w:rFonts w:hint="eastAsia" w:ascii="宋体" w:hAnsi="宋体" w:cs="宋体"/>
              </w:rPr>
              <w:t>上年结转结余总额×</w:t>
            </w:r>
            <w:r>
              <w:rPr>
                <w:rFonts w:ascii="宋体" w:hAnsi="宋体" w:cs="宋体"/>
              </w:rPr>
              <w:t>100%</w:t>
            </w:r>
            <w:r>
              <w:rPr>
                <w:rFonts w:hint="eastAsia" w:ascii="宋体" w:hAnsi="宋体" w:cs="宋体"/>
              </w:rPr>
              <w:t>。低于</w:t>
            </w:r>
            <w:r>
              <w:rPr>
                <w:rFonts w:ascii="宋体" w:hAnsi="宋体" w:cs="宋体"/>
              </w:rPr>
              <w:t>15%</w:t>
            </w:r>
            <w:r>
              <w:rPr>
                <w:rFonts w:hint="eastAsia" w:ascii="宋体" w:hAnsi="宋体" w:cs="宋体"/>
              </w:rPr>
              <w:t>的计</w:t>
            </w:r>
            <w:r>
              <w:rPr>
                <w:rFonts w:ascii="宋体" w:hAnsi="宋体" w:cs="宋体"/>
              </w:rPr>
              <w:t>4</w:t>
            </w:r>
            <w:r>
              <w:rPr>
                <w:rFonts w:hint="eastAsia" w:ascii="宋体" w:hAnsi="宋体" w:cs="宋体"/>
              </w:rPr>
              <w:t>分，每超过</w:t>
            </w:r>
            <w:r>
              <w:rPr>
                <w:rFonts w:ascii="宋体" w:hAnsi="宋体" w:cs="宋体"/>
              </w:rPr>
              <w:t>5</w:t>
            </w:r>
            <w:r>
              <w:rPr>
                <w:rFonts w:hint="eastAsia" w:ascii="宋体" w:hAnsi="宋体" w:cs="宋体"/>
              </w:rPr>
              <w:t>个百分点扣</w:t>
            </w:r>
            <w:r>
              <w:rPr>
                <w:rFonts w:ascii="宋体" w:hAnsi="宋体" w:cs="宋体"/>
              </w:rPr>
              <w:t>1</w:t>
            </w:r>
            <w:r>
              <w:rPr>
                <w:rFonts w:hint="eastAsia" w:ascii="宋体" w:hAnsi="宋体" w:cs="宋体"/>
              </w:rPr>
              <w:t>分，扣完为止。结转结余总额：部门本年度的结转资金与结余资金之和（以决算数为准）。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公用经费</w:t>
            </w:r>
          </w:p>
          <w:p>
            <w:pPr>
              <w:spacing w:line="260" w:lineRule="exact"/>
              <w:jc w:val="center"/>
              <w:rPr>
                <w:rFonts w:ascii="宋体"/>
              </w:rPr>
            </w:pPr>
            <w:r>
              <w:rPr>
                <w:rFonts w:hint="eastAsia" w:ascii="宋体" w:hAnsi="宋体" w:cs="宋体"/>
              </w:rPr>
              <w:t>控制率（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2</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2</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部门本年度“三公经费”实际支出数与预算安排数的比率，用以反映和考核部门对“三公经费”的实际控制程度。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分，每超过</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政府采购</w:t>
            </w:r>
          </w:p>
          <w:p>
            <w:pPr>
              <w:spacing w:line="260" w:lineRule="exact"/>
              <w:jc w:val="center"/>
              <w:rPr>
                <w:rFonts w:ascii="宋体"/>
              </w:rPr>
            </w:pPr>
            <w:r>
              <w:rPr>
                <w:rFonts w:hint="eastAsia" w:ascii="宋体" w:hAnsi="宋体" w:cs="宋体"/>
              </w:rPr>
              <w:t>执行率（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4</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部门本年度实际政府采购金额与年初政府采购预算的比率，用以反映和考核部门政府采购预算执行情况。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，为</w:t>
            </w:r>
            <w:r>
              <w:rPr>
                <w:rFonts w:ascii="宋体" w:hAnsi="宋体" w:cs="宋体"/>
              </w:rPr>
              <w:t>100%</w:t>
            </w:r>
            <w:r>
              <w:rPr>
                <w:rFonts w:hint="eastAsia" w:ascii="宋体" w:hAnsi="宋体" w:cs="宋体"/>
              </w:rPr>
              <w:t>的计</w:t>
            </w:r>
            <w:r>
              <w:rPr>
                <w:rFonts w:ascii="宋体" w:hAnsi="宋体" w:cs="宋体"/>
              </w:rPr>
              <w:t>2</w:t>
            </w:r>
            <w:r>
              <w:rPr>
                <w:rFonts w:hint="eastAsia" w:ascii="宋体" w:hAnsi="宋体" w:cs="宋体"/>
              </w:rPr>
              <w:t>分，每低于</w:t>
            </w:r>
            <w:r>
              <w:rPr>
                <w:rFonts w:ascii="宋体" w:hAnsi="宋体" w:cs="宋体"/>
              </w:rPr>
              <w:t>1</w:t>
            </w:r>
            <w:r>
              <w:rPr>
                <w:rFonts w:hint="eastAsia" w:ascii="宋体" w:hAnsi="宋体" w:cs="宋体"/>
              </w:rPr>
              <w:t>个百分点扣</w:t>
            </w:r>
            <w:r>
              <w:rPr>
                <w:rFonts w:ascii="宋体" w:hAnsi="宋体" w:cs="宋体"/>
              </w:rPr>
              <w:t>0.5</w:t>
            </w:r>
            <w:r>
              <w:rPr>
                <w:rFonts w:hint="eastAsia" w:ascii="宋体" w:hAnsi="宋体" w:cs="宋体"/>
              </w:rPr>
              <w:t>分，扣完为止；政府采购预算：采购机关根据事业发展计划和行政任务编制的、并经过规定程序批准的年度政府采购计划。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预算</w:t>
            </w:r>
          </w:p>
          <w:p>
            <w:pPr>
              <w:spacing w:line="260" w:lineRule="exact"/>
              <w:jc w:val="center"/>
              <w:rPr>
                <w:rFonts w:ascii="宋体"/>
              </w:rPr>
            </w:pPr>
            <w:r>
              <w:rPr>
                <w:rFonts w:hint="eastAsia" w:ascii="宋体" w:hAnsi="宋体" w:cs="宋体"/>
              </w:rPr>
              <w:t>管理</w:t>
            </w:r>
          </w:p>
          <w:p>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管理制度</w:t>
            </w:r>
          </w:p>
          <w:p>
            <w:pPr>
              <w:spacing w:line="260" w:lineRule="exact"/>
              <w:jc w:val="center"/>
              <w:rPr>
                <w:rFonts w:asci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default" w:ascii="宋体" w:eastAsia="宋体"/>
                <w:lang w:val="en-US" w:eastAsia="zh-CN"/>
              </w:rPr>
            </w:pPr>
            <w:r>
              <w:rPr>
                <w:rFonts w:hint="eastAsia" w:ascii="宋体"/>
                <w:lang w:val="en-US" w:eastAsia="zh-CN"/>
              </w:rPr>
              <w:t>1.5</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已制定或具有预算资金管理办法、内部财务管理制度、会计核算制度等管理制度计</w:t>
            </w:r>
            <w:r>
              <w:rPr>
                <w:rFonts w:ascii="宋体" w:hAnsi="宋体" w:cs="宋体"/>
              </w:rPr>
              <w:t>1</w:t>
            </w:r>
            <w:r>
              <w:rPr>
                <w:rFonts w:hint="eastAsia" w:ascii="宋体" w:hAnsi="宋体" w:cs="宋体"/>
              </w:rPr>
              <w:t>分；相关管理制度合法、合规、完整计</w:t>
            </w:r>
            <w:r>
              <w:rPr>
                <w:rFonts w:ascii="宋体" w:hAnsi="宋体" w:cs="宋体"/>
              </w:rPr>
              <w:t>0.5</w:t>
            </w:r>
            <w:r>
              <w:rPr>
                <w:rFonts w:hint="eastAsia" w:ascii="宋体" w:hAnsi="宋体" w:cs="宋体"/>
              </w:rPr>
              <w:t>分；相关管理制度得到有效执行计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资金使用</w:t>
            </w:r>
          </w:p>
          <w:p>
            <w:pPr>
              <w:spacing w:line="260" w:lineRule="exact"/>
              <w:jc w:val="center"/>
              <w:rPr>
                <w:rFonts w:ascii="宋体"/>
              </w:rPr>
            </w:pPr>
            <w:r>
              <w:rPr>
                <w:rFonts w:hint="eastAsia" w:ascii="宋体" w:hAnsi="宋体" w:cs="宋体"/>
              </w:rPr>
              <w:t>合规性（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部门使用预算资金是否符合相关的预算财务管理制度的规定，用以反映和考核部门预算资金的规范运行情况。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①符合国家财经法规和财务管理制度规定以及有关专项资金管理办法的规定计</w:t>
            </w:r>
            <w:r>
              <w:rPr>
                <w:rFonts w:ascii="宋体" w:hAnsi="宋体" w:cs="宋体"/>
              </w:rPr>
              <w:t>0.2</w:t>
            </w:r>
            <w:r>
              <w:rPr>
                <w:rFonts w:hint="eastAsia" w:ascii="宋体" w:hAnsi="宋体" w:cs="宋体"/>
              </w:rPr>
              <w:t>分；②资金的拨付有完整的审批程序和手续计</w:t>
            </w:r>
            <w:r>
              <w:rPr>
                <w:rFonts w:ascii="宋体" w:hAnsi="宋体" w:cs="宋体"/>
              </w:rPr>
              <w:t>0.2</w:t>
            </w:r>
            <w:r>
              <w:rPr>
                <w:rFonts w:hint="eastAsia" w:ascii="宋体" w:hAnsi="宋体" w:cs="宋体"/>
              </w:rPr>
              <w:t>分；③项目的重大开支经过评估论证计</w:t>
            </w:r>
            <w:r>
              <w:rPr>
                <w:rFonts w:ascii="宋体" w:hAnsi="宋体" w:cs="宋体"/>
              </w:rPr>
              <w:t>0.2</w:t>
            </w:r>
            <w:r>
              <w:rPr>
                <w:rFonts w:hint="eastAsia" w:ascii="宋体" w:hAnsi="宋体" w:cs="宋体"/>
              </w:rPr>
              <w:t>分；④符合部门预算批复的用途计</w:t>
            </w:r>
            <w:r>
              <w:rPr>
                <w:rFonts w:ascii="宋体" w:hAnsi="宋体" w:cs="宋体"/>
              </w:rPr>
              <w:t>0.2</w:t>
            </w:r>
            <w:r>
              <w:rPr>
                <w:rFonts w:hint="eastAsia" w:ascii="宋体" w:hAnsi="宋体" w:cs="宋体"/>
              </w:rPr>
              <w:t>分；⑤不存在截留、挤占、挪用、虚列支出等情况计</w:t>
            </w:r>
            <w:r>
              <w:rPr>
                <w:rFonts w:ascii="宋体" w:hAnsi="宋体" w:cs="宋体"/>
              </w:rPr>
              <w:t>0.2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预决算信</w:t>
            </w:r>
          </w:p>
          <w:p>
            <w:pPr>
              <w:spacing w:line="260" w:lineRule="exact"/>
              <w:jc w:val="center"/>
              <w:rPr>
                <w:rFonts w:ascii="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部门是否按照政府信息公开有关规定公开相关预决算信息，用以反映和考核部门预决算管理的公开透明情况。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①按规定内容公开预决算信息计</w:t>
            </w:r>
            <w:r>
              <w:rPr>
                <w:rFonts w:ascii="宋体" w:hAnsi="宋体" w:cs="宋体"/>
              </w:rPr>
              <w:t>0.5</w:t>
            </w:r>
            <w:r>
              <w:rPr>
                <w:rFonts w:hint="eastAsia" w:ascii="宋体" w:hAnsi="宋体" w:cs="宋体"/>
              </w:rPr>
              <w:t>分；②按规定时限公开预决算信息计</w:t>
            </w:r>
            <w:r>
              <w:rPr>
                <w:rFonts w:ascii="宋体" w:hAnsi="宋体" w:cs="宋体"/>
              </w:rPr>
              <w:t>0.5</w:t>
            </w:r>
            <w:r>
              <w:rPr>
                <w:rFonts w:hint="eastAsia" w:ascii="宋体" w:hAnsi="宋体" w:cs="宋体"/>
              </w:rPr>
              <w:t>分。预决算信息是指与部门预算、执行、决算、监督、绩效等管理相关的信息。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基础信息</w:t>
            </w:r>
          </w:p>
          <w:p>
            <w:pPr>
              <w:spacing w:line="260" w:lineRule="exact"/>
              <w:jc w:val="center"/>
              <w:rPr>
                <w:rFonts w:ascii="宋体"/>
              </w:rPr>
            </w:pPr>
            <w:r>
              <w:rPr>
                <w:rFonts w:hint="eastAsia" w:ascii="宋体" w:hAnsi="宋体" w:cs="宋体"/>
              </w:rPr>
              <w:t>完善性（</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部门基础信息是否完善，用以反映和考核基础信息对预算管理工作的支撑情况。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①基础数据信息和会计信息资料真实计</w:t>
            </w:r>
            <w:r>
              <w:rPr>
                <w:rFonts w:ascii="宋体" w:hAnsi="宋体" w:cs="宋体"/>
              </w:rPr>
              <w:t>0.4</w:t>
            </w:r>
            <w:r>
              <w:rPr>
                <w:rFonts w:hint="eastAsia" w:ascii="宋体" w:hAnsi="宋体" w:cs="宋体"/>
              </w:rPr>
              <w:t>分；②基础数据信息和会计信息资料完整计</w:t>
            </w:r>
            <w:r>
              <w:rPr>
                <w:rFonts w:ascii="宋体" w:hAnsi="宋体" w:cs="宋体"/>
              </w:rPr>
              <w:t>0.3</w:t>
            </w:r>
            <w:r>
              <w:rPr>
                <w:rFonts w:hint="eastAsia" w:ascii="宋体" w:hAnsi="宋体" w:cs="宋体"/>
              </w:rPr>
              <w:t>分；③基础数据信息和会计信息资料准确计</w:t>
            </w:r>
            <w:r>
              <w:rPr>
                <w:rFonts w:ascii="宋体" w:hAnsi="宋体" w:cs="宋体"/>
              </w:rPr>
              <w:t>0.3</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tcMar>
              <w:top w:w="10" w:type="dxa"/>
              <w:left w:w="10" w:type="dxa"/>
              <w:bottom w:w="0" w:type="dxa"/>
              <w:right w:w="10" w:type="dxa"/>
            </w:tcMar>
            <w:textDirection w:val="tbRlV"/>
            <w:vAlign w:val="center"/>
          </w:tcPr>
          <w:p>
            <w:pPr>
              <w:spacing w:line="240" w:lineRule="exact"/>
              <w:jc w:val="center"/>
              <w:rPr>
                <w:rFonts w:ascii="宋体"/>
              </w:rPr>
            </w:pPr>
          </w:p>
        </w:tc>
        <w:tc>
          <w:tcPr>
            <w:tcW w:w="570"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资产</w:t>
            </w:r>
            <w:r>
              <w:rPr>
                <w:rFonts w:ascii="宋体"/>
              </w:rPr>
              <w:br w:type="textWrapping"/>
            </w:r>
            <w:r>
              <w:rPr>
                <w:rFonts w:hint="eastAsia" w:ascii="宋体" w:hAnsi="宋体" w:cs="宋体"/>
              </w:rPr>
              <w:t>管理</w:t>
            </w:r>
          </w:p>
          <w:p>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管理制度</w:t>
            </w:r>
          </w:p>
          <w:p>
            <w:pPr>
              <w:spacing w:line="260" w:lineRule="exact"/>
              <w:jc w:val="center"/>
              <w:rPr>
                <w:rFonts w:ascii="宋体"/>
              </w:rPr>
            </w:pPr>
            <w:r>
              <w:rPr>
                <w:rFonts w:hint="eastAsia" w:ascii="宋体" w:hAnsi="宋体" w:cs="宋体"/>
              </w:rPr>
              <w:t>健全性（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①制定或具有资产管理制度计</w:t>
            </w:r>
            <w:r>
              <w:rPr>
                <w:rFonts w:ascii="宋体" w:hAnsi="宋体" w:cs="宋体"/>
              </w:rPr>
              <w:t>1</w:t>
            </w:r>
            <w:r>
              <w:rPr>
                <w:rFonts w:hint="eastAsia" w:ascii="宋体" w:hAnsi="宋体" w:cs="宋体"/>
              </w:rPr>
              <w:t>分；②相关资金管理制度合法、合规、完整计</w:t>
            </w:r>
            <w:r>
              <w:rPr>
                <w:rFonts w:ascii="宋体" w:hAnsi="宋体" w:cs="宋体"/>
              </w:rPr>
              <w:t>0.5</w:t>
            </w:r>
            <w:r>
              <w:rPr>
                <w:rFonts w:hint="eastAsia" w:ascii="宋体" w:hAnsi="宋体" w:cs="宋体"/>
              </w:rPr>
              <w:t>分；③相关资产管理制度得到有效执行计</w:t>
            </w:r>
            <w:r>
              <w:rPr>
                <w:rFonts w:ascii="宋体" w:hAnsi="宋体" w:cs="宋体"/>
              </w:rPr>
              <w:t>0.5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vAlign w:val="center"/>
          </w:tcPr>
          <w:p>
            <w:pPr>
              <w:spacing w:line="240" w:lineRule="exact"/>
              <w:ind w:left="113"/>
              <w:jc w:val="center"/>
              <w:rPr>
                <w:rFonts w:ascii="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570" w:type="dxa"/>
            <w:vMerge w:val="restart"/>
            <w:vAlign w:val="center"/>
          </w:tcPr>
          <w:p>
            <w:pPr>
              <w:spacing w:line="260" w:lineRule="exact"/>
              <w:jc w:val="center"/>
              <w:rPr>
                <w:rFonts w:ascii="宋体"/>
              </w:rPr>
            </w:pPr>
            <w:r>
              <w:rPr>
                <w:rFonts w:hint="eastAsia" w:ascii="宋体" w:hAnsi="宋体" w:cs="宋体"/>
              </w:rPr>
              <w:t>资产</w:t>
            </w:r>
            <w:r>
              <w:rPr>
                <w:rFonts w:ascii="宋体"/>
              </w:rPr>
              <w:br w:type="textWrapping"/>
            </w:r>
            <w:r>
              <w:rPr>
                <w:rFonts w:hint="eastAsia" w:ascii="宋体" w:hAnsi="宋体" w:cs="宋体"/>
              </w:rPr>
              <w:t>管理</w:t>
            </w:r>
          </w:p>
          <w:p>
            <w:pPr>
              <w:spacing w:line="26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资产管理</w:t>
            </w:r>
          </w:p>
          <w:p>
            <w:pPr>
              <w:spacing w:line="260" w:lineRule="exact"/>
              <w:jc w:val="center"/>
              <w:rPr>
                <w:rFonts w:ascii="宋体"/>
              </w:rPr>
            </w:pPr>
            <w:r>
              <w:rPr>
                <w:rFonts w:hint="eastAsia" w:ascii="宋体" w:hAnsi="宋体" w:cs="宋体"/>
              </w:rPr>
              <w:t>安全性（</w:t>
            </w:r>
            <w:r>
              <w:rPr>
                <w:rFonts w:ascii="宋体" w:hAnsi="宋体" w:cs="宋体"/>
              </w:rPr>
              <w:t>2</w:t>
            </w:r>
            <w:r>
              <w:rPr>
                <w:rFonts w:hint="eastAsia" w:ascii="宋体" w:hAnsi="宋体" w:cs="宋体"/>
              </w:rPr>
              <w:t>分）</w:t>
            </w:r>
          </w:p>
        </w:tc>
        <w:tc>
          <w:tcPr>
            <w:tcW w:w="446" w:type="dxa"/>
            <w:tcMar>
              <w:top w:w="10" w:type="dxa"/>
              <w:left w:w="10" w:type="dxa"/>
              <w:bottom w:w="0" w:type="dxa"/>
              <w:right w:w="10" w:type="dxa"/>
            </w:tcMar>
            <w:vAlign w:val="center"/>
          </w:tcPr>
          <w:p>
            <w:pPr>
              <w:tabs>
                <w:tab w:val="left" w:pos="761"/>
                <w:tab w:val="left" w:pos="2604"/>
              </w:tabs>
              <w:spacing w:line="260" w:lineRule="exact"/>
              <w:jc w:val="center"/>
              <w:rPr>
                <w:rFonts w:hint="eastAsia" w:ascii="宋体" w:eastAsia="宋体"/>
                <w:lang w:val="en-US" w:eastAsia="zh-CN"/>
              </w:rPr>
            </w:pPr>
            <w:r>
              <w:rPr>
                <w:rFonts w:hint="eastAsia" w:ascii="宋体"/>
                <w:lang w:val="en-US" w:eastAsia="zh-CN"/>
              </w:rPr>
              <w:t>2</w:t>
            </w:r>
          </w:p>
        </w:tc>
        <w:tc>
          <w:tcPr>
            <w:tcW w:w="2976" w:type="dxa"/>
            <w:tcMar>
              <w:top w:w="10" w:type="dxa"/>
              <w:left w:w="10" w:type="dxa"/>
              <w:bottom w:w="0" w:type="dxa"/>
              <w:right w:w="10" w:type="dxa"/>
            </w:tcMar>
            <w:vAlign w:val="center"/>
          </w:tcPr>
          <w:p>
            <w:pPr>
              <w:tabs>
                <w:tab w:val="left" w:pos="761"/>
                <w:tab w:val="left" w:pos="2604"/>
              </w:tabs>
              <w:spacing w:line="260" w:lineRule="exact"/>
              <w:rPr>
                <w:rFonts w:ascii="宋体"/>
              </w:rPr>
            </w:pPr>
            <w:r>
              <w:rPr>
                <w:rFonts w:hint="eastAsia" w:ascii="宋体" w:hAnsi="宋体" w:cs="宋体"/>
              </w:rPr>
              <w:t>部门的资产是否保存完整、使用合规、配置合理、处置规范、收入及时足额上缴，用以反映和考核部门资产安全运行情况。</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①资产保存完整计</w:t>
            </w:r>
            <w:r>
              <w:rPr>
                <w:rFonts w:ascii="宋体" w:hAnsi="宋体" w:cs="宋体"/>
              </w:rPr>
              <w:t>0.4</w:t>
            </w:r>
            <w:r>
              <w:rPr>
                <w:rFonts w:hint="eastAsia" w:ascii="宋体" w:hAnsi="宋体" w:cs="宋体"/>
              </w:rPr>
              <w:t>分；②资产配置合理计</w:t>
            </w:r>
            <w:r>
              <w:rPr>
                <w:rFonts w:ascii="宋体" w:hAnsi="宋体" w:cs="宋体"/>
              </w:rPr>
              <w:t>0.4</w:t>
            </w:r>
            <w:r>
              <w:rPr>
                <w:rFonts w:hint="eastAsia" w:ascii="宋体" w:hAnsi="宋体" w:cs="宋体"/>
              </w:rPr>
              <w:t>分；③资产处置规范计</w:t>
            </w:r>
            <w:r>
              <w:rPr>
                <w:rFonts w:ascii="宋体" w:hAnsi="宋体" w:cs="宋体"/>
              </w:rPr>
              <w:t>0.4</w:t>
            </w:r>
            <w:r>
              <w:rPr>
                <w:rFonts w:hint="eastAsia" w:ascii="宋体" w:hAnsi="宋体" w:cs="宋体"/>
              </w:rPr>
              <w:t>分；④资产账务管理合规、帐实相符计</w:t>
            </w:r>
            <w:r>
              <w:rPr>
                <w:rFonts w:ascii="宋体" w:hAnsi="宋体" w:cs="宋体"/>
              </w:rPr>
              <w:t>0.4</w:t>
            </w:r>
            <w:r>
              <w:rPr>
                <w:rFonts w:hint="eastAsia" w:ascii="宋体" w:hAnsi="宋体" w:cs="宋体"/>
              </w:rPr>
              <w:t>分；⑤资产有偿使用及处置收入及时足额上缴计</w:t>
            </w:r>
            <w:r>
              <w:rPr>
                <w:rFonts w:ascii="宋体" w:hAnsi="宋体" w:cs="宋体"/>
              </w:rPr>
              <w:t>0.4</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固定资产</w:t>
            </w:r>
          </w:p>
          <w:p>
            <w:pPr>
              <w:spacing w:line="260" w:lineRule="exact"/>
              <w:jc w:val="center"/>
              <w:rPr>
                <w:rFonts w:ascii="宋体"/>
              </w:rPr>
            </w:pPr>
            <w:r>
              <w:rPr>
                <w:rFonts w:hint="eastAsia" w:ascii="宋体" w:hAnsi="宋体" w:cs="宋体"/>
              </w:rPr>
              <w:t>利用率（</w:t>
            </w:r>
            <w:r>
              <w:rPr>
                <w:rFonts w:ascii="宋体" w:hAnsi="宋体" w:cs="宋体"/>
              </w:rPr>
              <w:t>1</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1</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部门实际在用固定资产总额与所有固定资产总额的比率，用以反映和考核部门固定资产使用效率程度。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。利用率为</w:t>
            </w:r>
            <w:r>
              <w:rPr>
                <w:rFonts w:ascii="宋体" w:hAnsi="宋体" w:cs="宋体"/>
              </w:rPr>
              <w:t>100%</w:t>
            </w:r>
            <w:r>
              <w:rPr>
                <w:rFonts w:hint="eastAsia" w:ascii="宋体" w:hAnsi="宋体" w:cs="宋体"/>
              </w:rPr>
              <w:t>的计</w:t>
            </w:r>
            <w:r>
              <w:rPr>
                <w:rFonts w:ascii="宋体" w:hAnsi="宋体" w:cs="宋体"/>
              </w:rPr>
              <w:t>1</w:t>
            </w:r>
            <w:r>
              <w:rPr>
                <w:rFonts w:hint="eastAsia" w:ascii="宋体" w:hAnsi="宋体" w:cs="宋体"/>
              </w:rPr>
              <w:t>分，每降</w:t>
            </w:r>
            <w:r>
              <w:rPr>
                <w:rFonts w:ascii="宋体" w:hAnsi="宋体" w:cs="宋体"/>
              </w:rPr>
              <w:t>1</w:t>
            </w:r>
            <w:r>
              <w:rPr>
                <w:rFonts w:hint="eastAsia" w:ascii="宋体" w:hAnsi="宋体" w:cs="宋体"/>
              </w:rPr>
              <w:t>个百分点扣</w:t>
            </w:r>
            <w:r>
              <w:rPr>
                <w:rFonts w:ascii="宋体" w:hAnsi="宋体" w:cs="宋体"/>
              </w:rPr>
              <w:t>0.1</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职责</w:t>
            </w:r>
            <w:r>
              <w:rPr>
                <w:rFonts w:ascii="宋体"/>
              </w:rPr>
              <w:br w:type="textWrapping"/>
            </w:r>
            <w:r>
              <w:rPr>
                <w:rFonts w:hint="eastAsia" w:ascii="宋体" w:hAnsi="宋体" w:cs="宋体"/>
              </w:rPr>
              <w:t>履行</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实际完成率（</w:t>
            </w:r>
            <w:r>
              <w:rPr>
                <w:rFonts w:ascii="宋体" w:hAnsi="宋体" w:cs="宋体"/>
              </w:rPr>
              <w:t>8</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8</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部门履行职责而实际完成工作数与计划工作数的比率，用以反映和考核部门履职工作任务目标的实现程度。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实际完成率得分</w:t>
            </w:r>
            <w:r>
              <w:rPr>
                <w:rFonts w:ascii="宋体" w:hAnsi="宋体" w:cs="宋体"/>
              </w:rPr>
              <w:t>=</w:t>
            </w:r>
            <w:r>
              <w:rPr>
                <w:rFonts w:hint="eastAsia" w:ascii="宋体" w:hAnsi="宋体" w:cs="宋体"/>
              </w:rPr>
              <w:t>完成市委市政府绩效考核得分或上级主管部门考核指标得分</w:t>
            </w:r>
            <w:r>
              <w:rPr>
                <w:rFonts w:ascii="宋体" w:hAnsi="宋体" w:cs="宋体"/>
              </w:rPr>
              <w:t>/</w:t>
            </w:r>
            <w:r>
              <w:rPr>
                <w:rFonts w:hint="eastAsia" w:ascii="宋体" w:hAnsi="宋体" w:cs="宋体"/>
              </w:rPr>
              <w:t>指标分值</w:t>
            </w:r>
            <w:r>
              <w:rPr>
                <w:rFonts w:ascii="宋体" w:hAnsi="宋体" w:cs="宋体"/>
              </w:rPr>
              <w:t>*8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完成及时率（</w:t>
            </w:r>
            <w:r>
              <w:rPr>
                <w:rFonts w:ascii="宋体" w:hAnsi="宋体" w:cs="宋体"/>
              </w:rPr>
              <w:t>4</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4</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部门在规定时限内及时完成的实际工作数与计划工作数的比率</w:t>
            </w:r>
            <w:r>
              <w:rPr>
                <w:rFonts w:ascii="宋体" w:cs="宋体"/>
              </w:rPr>
              <w:t>,</w:t>
            </w:r>
            <w:r>
              <w:rPr>
                <w:rFonts w:hint="eastAsia" w:ascii="宋体" w:hAnsi="宋体" w:cs="宋体"/>
              </w:rPr>
              <w:t>用以反映和考核部门履职时效目标的实现程度。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hAnsi="宋体" w:cs="宋体"/>
              </w:rPr>
              <w:t>1-4</w:t>
            </w:r>
            <w:r>
              <w:rPr>
                <w:rFonts w:hint="eastAsia" w:ascii="宋体" w:hAnsi="宋体" w:cs="宋体"/>
              </w:rPr>
              <w:t>季度各得</w:t>
            </w:r>
            <w:r>
              <w:rPr>
                <w:rFonts w:ascii="宋体" w:hAnsi="宋体" w:cs="宋体"/>
              </w:rPr>
              <w:t>1</w:t>
            </w:r>
            <w:r>
              <w:rPr>
                <w:rFonts w:hint="eastAsia" w:ascii="宋体" w:hAnsi="宋体" w:cs="宋体"/>
              </w:rPr>
              <w:t>分</w:t>
            </w:r>
            <w:r>
              <w:rPr>
                <w:rFonts w:ascii="宋体"/>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质量达标率（</w:t>
            </w:r>
            <w:r>
              <w:rPr>
                <w:rFonts w:ascii="宋体" w:hAnsi="宋体" w:cs="宋体"/>
              </w:rPr>
              <w:t>8</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8</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达到质量标准（绩效标准值）的实际工作数与计划工作数的比率</w:t>
            </w:r>
            <w:r>
              <w:rPr>
                <w:rFonts w:ascii="宋体" w:cs="宋体"/>
              </w:rPr>
              <w:t>,</w:t>
            </w:r>
            <w:r>
              <w:rPr>
                <w:rFonts w:hint="eastAsia" w:ascii="宋体" w:hAnsi="宋体" w:cs="宋体"/>
              </w:rPr>
              <w:t>用以反映和考核部门履职质量目标的实现程度。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达标率</w:t>
            </w:r>
            <w:r>
              <w:rPr>
                <w:rFonts w:ascii="宋体" w:hAnsi="宋体" w:cs="宋体"/>
              </w:rPr>
              <w:t>*8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重点工作</w:t>
            </w:r>
          </w:p>
          <w:p>
            <w:pPr>
              <w:spacing w:line="260" w:lineRule="exact"/>
              <w:jc w:val="center"/>
              <w:rPr>
                <w:rFonts w:ascii="宋体"/>
              </w:rPr>
            </w:pPr>
            <w:r>
              <w:rPr>
                <w:rFonts w:hint="eastAsia" w:ascii="宋体" w:hAnsi="宋体" w:cs="宋体"/>
              </w:rPr>
              <w:t>办结率（</w:t>
            </w:r>
            <w:r>
              <w:rPr>
                <w:rFonts w:ascii="宋体" w:hAnsi="宋体" w:cs="宋体"/>
              </w:rPr>
              <w:t>10</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default" w:ascii="宋体" w:eastAsia="宋体"/>
                <w:lang w:val="en-US" w:eastAsia="zh-CN"/>
              </w:rPr>
            </w:pPr>
            <w:r>
              <w:rPr>
                <w:rFonts w:hint="eastAsia" w:ascii="宋体"/>
                <w:lang w:val="en-US" w:eastAsia="zh-CN"/>
              </w:rPr>
              <w:t>10</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部门年度重点工作实际完成数与交办或下达数的比率，用以反映部门对重点工作的办理落实程度。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。实际得分</w:t>
            </w:r>
            <w:r>
              <w:rPr>
                <w:rFonts w:ascii="宋体" w:hAnsi="宋体" w:cs="宋体"/>
              </w:rPr>
              <w:t>=</w:t>
            </w:r>
            <w:r>
              <w:rPr>
                <w:rFonts w:hint="eastAsia" w:ascii="宋体" w:hAnsi="宋体" w:cs="宋体"/>
              </w:rPr>
              <w:t>办结率</w:t>
            </w:r>
            <w:r>
              <w:rPr>
                <w:rFonts w:ascii="宋体" w:hAnsi="宋体" w:cs="宋体"/>
              </w:rPr>
              <w:t>*10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restart"/>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570" w:type="dxa"/>
            <w:vMerge w:val="restart"/>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履职</w:t>
            </w:r>
            <w:r>
              <w:rPr>
                <w:rFonts w:ascii="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5</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部门履行职责对经济发展所带来的直接或间接影响。</w:t>
            </w:r>
          </w:p>
        </w:tc>
        <w:tc>
          <w:tcPr>
            <w:tcW w:w="4122" w:type="dxa"/>
            <w:vMerge w:val="restart"/>
            <w:tcMar>
              <w:top w:w="10" w:type="dxa"/>
              <w:left w:w="10" w:type="dxa"/>
              <w:bottom w:w="0" w:type="dxa"/>
              <w:right w:w="10" w:type="dxa"/>
            </w:tcMar>
            <w:vAlign w:val="center"/>
          </w:tcPr>
          <w:p>
            <w:pPr>
              <w:spacing w:line="260" w:lineRule="exact"/>
              <w:rPr>
                <w:rFonts w:ascii="宋体"/>
              </w:rPr>
            </w:pPr>
            <w:r>
              <w:rPr>
                <w:rFonts w:hint="eastAsia" w:ascii="宋体" w:hAnsi="宋体" w:cs="宋体"/>
                <w:kern w:val="0"/>
              </w:rPr>
              <w:t>按经济效益实现程度计算得分（</w:t>
            </w:r>
            <w:r>
              <w:rPr>
                <w:rFonts w:ascii="宋体" w:hAnsi="宋体" w:cs="宋体"/>
                <w:kern w:val="0"/>
              </w:rPr>
              <w:t>5</w:t>
            </w:r>
            <w:r>
              <w:rPr>
                <w:rFonts w:hint="eastAsia" w:ascii="宋体" w:hAnsi="宋体" w:cs="宋体"/>
                <w:kern w:val="0"/>
              </w:rPr>
              <w:t>分）；按社会效益实现程度计算得分（</w:t>
            </w:r>
            <w:r>
              <w:rPr>
                <w:rFonts w:ascii="宋体" w:hAnsi="宋体" w:cs="宋体"/>
                <w:kern w:val="0"/>
              </w:rPr>
              <w:t>5</w:t>
            </w:r>
            <w:r>
              <w:rPr>
                <w:rFonts w:hint="eastAsia" w:ascii="宋体" w:hAnsi="宋体" w:cs="宋体"/>
                <w:kern w:val="0"/>
              </w:rPr>
              <w:t>分）；按生态效益实现程度计算得分（</w:t>
            </w:r>
            <w:r>
              <w:rPr>
                <w:rFonts w:ascii="宋体" w:hAnsi="宋体" w:cs="宋体"/>
                <w:kern w:val="0"/>
              </w:rPr>
              <w:t>5</w:t>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446" w:type="dxa"/>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5</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部门履行职责对社会发展所带来的直接或间接影响。</w:t>
            </w:r>
          </w:p>
        </w:tc>
        <w:tc>
          <w:tcPr>
            <w:tcW w:w="4122" w:type="dxa"/>
            <w:vMerge w:val="continue"/>
            <w:vAlign w:val="center"/>
          </w:tcPr>
          <w:p>
            <w:pPr>
              <w:spacing w:line="2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446" w:type="dxa"/>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5</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部门履行职责对生态环境所带来的直接或间接影响。</w:t>
            </w:r>
          </w:p>
        </w:tc>
        <w:tc>
          <w:tcPr>
            <w:tcW w:w="4122" w:type="dxa"/>
            <w:vMerge w:val="continue"/>
            <w:vAlign w:val="center"/>
          </w:tcPr>
          <w:p>
            <w:pPr>
              <w:spacing w:line="2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47" w:type="dxa"/>
            <w:vMerge w:val="continue"/>
            <w:vAlign w:val="center"/>
          </w:tcPr>
          <w:p>
            <w:pPr>
              <w:spacing w:line="240" w:lineRule="exact"/>
              <w:jc w:val="center"/>
              <w:rPr>
                <w:rFonts w:ascii="宋体"/>
              </w:rPr>
            </w:pPr>
          </w:p>
        </w:tc>
        <w:tc>
          <w:tcPr>
            <w:tcW w:w="570" w:type="dxa"/>
            <w:vMerge w:val="continue"/>
            <w:vAlign w:val="center"/>
          </w:tcPr>
          <w:p>
            <w:pPr>
              <w:spacing w:line="260" w:lineRule="exact"/>
              <w:jc w:val="center"/>
              <w:rPr>
                <w:rFonts w:ascii="宋体"/>
              </w:rPr>
            </w:pPr>
          </w:p>
        </w:tc>
        <w:tc>
          <w:tcPr>
            <w:tcW w:w="703" w:type="dxa"/>
            <w:tcMar>
              <w:top w:w="10" w:type="dxa"/>
              <w:left w:w="10" w:type="dxa"/>
              <w:bottom w:w="0" w:type="dxa"/>
              <w:right w:w="10" w:type="dxa"/>
            </w:tcMar>
            <w:vAlign w:val="center"/>
          </w:tcPr>
          <w:p>
            <w:pPr>
              <w:spacing w:line="260" w:lineRule="exact"/>
              <w:jc w:val="center"/>
              <w:rPr>
                <w:rFonts w:ascii="宋体"/>
              </w:rPr>
            </w:pPr>
            <w:r>
              <w:rPr>
                <w:rFonts w:hint="eastAsia" w:ascii="宋体" w:hAnsi="宋体" w:cs="宋体"/>
              </w:rPr>
              <w:t>社会公众</w:t>
            </w:r>
          </w:p>
          <w:p>
            <w:pPr>
              <w:spacing w:line="260" w:lineRule="exact"/>
              <w:jc w:val="center"/>
              <w:rPr>
                <w:rFonts w:ascii="宋体"/>
              </w:rPr>
            </w:pPr>
            <w:r>
              <w:rPr>
                <w:rFonts w:hint="eastAsia" w:ascii="宋体" w:hAnsi="宋体" w:cs="宋体"/>
              </w:rPr>
              <w:t>或服务对</w:t>
            </w:r>
          </w:p>
          <w:p>
            <w:pPr>
              <w:spacing w:line="260" w:lineRule="exact"/>
              <w:jc w:val="center"/>
              <w:rPr>
                <w:rFonts w:ascii="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446" w:type="dxa"/>
            <w:tcMar>
              <w:top w:w="10" w:type="dxa"/>
              <w:left w:w="10" w:type="dxa"/>
              <w:bottom w:w="0" w:type="dxa"/>
              <w:right w:w="10" w:type="dxa"/>
            </w:tcMar>
            <w:vAlign w:val="center"/>
          </w:tcPr>
          <w:p>
            <w:pPr>
              <w:tabs>
                <w:tab w:val="left" w:pos="2604"/>
              </w:tabs>
              <w:spacing w:line="260" w:lineRule="exact"/>
              <w:jc w:val="center"/>
              <w:rPr>
                <w:rFonts w:hint="eastAsia" w:ascii="宋体" w:eastAsia="宋体"/>
                <w:lang w:val="en-US" w:eastAsia="zh-CN"/>
              </w:rPr>
            </w:pPr>
            <w:r>
              <w:rPr>
                <w:rFonts w:hint="eastAsia" w:ascii="宋体"/>
                <w:lang w:val="en-US" w:eastAsia="zh-CN"/>
              </w:rPr>
              <w:t>4</w:t>
            </w:r>
          </w:p>
        </w:tc>
        <w:tc>
          <w:tcPr>
            <w:tcW w:w="2976" w:type="dxa"/>
            <w:tcMar>
              <w:top w:w="10" w:type="dxa"/>
              <w:left w:w="10" w:type="dxa"/>
              <w:bottom w:w="0" w:type="dxa"/>
              <w:right w:w="10" w:type="dxa"/>
            </w:tcMar>
            <w:vAlign w:val="center"/>
          </w:tcPr>
          <w:p>
            <w:pPr>
              <w:tabs>
                <w:tab w:val="left" w:pos="2604"/>
              </w:tabs>
              <w:spacing w:line="260" w:lineRule="exact"/>
              <w:rPr>
                <w:rFonts w:ascii="宋体"/>
              </w:rPr>
            </w:pPr>
            <w:r>
              <w:rPr>
                <w:rFonts w:hint="eastAsia" w:ascii="宋体" w:hAnsi="宋体" w:cs="宋体"/>
              </w:rPr>
              <w:t>社会公众或部门的服务对象对部门履职效果的满意程度。</w:t>
            </w:r>
          </w:p>
        </w:tc>
        <w:tc>
          <w:tcPr>
            <w:tcW w:w="4122" w:type="dxa"/>
            <w:tcMar>
              <w:top w:w="10" w:type="dxa"/>
              <w:left w:w="10" w:type="dxa"/>
              <w:bottom w:w="0" w:type="dxa"/>
              <w:right w:w="10" w:type="dxa"/>
            </w:tcMar>
            <w:vAlign w:val="center"/>
          </w:tcPr>
          <w:p>
            <w:pPr>
              <w:spacing w:line="260" w:lineRule="exact"/>
              <w:rPr>
                <w:rFonts w:ascii="宋体"/>
              </w:rPr>
            </w:pPr>
            <w:r>
              <w:rPr>
                <w:rFonts w:hint="eastAsia" w:ascii="宋体" w:hAnsi="宋体" w:cs="宋体"/>
                <w:kern w:val="0"/>
              </w:rPr>
              <w:t>按收集到的服务对象的满意率计算得分（</w:t>
            </w:r>
            <w:r>
              <w:rPr>
                <w:rFonts w:ascii="宋体" w:hAnsi="宋体" w:cs="宋体"/>
                <w:kern w:val="0"/>
              </w:rPr>
              <w:t>5</w:t>
            </w:r>
            <w:r>
              <w:rPr>
                <w:rFonts w:hint="eastAsia" w:ascii="宋体" w:hAnsi="宋体" w:cs="宋体"/>
                <w:kern w:val="0"/>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4F54"/>
    <w:rsid w:val="5B47645E"/>
    <w:rsid w:val="6FAF4F54"/>
    <w:rsid w:val="7EA5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2020-07-06T02:23:00Z</dcterms:created>
  <dc:creator>Administrator</dc:creator>
  <cp:lastModifiedBy>Administrator</cp:lastModifiedBy>
  <dcterms:modified xsi:type="dcterms:W3CDTF">2021-06-01T00:36:48Z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