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80" w:firstLineChars="200"/>
        <w:rPr>
          <w:rFonts w:ascii="黑体" w:eastAsia="黑体"/>
          <w:sz w:val="32"/>
          <w:szCs w:val="32"/>
        </w:rPr>
      </w:pPr>
      <w:r>
        <w:rPr>
          <w:rFonts w:ascii="微软雅黑" w:hAnsi="微软雅黑" w:eastAsia="微软雅黑" w:cs="微软雅黑"/>
          <w:b w:val="0"/>
          <w:bCs w:val="0"/>
          <w:i w:val="0"/>
          <w:iCs w:val="0"/>
          <w:caps w:val="0"/>
          <w:color w:val="333333"/>
          <w:spacing w:val="0"/>
          <w:sz w:val="24"/>
          <w:szCs w:val="24"/>
          <w:shd w:val="clear" w:fill="FFFFFF"/>
        </w:rPr>
        <w:t>赫山区</w:t>
      </w:r>
      <w:r>
        <w:rPr>
          <w:rFonts w:hint="eastAsia" w:ascii="微软雅黑" w:hAnsi="微软雅黑" w:eastAsia="微软雅黑" w:cs="微软雅黑"/>
          <w:b w:val="0"/>
          <w:bCs w:val="0"/>
          <w:i w:val="0"/>
          <w:iCs w:val="0"/>
          <w:caps w:val="0"/>
          <w:color w:val="333333"/>
          <w:spacing w:val="0"/>
          <w:sz w:val="24"/>
          <w:szCs w:val="24"/>
          <w:shd w:val="clear" w:fill="FFFFFF"/>
          <w:lang w:eastAsia="zh-CN"/>
        </w:rPr>
        <w:t>退役军人事务局</w:t>
      </w:r>
      <w:r>
        <w:rPr>
          <w:rFonts w:ascii="微软雅黑" w:hAnsi="微软雅黑" w:eastAsia="微软雅黑" w:cs="微软雅黑"/>
          <w:b w:val="0"/>
          <w:bCs w:val="0"/>
          <w:i w:val="0"/>
          <w:iCs w:val="0"/>
          <w:caps w:val="0"/>
          <w:color w:val="333333"/>
          <w:spacing w:val="0"/>
          <w:sz w:val="24"/>
          <w:szCs w:val="24"/>
          <w:shd w:val="clear" w:fill="FFFFFF"/>
        </w:rPr>
        <w:t>2020年部门整体支出绩效自评指标计分表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default"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Pr>
          <w:p>
            <w:pPr>
              <w:tabs>
                <w:tab w:val="left" w:pos="761"/>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210" w:leftChars="100" w:right="105" w:rightChars="50" w:firstLine="96" w:firstLineChars="46"/>
              <w:jc w:val="distribute"/>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tcPr>
          <w:p>
            <w:pPr>
              <w:tabs>
                <w:tab w:val="left" w:pos="2604"/>
              </w:tabs>
              <w:spacing w:line="240" w:lineRule="exact"/>
              <w:ind w:left="210" w:leftChars="100" w:right="105" w:rightChars="50" w:firstLine="96" w:firstLineChars="46"/>
              <w:jc w:val="distribute"/>
              <w:rPr>
                <w:rFonts w:hint="default" w:ascii="宋体" w:eastAsia="宋体" w:cs="宋体"/>
                <w:lang w:val="en-US" w:eastAsia="zh-CN"/>
              </w:rPr>
            </w:pPr>
            <w:r>
              <w:rPr>
                <w:rFonts w:hint="eastAsia" w:ascii="宋体" w:cs="宋体"/>
                <w:lang w:val="en-US" w:eastAsia="zh-CN"/>
              </w:rPr>
              <w:t>95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Pr>
        <w:spacing w:line="600" w:lineRule="exact"/>
        <w:rPr>
          <w:rFonts w:eastAsia="黑体"/>
          <w:sz w:val="32"/>
          <w:szCs w:val="32"/>
        </w:rPr>
      </w:pPr>
      <w:r>
        <w:br w:type="page"/>
      </w:r>
    </w:p>
    <w:p>
      <w:pPr>
        <w:spacing w:afterLines="50" w:line="400" w:lineRule="exact"/>
        <w:jc w:val="center"/>
        <w:rPr>
          <w:rFonts w:hint="eastAsia" w:ascii="方正小标宋简体" w:eastAsia="方正小标宋简体" w:cs="方正小标宋_GBK"/>
          <w:sz w:val="36"/>
          <w:szCs w:val="36"/>
        </w:rPr>
      </w:pPr>
      <w:r>
        <w:rPr>
          <w:rFonts w:ascii="微软雅黑" w:hAnsi="微软雅黑" w:eastAsia="微软雅黑" w:cs="微软雅黑"/>
          <w:b w:val="0"/>
          <w:bCs w:val="0"/>
          <w:i w:val="0"/>
          <w:iCs w:val="0"/>
          <w:caps w:val="0"/>
          <w:color w:val="333333"/>
          <w:spacing w:val="0"/>
          <w:sz w:val="24"/>
          <w:szCs w:val="24"/>
          <w:shd w:val="clear" w:fill="FFFFFF"/>
        </w:rPr>
        <w:t>赫山区</w:t>
      </w:r>
      <w:r>
        <w:rPr>
          <w:rFonts w:hint="eastAsia" w:ascii="微软雅黑" w:hAnsi="微软雅黑" w:eastAsia="微软雅黑" w:cs="微软雅黑"/>
          <w:b w:val="0"/>
          <w:bCs w:val="0"/>
          <w:i w:val="0"/>
          <w:iCs w:val="0"/>
          <w:caps w:val="0"/>
          <w:color w:val="333333"/>
          <w:spacing w:val="0"/>
          <w:sz w:val="24"/>
          <w:szCs w:val="24"/>
          <w:shd w:val="clear" w:fill="FFFFFF"/>
          <w:lang w:eastAsia="zh-CN"/>
        </w:rPr>
        <w:t>退役军人事务局</w:t>
      </w:r>
      <w:r>
        <w:rPr>
          <w:rFonts w:ascii="微软雅黑" w:hAnsi="微软雅黑" w:eastAsia="微软雅黑" w:cs="微软雅黑"/>
          <w:b w:val="0"/>
          <w:bCs w:val="0"/>
          <w:i w:val="0"/>
          <w:iCs w:val="0"/>
          <w:caps w:val="0"/>
          <w:color w:val="333333"/>
          <w:spacing w:val="0"/>
          <w:sz w:val="24"/>
          <w:szCs w:val="24"/>
          <w:shd w:val="clear" w:fill="FFFFFF"/>
        </w:rPr>
        <w:t>2020年</w:t>
      </w:r>
      <w:r>
        <w:rPr>
          <w:rFonts w:hint="eastAsia" w:ascii="微软雅黑" w:hAnsi="微软雅黑" w:eastAsia="微软雅黑" w:cs="微软雅黑"/>
          <w:b w:val="0"/>
          <w:bCs w:val="0"/>
          <w:i w:val="0"/>
          <w:iCs w:val="0"/>
          <w:caps w:val="0"/>
          <w:color w:val="333333"/>
          <w:spacing w:val="0"/>
          <w:sz w:val="24"/>
          <w:szCs w:val="24"/>
          <w:shd w:val="clear" w:fill="FFFFFF"/>
          <w:lang w:eastAsia="zh-CN"/>
        </w:rPr>
        <w:t>项目</w:t>
      </w:r>
      <w:r>
        <w:rPr>
          <w:rFonts w:ascii="微软雅黑" w:hAnsi="微软雅黑" w:eastAsia="微软雅黑" w:cs="微软雅黑"/>
          <w:b w:val="0"/>
          <w:bCs w:val="0"/>
          <w:i w:val="0"/>
          <w:iCs w:val="0"/>
          <w:caps w:val="0"/>
          <w:color w:val="333333"/>
          <w:spacing w:val="0"/>
          <w:sz w:val="24"/>
          <w:szCs w:val="24"/>
          <w:shd w:val="clear" w:fill="FFFFFF"/>
        </w:rPr>
        <w:t>支出绩效自评指标计分表</w:t>
      </w:r>
    </w:p>
    <w:tbl>
      <w:tblPr>
        <w:tblStyle w:val="3"/>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3"/>
        <w:gridCol w:w="440"/>
        <w:gridCol w:w="771"/>
        <w:gridCol w:w="495"/>
        <w:gridCol w:w="2453"/>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14" w:type="pct"/>
            <w:tcMar>
              <w:top w:w="10" w:type="dxa"/>
              <w:left w:w="10" w:type="dxa"/>
              <w:bottom w:w="0" w:type="dxa"/>
              <w:right w:w="10" w:type="dxa"/>
            </w:tcMar>
            <w:vAlign w:val="center"/>
          </w:tcPr>
          <w:p>
            <w:pPr>
              <w:spacing w:line="240" w:lineRule="exact"/>
              <w:jc w:val="center"/>
              <w:rPr>
                <w:rFonts w:ascii="宋体"/>
                <w:b/>
                <w:bCs/>
              </w:rPr>
            </w:pPr>
            <w:bookmarkStart w:id="0" w:name="_GoBack"/>
            <w:bookmarkEnd w:id="0"/>
            <w:r>
              <w:rPr>
                <w:rFonts w:hint="eastAsia" w:ascii="宋体" w:hAnsi="宋体" w:cs="宋体"/>
                <w:b/>
                <w:bCs/>
              </w:rPr>
              <w:t>一级</w:t>
            </w:r>
            <w:r>
              <w:rPr>
                <w:rFonts w:ascii="宋体"/>
                <w:b/>
                <w:bCs/>
              </w:rPr>
              <w:br w:type="textWrapping"/>
            </w:r>
            <w:r>
              <w:rPr>
                <w:rFonts w:hint="eastAsia" w:ascii="宋体" w:hAnsi="宋体" w:cs="宋体"/>
                <w:b/>
                <w:bCs/>
              </w:rPr>
              <w:t>指标</w:t>
            </w:r>
          </w:p>
        </w:tc>
        <w:tc>
          <w:tcPr>
            <w:tcW w:w="254"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二级</w:t>
            </w:r>
            <w:r>
              <w:rPr>
                <w:rFonts w:ascii="宋体"/>
                <w:b/>
                <w:bCs/>
              </w:rPr>
              <w:br w:type="textWrapping"/>
            </w:r>
            <w:r>
              <w:rPr>
                <w:rFonts w:hint="eastAsia" w:ascii="宋体" w:hAnsi="宋体" w:cs="宋体"/>
                <w:b/>
                <w:bCs/>
              </w:rPr>
              <w:t>指标</w:t>
            </w:r>
          </w:p>
        </w:tc>
        <w:tc>
          <w:tcPr>
            <w:tcW w:w="447"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287" w:type="pct"/>
          </w:tcPr>
          <w:p>
            <w:pPr>
              <w:spacing w:line="240" w:lineRule="exact"/>
              <w:jc w:val="center"/>
              <w:rPr>
                <w:rFonts w:ascii="宋体"/>
                <w:b/>
                <w:bCs/>
              </w:rPr>
            </w:pPr>
            <w:r>
              <w:rPr>
                <w:rFonts w:hint="eastAsia" w:ascii="宋体" w:hAnsi="宋体" w:cs="宋体"/>
                <w:b/>
                <w:bCs/>
              </w:rPr>
              <w:t>自评分</w:t>
            </w:r>
          </w:p>
        </w:tc>
        <w:tc>
          <w:tcPr>
            <w:tcW w:w="1420"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2275" w:type="pct"/>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w:t>
            </w:r>
            <w:r>
              <w:rPr>
                <w:rFonts w:ascii="宋体" w:hAnsi="宋体" w:cs="宋体"/>
              </w:rPr>
              <w:t xml:space="preserve">  </w:t>
            </w:r>
            <w:r>
              <w:rPr>
                <w:rFonts w:hint="eastAsia" w:ascii="宋体" w:hAnsi="宋体" w:cs="宋体"/>
              </w:rPr>
              <w:t>策（</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w:t>
            </w:r>
            <w:r>
              <w:rPr>
                <w:rFonts w:ascii="宋体" w:hAnsi="宋体" w:cs="宋体"/>
              </w:rPr>
              <w:t>8</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①决策（立项）是否符合国家相关法律法规、国民经济发展规划和相关政策；</w:t>
            </w:r>
            <w:r>
              <w:rPr>
                <w:rFonts w:ascii="宋体"/>
              </w:rPr>
              <w:br w:type="textWrapping"/>
            </w:r>
            <w:r>
              <w:rPr>
                <w:rFonts w:hint="eastAsia" w:ascii="宋体" w:hAnsi="宋体" w:cs="宋体"/>
              </w:rPr>
              <w:t>②决策（立项）是否符合行业发展规划和政策要求；</w:t>
            </w:r>
            <w:r>
              <w:rPr>
                <w:rFonts w:ascii="宋体"/>
              </w:rPr>
              <w:br w:type="textWrapping"/>
            </w:r>
            <w:r>
              <w:rPr>
                <w:rFonts w:hint="eastAsia" w:ascii="宋体" w:hAnsi="宋体" w:cs="宋体"/>
              </w:rPr>
              <w:t>③决策（立项）是否与部门职责范围相符，属于部门履职所需；</w:t>
            </w:r>
            <w:r>
              <w:rPr>
                <w:rFonts w:ascii="宋体"/>
              </w:rPr>
              <w:br w:type="textWrapping"/>
            </w: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continue"/>
            <w:tcMar>
              <w:top w:w="10" w:type="dxa"/>
              <w:left w:w="10" w:type="dxa"/>
              <w:bottom w:w="0" w:type="dxa"/>
              <w:right w:w="10" w:type="dxa"/>
            </w:tcMar>
            <w:vAlign w:val="center"/>
          </w:tcPr>
          <w:p>
            <w:pPr>
              <w:spacing w:line="240" w:lineRule="exact"/>
              <w:jc w:val="center"/>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2" w:hRule="atLeast"/>
          <w:jc w:val="center"/>
        </w:trPr>
        <w:tc>
          <w:tcPr>
            <w:tcW w:w="314" w:type="pct"/>
            <w:vMerge w:val="continue"/>
            <w:vAlign w:val="center"/>
          </w:tcPr>
          <w:p>
            <w:pPr>
              <w:spacing w:line="240" w:lineRule="exact"/>
              <w:rPr>
                <w:rFonts w:ascii="宋体"/>
              </w:rPr>
            </w:pPr>
          </w:p>
        </w:tc>
        <w:tc>
          <w:tcPr>
            <w:tcW w:w="254" w:type="pct"/>
            <w:vMerge w:val="restart"/>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w:t>
            </w:r>
            <w:r>
              <w:rPr>
                <w:rFonts w:ascii="宋体" w:hAnsi="宋体" w:cs="宋体"/>
              </w:rPr>
              <w:t>6</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jc w:val="center"/>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w:t>
            </w:r>
            <w:r>
              <w:rPr>
                <w:rFonts w:ascii="宋体" w:hAnsi="宋体" w:cs="宋体"/>
              </w:rPr>
              <w:t>3</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2</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①是否将预算支出绩效目标细化分解为具体的绩效指标；</w:t>
            </w:r>
            <w:r>
              <w:rPr>
                <w:rFonts w:ascii="宋体"/>
              </w:rPr>
              <w:br w:type="textWrapping"/>
            </w:r>
            <w:r>
              <w:rPr>
                <w:rFonts w:hint="eastAsia" w:ascii="宋体" w:hAnsi="宋体" w:cs="宋体"/>
              </w:rPr>
              <w:t>②是否通过清晰、可衡量的指标值予以体现；</w:t>
            </w:r>
            <w:r>
              <w:rPr>
                <w:rFonts w:ascii="宋体"/>
              </w:rPr>
              <w:br w:type="textWrapping"/>
            </w: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314" w:type="pct"/>
            <w:vMerge w:val="continue"/>
            <w:vAlign w:val="center"/>
          </w:tcPr>
          <w:p>
            <w:pPr>
              <w:spacing w:line="240" w:lineRule="exact"/>
              <w:rPr>
                <w:rFonts w:ascii="宋体"/>
              </w:rPr>
            </w:pPr>
          </w:p>
        </w:tc>
        <w:tc>
          <w:tcPr>
            <w:tcW w:w="254" w:type="pct"/>
            <w:vMerge w:val="restart"/>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w:t>
            </w:r>
            <w:r>
              <w:rPr>
                <w:rFonts w:ascii="宋体" w:hAnsi="宋体" w:cs="宋体"/>
              </w:rPr>
              <w:t>6</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w:t>
            </w:r>
            <w:r>
              <w:rPr>
                <w:rFonts w:ascii="宋体" w:hAnsi="宋体" w:cs="宋体"/>
              </w:rPr>
              <w:t>3</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2275" w:type="pct"/>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jc w:val="center"/>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w:t>
            </w:r>
            <w:r>
              <w:rPr>
                <w:rFonts w:ascii="宋体" w:hAnsi="宋体" w:cs="宋体"/>
              </w:rPr>
              <w:t>3</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2</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3" w:hRule="atLeast"/>
          <w:jc w:val="center"/>
        </w:trPr>
        <w:tc>
          <w:tcPr>
            <w:tcW w:w="314" w:type="pct"/>
            <w:vMerge w:val="restart"/>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资金</w:t>
            </w:r>
            <w:r>
              <w:rPr>
                <w:rFonts w:ascii="宋体"/>
              </w:rPr>
              <w:br w:type="textWrapping"/>
            </w:r>
            <w:r>
              <w:rPr>
                <w:rFonts w:hint="eastAsia" w:ascii="宋体" w:hAnsi="宋体" w:cs="宋体"/>
              </w:rPr>
              <w:t>管理（</w:t>
            </w:r>
            <w:r>
              <w:rPr>
                <w:rFonts w:ascii="宋体" w:hAnsi="宋体" w:cs="宋体"/>
              </w:rPr>
              <w:t>12</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3</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资金到位率</w:t>
            </w:r>
            <w:r>
              <w:rPr>
                <w:rFonts w:ascii="宋体" w:hAnsi="宋体" w:cs="宋体"/>
              </w:rPr>
              <w:t>=</w:t>
            </w:r>
            <w:r>
              <w:rPr>
                <w:rFonts w:hint="eastAsia" w:ascii="宋体" w:hAnsi="宋体" w:cs="宋体"/>
              </w:rPr>
              <w:t>（实际到位资金</w:t>
            </w:r>
            <w:r>
              <w:rPr>
                <w:rFonts w:ascii="宋体" w:hAnsi="宋体" w:cs="宋体"/>
              </w:rPr>
              <w:t>/</w:t>
            </w:r>
            <w:r>
              <w:rPr>
                <w:rFonts w:hint="eastAsia" w:ascii="宋体" w:hAnsi="宋体" w:cs="宋体"/>
              </w:rPr>
              <w:t>预算资金）×</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实际到位资金：一定时期（本年度或预算支出期）内落实到具体预算支出的资金。</w:t>
            </w:r>
            <w:r>
              <w:rPr>
                <w:rFonts w:ascii="宋体"/>
              </w:rPr>
              <w:br w:type="textWrapping"/>
            </w: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314" w:type="pct"/>
            <w:vMerge w:val="continue"/>
            <w:vAlign w:val="center"/>
          </w:tcPr>
          <w:p>
            <w:pPr>
              <w:spacing w:line="240" w:lineRule="exact"/>
              <w:jc w:val="center"/>
              <w:rPr>
                <w:rFonts w:ascii="宋体"/>
              </w:rPr>
            </w:pPr>
          </w:p>
        </w:tc>
        <w:tc>
          <w:tcPr>
            <w:tcW w:w="254" w:type="pct"/>
            <w:vMerge w:val="continue"/>
            <w:tcMar>
              <w:top w:w="10" w:type="dxa"/>
              <w:left w:w="10" w:type="dxa"/>
              <w:bottom w:w="0" w:type="dxa"/>
              <w:right w:w="10" w:type="dxa"/>
            </w:tcMar>
            <w:vAlign w:val="center"/>
          </w:tcPr>
          <w:p>
            <w:pPr>
              <w:spacing w:line="240" w:lineRule="exact"/>
              <w:jc w:val="center"/>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w:t>
            </w:r>
            <w:r>
              <w:rPr>
                <w:rFonts w:ascii="宋体" w:hAnsi="宋体" w:cs="宋体"/>
              </w:rPr>
              <w:t>=</w:t>
            </w:r>
            <w:r>
              <w:rPr>
                <w:rFonts w:hint="eastAsia" w:ascii="宋体" w:hAnsi="宋体" w:cs="宋体"/>
              </w:rPr>
              <w:t>（实际支出资金</w:t>
            </w:r>
            <w:r>
              <w:rPr>
                <w:rFonts w:ascii="宋体" w:hAnsi="宋体" w:cs="宋体"/>
              </w:rPr>
              <w:t>/</w:t>
            </w:r>
            <w:r>
              <w:rPr>
                <w:rFonts w:hint="eastAsia" w:ascii="宋体" w:hAnsi="宋体" w:cs="宋体"/>
              </w:rPr>
              <w:t>实际到位资金）×</w:t>
            </w:r>
            <w:r>
              <w:rPr>
                <w:rFonts w:ascii="宋体" w:hAnsi="宋体" w:cs="宋体"/>
              </w:rPr>
              <w:t>100%</w:t>
            </w:r>
            <w:r>
              <w:rPr>
                <w:rFonts w:hint="eastAsia" w:ascii="宋体" w:hAnsi="宋体" w:cs="宋体"/>
              </w:rPr>
              <w:t>。</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jc w:val="center"/>
              <w:rPr>
                <w:rFonts w:ascii="宋体"/>
              </w:rPr>
            </w:pPr>
          </w:p>
        </w:tc>
        <w:tc>
          <w:tcPr>
            <w:tcW w:w="254" w:type="pct"/>
            <w:vMerge w:val="continue"/>
            <w:vAlign w:val="center"/>
          </w:tcPr>
          <w:p>
            <w:pPr>
              <w:spacing w:line="240" w:lineRule="exact"/>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w:t>
            </w:r>
            <w:r>
              <w:rPr>
                <w:rFonts w:ascii="宋体" w:hAnsi="宋体" w:cs="宋体"/>
              </w:rPr>
              <w:t>8</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①是否已制定或具有相应的业务管理制度；</w:t>
            </w:r>
            <w:r>
              <w:rPr>
                <w:rFonts w:ascii="宋体"/>
              </w:rPr>
              <w:br w:type="textWrapping"/>
            </w: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w:t>
            </w:r>
            <w:r>
              <w:rPr>
                <w:rFonts w:ascii="宋体" w:hAnsi="宋体" w:cs="宋体"/>
              </w:rPr>
              <w:t>4</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4</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r>
              <w:rPr>
                <w:rFonts w:ascii="宋体"/>
              </w:rPr>
              <w:br w:type="textWrapping"/>
            </w:r>
            <w:r>
              <w:rPr>
                <w:rFonts w:hint="eastAsia" w:ascii="宋体" w:hAnsi="宋体" w:cs="宋体"/>
              </w:rPr>
              <w:t>①是否遵守相关法律法规和相关管理规定；</w:t>
            </w:r>
            <w:r>
              <w:rPr>
                <w:rFonts w:ascii="宋体"/>
              </w:rPr>
              <w:br w:type="textWrapping"/>
            </w:r>
            <w:r>
              <w:rPr>
                <w:rFonts w:hint="eastAsia" w:ascii="宋体" w:hAnsi="宋体" w:cs="宋体"/>
              </w:rPr>
              <w:t>②预算支出调整及支出调整手续是否完备；</w:t>
            </w:r>
            <w:r>
              <w:rPr>
                <w:rFonts w:ascii="宋体"/>
              </w:rPr>
              <w:br w:type="textWrapping"/>
            </w:r>
            <w:r>
              <w:rPr>
                <w:rFonts w:hint="eastAsia" w:ascii="宋体" w:hAnsi="宋体" w:cs="宋体"/>
              </w:rPr>
              <w:t>③预算支出合同书、验收报告、技术鉴定等资料是否齐全并及时归档；</w:t>
            </w:r>
            <w:r>
              <w:rPr>
                <w:rFonts w:ascii="宋体"/>
              </w:rPr>
              <w:br w:type="textWrapping"/>
            </w: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w:t>
            </w:r>
            <w:r>
              <w:rPr>
                <w:rFonts w:ascii="宋体" w:hAnsi="宋体" w:cs="宋体"/>
              </w:rPr>
              <w:t>10</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w:t>
            </w:r>
            <w:r>
              <w:rPr>
                <w:rFonts w:ascii="宋体" w:hAnsi="宋体" w:cs="宋体"/>
              </w:rPr>
              <w:t>10</w:t>
            </w:r>
            <w:r>
              <w:rPr>
                <w:rFonts w:hint="eastAsia" w:ascii="宋体" w:hAnsi="宋体" w:cs="宋体"/>
              </w:rPr>
              <w:t>分）</w:t>
            </w: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实际完成率</w:t>
            </w:r>
            <w:r>
              <w:rPr>
                <w:rFonts w:ascii="宋体" w:hAnsi="宋体" w:cs="宋体"/>
              </w:rPr>
              <w:t>=</w:t>
            </w:r>
            <w:r>
              <w:rPr>
                <w:rFonts w:hint="eastAsia" w:ascii="宋体" w:hAnsi="宋体" w:cs="宋体"/>
              </w:rPr>
              <w:t>（实际产出数</w:t>
            </w:r>
            <w:r>
              <w:rPr>
                <w:rFonts w:ascii="宋体" w:hAnsi="宋体" w:cs="宋体"/>
              </w:rPr>
              <w:t>/</w:t>
            </w:r>
            <w:r>
              <w:rPr>
                <w:rFonts w:hint="eastAsia" w:ascii="宋体" w:hAnsi="宋体" w:cs="宋体"/>
              </w:rPr>
              <w:t>计划产出数）×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实际产出数：一定时期（本年度或预算支出期）内预算支出实际产出的产品或提供的服务数量。</w:t>
            </w:r>
            <w:r>
              <w:rPr>
                <w:rFonts w:ascii="宋体"/>
              </w:rPr>
              <w:br w:type="textWrapping"/>
            </w: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314" w:type="pct"/>
            <w:vMerge w:val="continue"/>
            <w:noWrap/>
            <w:tcMar>
              <w:top w:w="10" w:type="dxa"/>
              <w:left w:w="10" w:type="dxa"/>
              <w:bottom w:w="0" w:type="dxa"/>
              <w:right w:w="10" w:type="dxa"/>
            </w:tcMar>
            <w:textDirection w:val="tbRlV"/>
            <w:vAlign w:val="center"/>
          </w:tcPr>
          <w:p>
            <w:pPr>
              <w:spacing w:line="240" w:lineRule="exact"/>
              <w:jc w:val="center"/>
              <w:rPr>
                <w:rFonts w:ascii="宋体"/>
              </w:rPr>
            </w:pPr>
          </w:p>
        </w:tc>
        <w:tc>
          <w:tcPr>
            <w:tcW w:w="254" w:type="pc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w:t>
            </w:r>
            <w:r>
              <w:rPr>
                <w:rFonts w:ascii="宋体" w:hAnsi="宋体" w:cs="宋体"/>
              </w:rPr>
              <w:t>10</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w:t>
            </w:r>
            <w:r>
              <w:rPr>
                <w:rFonts w:ascii="宋体" w:hAnsi="宋体" w:cs="宋体"/>
              </w:rPr>
              <w:t>10</w:t>
            </w:r>
            <w:r>
              <w:rPr>
                <w:rFonts w:hint="eastAsia" w:ascii="宋体" w:hAnsi="宋体" w:cs="宋体"/>
              </w:rPr>
              <w:t>分）</w:t>
            </w: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（质量达标产出数</w:t>
            </w:r>
            <w:r>
              <w:rPr>
                <w:rFonts w:ascii="宋体" w:hAnsi="宋体" w:cs="宋体"/>
              </w:rPr>
              <w:t>/</w:t>
            </w:r>
            <w:r>
              <w:rPr>
                <w:rFonts w:hint="eastAsia" w:ascii="宋体" w:hAnsi="宋体" w:cs="宋体"/>
              </w:rPr>
              <w:t>实际产出数）×</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314" w:type="pct"/>
            <w:vMerge w:val="restart"/>
            <w:vAlign w:val="center"/>
          </w:tcPr>
          <w:p>
            <w:pPr>
              <w:spacing w:line="240" w:lineRule="exact"/>
              <w:ind w:left="113"/>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40</w:t>
            </w:r>
            <w:r>
              <w:rPr>
                <w:rFonts w:hint="eastAsia" w:ascii="宋体" w:hAnsi="宋体" w:cs="宋体"/>
              </w:rPr>
              <w:t>分）</w:t>
            </w:r>
          </w:p>
        </w:tc>
        <w:tc>
          <w:tcPr>
            <w:tcW w:w="254"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w:t>
            </w:r>
            <w:r>
              <w:rPr>
                <w:rFonts w:ascii="宋体" w:hAnsi="宋体" w:cs="宋体"/>
              </w:rPr>
              <w:t>10</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w:t>
            </w:r>
            <w:r>
              <w:rPr>
                <w:rFonts w:ascii="宋体" w:hAnsi="宋体" w:cs="宋体"/>
              </w:rPr>
              <w:t>10</w:t>
            </w:r>
            <w:r>
              <w:rPr>
                <w:rFonts w:hint="eastAsia" w:ascii="宋体" w:hAnsi="宋体" w:cs="宋体"/>
              </w:rPr>
              <w:t>分）</w:t>
            </w:r>
          </w:p>
        </w:tc>
        <w:tc>
          <w:tcPr>
            <w:tcW w:w="287" w:type="pct"/>
          </w:tcPr>
          <w:p>
            <w:pPr>
              <w:spacing w:line="240" w:lineRule="exact"/>
              <w:ind w:left="105" w:leftChars="50" w:right="105" w:rightChars="50"/>
              <w:rPr>
                <w:rFonts w:hint="eastAsia" w:ascii="宋体" w:eastAsia="宋体"/>
                <w:lang w:val="en-US" w:eastAsia="zh-CN"/>
              </w:rPr>
            </w:pPr>
            <w:r>
              <w:rPr>
                <w:rFonts w:hint="eastAsia" w:ascii="宋体"/>
                <w:lang w:val="en-US" w:eastAsia="zh-CN"/>
              </w:rPr>
              <w:t>9</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实际完成时间：预算支出实施单位完成该预算支出实际所耗用的时间。</w:t>
            </w:r>
            <w:r>
              <w:rPr>
                <w:rFonts w:ascii="宋体"/>
              </w:rPr>
              <w:br w:type="textWrapping"/>
            </w: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ind w:left="113"/>
              <w:rPr>
                <w:rFonts w:ascii="宋体"/>
              </w:rPr>
            </w:pPr>
          </w:p>
        </w:tc>
        <w:tc>
          <w:tcPr>
            <w:tcW w:w="254" w:type="pct"/>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w:t>
            </w:r>
            <w:r>
              <w:rPr>
                <w:rFonts w:ascii="宋体" w:hAnsi="宋体" w:cs="宋体"/>
              </w:rPr>
              <w:t>10</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w:t>
            </w:r>
            <w:r>
              <w:rPr>
                <w:rFonts w:ascii="宋体" w:hAnsi="宋体" w:cs="宋体"/>
              </w:rPr>
              <w:t>10</w:t>
            </w:r>
            <w:r>
              <w:rPr>
                <w:rFonts w:hint="eastAsia" w:ascii="宋体" w:hAnsi="宋体" w:cs="宋体"/>
              </w:rPr>
              <w:t>分）</w:t>
            </w: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成本节约率</w:t>
            </w:r>
            <w:r>
              <w:rPr>
                <w:rFonts w:ascii="宋体" w:hAnsi="宋体" w:cs="宋体"/>
              </w:rPr>
              <w:t>=[</w:t>
            </w:r>
            <w:r>
              <w:rPr>
                <w:rFonts w:hint="eastAsia" w:ascii="宋体" w:hAnsi="宋体" w:cs="宋体"/>
              </w:rPr>
              <w:t>（计划成本</w:t>
            </w:r>
            <w:r>
              <w:rPr>
                <w:rFonts w:ascii="宋体" w:cs="宋体"/>
              </w:rPr>
              <w:t>-</w:t>
            </w:r>
            <w:r>
              <w:rPr>
                <w:rFonts w:hint="eastAsia" w:ascii="宋体" w:hAnsi="宋体" w:cs="宋体"/>
              </w:rPr>
              <w:t>实际成本）</w:t>
            </w:r>
            <w:r>
              <w:rPr>
                <w:rFonts w:ascii="宋体" w:hAnsi="宋体" w:cs="宋体"/>
              </w:rPr>
              <w:t>/</w:t>
            </w:r>
            <w:r>
              <w:rPr>
                <w:rFonts w:hint="eastAsia" w:ascii="宋体" w:hAnsi="宋体" w:cs="宋体"/>
              </w:rPr>
              <w:t>计划成本</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rPr>
              <w:br w:type="textWrapping"/>
            </w:r>
            <w:r>
              <w:rPr>
                <w:rFonts w:hint="eastAsia" w:ascii="宋体" w:hAnsi="宋体" w:cs="宋体"/>
              </w:rPr>
              <w:t>实际成本：预算支出实施单位如期、保质、保量完成既定工作目标实际所耗费的支出。</w:t>
            </w:r>
            <w:r>
              <w:rPr>
                <w:rFonts w:ascii="宋体"/>
              </w:rPr>
              <w:br w:type="textWrapping"/>
            </w: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restart"/>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益（</w:t>
            </w:r>
            <w:r>
              <w:rPr>
                <w:rFonts w:ascii="宋体" w:hAnsi="宋体" w:cs="宋体"/>
              </w:rPr>
              <w:t>20</w:t>
            </w:r>
            <w:r>
              <w:rPr>
                <w:rFonts w:hint="eastAsia" w:ascii="宋体" w:hAnsi="宋体" w:cs="宋体"/>
              </w:rPr>
              <w:t>分）</w:t>
            </w:r>
          </w:p>
        </w:tc>
        <w:tc>
          <w:tcPr>
            <w:tcW w:w="254" w:type="pct"/>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w:t>
            </w:r>
            <w:r>
              <w:rPr>
                <w:rFonts w:ascii="宋体" w:hAnsi="宋体" w:cs="宋体"/>
              </w:rPr>
              <w:t>10</w:t>
            </w:r>
            <w:r>
              <w:rPr>
                <w:rFonts w:hint="eastAsia" w:ascii="宋体" w:hAnsi="宋体" w:cs="宋体"/>
              </w:rPr>
              <w:t>分）</w:t>
            </w: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Merge w:val="continue"/>
            <w:vAlign w:val="center"/>
          </w:tcPr>
          <w:p>
            <w:pPr>
              <w:spacing w:line="240" w:lineRule="exact"/>
              <w:rPr>
                <w:rFonts w:ascii="宋体"/>
              </w:rPr>
            </w:pPr>
          </w:p>
        </w:tc>
        <w:tc>
          <w:tcPr>
            <w:tcW w:w="254" w:type="pct"/>
            <w:vMerge w:val="continue"/>
            <w:vAlign w:val="center"/>
          </w:tcPr>
          <w:p>
            <w:pPr>
              <w:spacing w:line="240" w:lineRule="exact"/>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w:t>
            </w:r>
            <w:r>
              <w:rPr>
                <w:rFonts w:ascii="宋体" w:hAnsi="宋体" w:cs="宋体"/>
              </w:rPr>
              <w:t>10</w:t>
            </w:r>
            <w:r>
              <w:rPr>
                <w:rFonts w:hint="eastAsia" w:ascii="宋体" w:hAnsi="宋体" w:cs="宋体"/>
              </w:rPr>
              <w:t>分）对</w:t>
            </w:r>
          </w:p>
          <w:p>
            <w:pPr>
              <w:spacing w:line="240" w:lineRule="exact"/>
              <w:ind w:left="105" w:leftChars="50" w:right="105" w:rightChars="50"/>
              <w:jc w:val="center"/>
              <w:rPr>
                <w:rFonts w:ascii="宋体"/>
              </w:rPr>
            </w:pPr>
            <w:r>
              <w:rPr>
                <w:rFonts w:hint="eastAsia" w:ascii="宋体" w:hAnsi="宋体" w:cs="宋体"/>
              </w:rPr>
              <w:t>象满意度</w:t>
            </w: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10</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14" w:type="pct"/>
            <w:vAlign w:val="center"/>
          </w:tcPr>
          <w:p>
            <w:pPr>
              <w:spacing w:line="240" w:lineRule="exact"/>
              <w:rPr>
                <w:rFonts w:ascii="宋体"/>
              </w:rPr>
            </w:pPr>
            <w:r>
              <w:rPr>
                <w:rFonts w:hint="eastAsia" w:ascii="宋体" w:hAnsi="宋体" w:cs="宋体"/>
              </w:rPr>
              <w:t>总分</w:t>
            </w:r>
          </w:p>
        </w:tc>
        <w:tc>
          <w:tcPr>
            <w:tcW w:w="254" w:type="pct"/>
            <w:vAlign w:val="center"/>
          </w:tcPr>
          <w:p>
            <w:pPr>
              <w:spacing w:line="240" w:lineRule="exact"/>
              <w:rPr>
                <w:rFonts w:ascii="宋体"/>
              </w:rPr>
            </w:pPr>
          </w:p>
        </w:tc>
        <w:tc>
          <w:tcPr>
            <w:tcW w:w="447" w:type="pct"/>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287" w:type="pct"/>
          </w:tcPr>
          <w:p>
            <w:pPr>
              <w:spacing w:line="240" w:lineRule="exact"/>
              <w:ind w:left="105" w:leftChars="50" w:right="105" w:rightChars="50"/>
              <w:rPr>
                <w:rFonts w:hint="default" w:ascii="宋体" w:eastAsia="宋体"/>
                <w:lang w:val="en-US" w:eastAsia="zh-CN"/>
              </w:rPr>
            </w:pPr>
            <w:r>
              <w:rPr>
                <w:rFonts w:hint="eastAsia" w:ascii="宋体"/>
                <w:lang w:val="en-US" w:eastAsia="zh-CN"/>
              </w:rPr>
              <w:t>96</w:t>
            </w:r>
          </w:p>
        </w:tc>
        <w:tc>
          <w:tcPr>
            <w:tcW w:w="1420" w:type="pct"/>
            <w:tcMar>
              <w:top w:w="10" w:type="dxa"/>
              <w:left w:w="10" w:type="dxa"/>
              <w:bottom w:w="0" w:type="dxa"/>
              <w:right w:w="10" w:type="dxa"/>
            </w:tcMar>
            <w:vAlign w:val="center"/>
          </w:tcPr>
          <w:p>
            <w:pPr>
              <w:spacing w:line="240" w:lineRule="exact"/>
              <w:ind w:left="105" w:leftChars="50" w:right="105" w:rightChars="50"/>
              <w:rPr>
                <w:rFonts w:ascii="宋体"/>
              </w:rPr>
            </w:pPr>
          </w:p>
        </w:tc>
        <w:tc>
          <w:tcPr>
            <w:tcW w:w="2275" w:type="pct"/>
            <w:tcMar>
              <w:top w:w="10" w:type="dxa"/>
              <w:left w:w="10" w:type="dxa"/>
              <w:bottom w:w="0" w:type="dxa"/>
              <w:right w:w="10" w:type="dxa"/>
            </w:tcMar>
            <w:vAlign w:val="center"/>
          </w:tcPr>
          <w:p>
            <w:pPr>
              <w:spacing w:line="240" w:lineRule="exact"/>
              <w:ind w:left="105" w:leftChars="50" w:right="105" w:rightChars="50"/>
              <w:rPr>
                <w:rFonts w:ascii="宋体"/>
              </w:rPr>
            </w:pPr>
          </w:p>
        </w:tc>
      </w:tr>
    </w:tbl>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30D67"/>
    <w:rsid w:val="21251DF0"/>
    <w:rsid w:val="49615D77"/>
    <w:rsid w:val="58177291"/>
    <w:rsid w:val="6892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2021-07-21T08:35:00Z</dcterms:created>
  <dc:creator>Administrator</dc:creator>
  <cp:lastModifiedBy>怕种菜的朴小白</cp:lastModifiedBy>
  <dcterms:modified xsi:type="dcterms:W3CDTF">2021-07-22T00:47:59Z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9827E0E2116C47339235EA318F478FF6</vt:lpwstr>
  </property>
</Properties>
</file>