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color w:val="FF0000"/>
          <w:position w:val="28"/>
          <w:sz w:val="30"/>
        </w:rPr>
      </w:pPr>
    </w:p>
    <w:p>
      <w:pPr>
        <w:spacing w:line="240" w:lineRule="exact"/>
        <w:rPr>
          <w:rFonts w:ascii="宋体" w:hAnsi="宋体"/>
          <w:position w:val="28"/>
          <w:sz w:val="30"/>
        </w:rPr>
      </w:pPr>
    </w:p>
    <w:p>
      <w:pPr>
        <w:spacing w:afterLines="50" w:line="900" w:lineRule="exact"/>
        <w:jc w:val="center"/>
        <w:rPr>
          <w:rFonts w:ascii="宋体" w:hAnsi="宋体"/>
          <w:sz w:val="44"/>
          <w:szCs w:val="44"/>
        </w:rPr>
      </w:pPr>
      <w:r>
        <w:rPr>
          <w:rFonts w:hint="eastAsia" w:ascii="宋体" w:hAnsi="宋体"/>
          <w:sz w:val="44"/>
          <w:szCs w:val="44"/>
        </w:rPr>
        <w:t>益阳市</w:t>
      </w:r>
      <w:r>
        <w:rPr>
          <w:rFonts w:hint="eastAsia" w:ascii="宋体" w:hAnsi="宋体"/>
          <w:sz w:val="44"/>
          <w:szCs w:val="44"/>
          <w:lang w:val="en-US" w:eastAsia="zh-CN"/>
        </w:rPr>
        <w:t xml:space="preserve">  </w:t>
      </w:r>
      <w:r>
        <w:rPr>
          <w:rFonts w:hint="eastAsia" w:ascii="宋体" w:hAnsi="宋体"/>
          <w:sz w:val="44"/>
          <w:szCs w:val="44"/>
        </w:rPr>
        <w:t>赫山区</w:t>
      </w:r>
    </w:p>
    <w:p>
      <w:pPr>
        <w:spacing w:afterLines="50" w:line="900" w:lineRule="exact"/>
        <w:jc w:val="center"/>
        <w:rPr>
          <w:rFonts w:ascii="宋体" w:hAnsi="宋体"/>
          <w:bCs/>
          <w:spacing w:val="-30"/>
          <w:kern w:val="4"/>
          <w:sz w:val="56"/>
          <w:szCs w:val="56"/>
        </w:rPr>
      </w:pPr>
      <w:r>
        <w:rPr>
          <w:rFonts w:hint="eastAsia" w:ascii="宋体" w:hAnsi="宋体"/>
          <w:bCs/>
          <w:spacing w:val="-30"/>
          <w:kern w:val="4"/>
          <w:sz w:val="56"/>
          <w:szCs w:val="56"/>
        </w:rPr>
        <w:t>“十四五”水安全保障规划</w:t>
      </w:r>
    </w:p>
    <w:p>
      <w:pPr>
        <w:spacing w:line="800" w:lineRule="exact"/>
        <w:jc w:val="center"/>
        <w:rPr>
          <w:rFonts w:ascii="宋体" w:hAnsi="宋体"/>
          <w:sz w:val="36"/>
          <w:szCs w:val="36"/>
        </w:rPr>
      </w:pPr>
      <w:r>
        <w:rPr>
          <w:rFonts w:hint="eastAsia" w:ascii="宋体" w:hAnsi="宋体"/>
          <w:sz w:val="36"/>
          <w:szCs w:val="36"/>
        </w:rPr>
        <w:t>（征求意见</w:t>
      </w:r>
      <w:bookmarkStart w:id="68" w:name="_GoBack"/>
      <w:bookmarkEnd w:id="68"/>
      <w:r>
        <w:rPr>
          <w:rFonts w:hint="eastAsia" w:ascii="宋体" w:hAnsi="宋体"/>
          <w:sz w:val="36"/>
          <w:szCs w:val="36"/>
        </w:rPr>
        <w:t>稿）</w:t>
      </w:r>
    </w:p>
    <w:p>
      <w:pPr>
        <w:spacing w:line="240" w:lineRule="auto"/>
        <w:jc w:val="center"/>
        <w:rPr>
          <w:rFonts w:ascii="宋体" w:hAnsi="宋体"/>
          <w:sz w:val="36"/>
          <w:szCs w:val="36"/>
        </w:rPr>
      </w:pPr>
    </w:p>
    <w:p>
      <w:pPr>
        <w:spacing w:line="240" w:lineRule="auto"/>
        <w:jc w:val="center"/>
        <w:rPr>
          <w:rFonts w:ascii="宋体" w:hAnsi="宋体"/>
          <w:sz w:val="36"/>
          <w:szCs w:val="36"/>
        </w:rPr>
      </w:pPr>
    </w:p>
    <w:p>
      <w:pPr>
        <w:spacing w:line="240" w:lineRule="auto"/>
        <w:rPr>
          <w:rFonts w:ascii="仿宋_GB2312"/>
          <w:sz w:val="32"/>
          <w:szCs w:val="32"/>
        </w:rPr>
      </w:pPr>
    </w:p>
    <w:p>
      <w:pPr>
        <w:spacing w:line="240" w:lineRule="auto"/>
        <w:jc w:val="center"/>
        <w:rPr>
          <w:rFonts w:ascii="宋体" w:hAnsi="宋体"/>
          <w:b/>
          <w:spacing w:val="30"/>
          <w:sz w:val="36"/>
          <w:szCs w:val="36"/>
        </w:rPr>
      </w:pPr>
      <w:r>
        <w:drawing>
          <wp:inline distT="0" distB="0" distL="0" distR="0">
            <wp:extent cx="5420995" cy="2026285"/>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456841" cy="2040130"/>
                    </a:xfrm>
                    <a:prstGeom prst="rect">
                      <a:avLst/>
                    </a:prstGeom>
                    <a:noFill/>
                    <a:ln>
                      <a:noFill/>
                    </a:ln>
                  </pic:spPr>
                </pic:pic>
              </a:graphicData>
            </a:graphic>
          </wp:inline>
        </w:drawing>
      </w:r>
    </w:p>
    <w:p>
      <w:pPr>
        <w:spacing w:line="240" w:lineRule="auto"/>
        <w:jc w:val="center"/>
        <w:rPr>
          <w:rFonts w:ascii="宋体" w:hAnsi="宋体"/>
          <w:b/>
          <w:spacing w:val="30"/>
          <w:sz w:val="36"/>
          <w:szCs w:val="36"/>
        </w:rPr>
      </w:pPr>
    </w:p>
    <w:p>
      <w:pPr>
        <w:spacing w:line="700" w:lineRule="exact"/>
        <w:jc w:val="center"/>
        <w:rPr>
          <w:rFonts w:ascii="宋体" w:hAnsi="宋体"/>
          <w:b/>
          <w:spacing w:val="30"/>
          <w:sz w:val="36"/>
          <w:szCs w:val="36"/>
        </w:rPr>
      </w:pPr>
    </w:p>
    <w:p>
      <w:pPr>
        <w:spacing w:line="700" w:lineRule="exact"/>
        <w:jc w:val="center"/>
        <w:rPr>
          <w:rFonts w:ascii="宋体" w:hAnsi="宋体"/>
          <w:b/>
          <w:spacing w:val="30"/>
          <w:sz w:val="36"/>
          <w:szCs w:val="36"/>
        </w:rPr>
      </w:pPr>
      <w:r>
        <w:rPr>
          <w:rFonts w:hint="eastAsia" w:ascii="宋体" w:hAnsi="宋体"/>
          <w:b/>
          <w:spacing w:val="30"/>
          <w:sz w:val="36"/>
          <w:szCs w:val="36"/>
        </w:rPr>
        <w:t>益阳市赫山区水利局</w:t>
      </w:r>
    </w:p>
    <w:p>
      <w:pPr>
        <w:spacing w:line="700" w:lineRule="exact"/>
        <w:jc w:val="center"/>
        <w:rPr>
          <w:rFonts w:ascii="宋体" w:hAnsi="宋体"/>
          <w:b/>
          <w:spacing w:val="30"/>
          <w:sz w:val="36"/>
          <w:szCs w:val="36"/>
        </w:rPr>
      </w:pPr>
      <w:r>
        <w:rPr>
          <w:rFonts w:hint="eastAsia" w:ascii="宋体" w:hAnsi="宋体"/>
          <w:b/>
          <w:spacing w:val="30"/>
          <w:sz w:val="36"/>
          <w:szCs w:val="36"/>
        </w:rPr>
        <w:t>厦门仁铭工程顾问有限公司</w:t>
      </w:r>
    </w:p>
    <w:p>
      <w:pPr>
        <w:spacing w:line="700" w:lineRule="exact"/>
        <w:jc w:val="center"/>
        <w:rPr>
          <w:rFonts w:ascii="宋体" w:hAnsi="宋体"/>
          <w:b/>
          <w:spacing w:val="40"/>
          <w:sz w:val="36"/>
          <w:szCs w:val="36"/>
        </w:rPr>
      </w:pPr>
      <w:r>
        <w:rPr>
          <w:rFonts w:hint="eastAsia" w:ascii="宋体" w:hAnsi="宋体"/>
          <w:b/>
          <w:spacing w:val="40"/>
          <w:sz w:val="36"/>
          <w:szCs w:val="36"/>
        </w:rPr>
        <w:t>二〇二一年七月</w:t>
      </w:r>
    </w:p>
    <w:p>
      <w:pPr>
        <w:spacing w:line="700" w:lineRule="exact"/>
        <w:jc w:val="center"/>
        <w:rPr>
          <w:rFonts w:ascii="宋体" w:hAnsi="宋体"/>
          <w:b/>
          <w:spacing w:val="40"/>
          <w:sz w:val="36"/>
          <w:szCs w:val="36"/>
        </w:rPr>
        <w:sectPr>
          <w:headerReference r:id="rId5" w:type="default"/>
          <w:footerReference r:id="rId6" w:type="default"/>
          <w:footerReference r:id="rId7" w:type="even"/>
          <w:type w:val="nextColumn"/>
          <w:pgSz w:w="11906" w:h="16838"/>
          <w:pgMar w:top="1871" w:right="1418" w:bottom="1440" w:left="1418" w:header="1247" w:footer="1191" w:gutter="284"/>
          <w:cols w:space="425" w:num="1"/>
          <w:docGrid w:type="linesAndChars" w:linePitch="312" w:charSpace="0"/>
        </w:sectPr>
      </w:pPr>
    </w:p>
    <w:p>
      <w:pPr>
        <w:spacing w:beforeLines="50" w:line="700" w:lineRule="exact"/>
        <w:ind w:left="2397" w:leftChars="294" w:hanging="1692" w:hangingChars="470"/>
        <w:rPr>
          <w:rFonts w:ascii="宋体" w:hAnsi="宋体"/>
          <w:bCs/>
          <w:spacing w:val="-4"/>
          <w:sz w:val="36"/>
          <w:szCs w:val="36"/>
        </w:rPr>
      </w:pPr>
      <w:r>
        <w:rPr>
          <w:rFonts w:hint="eastAsia"/>
          <w:b/>
          <w:sz w:val="36"/>
        </w:rPr>
        <w:t>项目名称：</w:t>
      </w:r>
      <w:r>
        <w:rPr>
          <w:rFonts w:hint="eastAsia" w:asciiTheme="minorEastAsia" w:hAnsiTheme="minorEastAsia" w:eastAsiaTheme="minorEastAsia"/>
          <w:bCs/>
          <w:spacing w:val="-4"/>
          <w:sz w:val="36"/>
          <w:szCs w:val="36"/>
        </w:rPr>
        <w:t>益阳市赫山区“十四五”水安全保障规划</w:t>
      </w:r>
    </w:p>
    <w:p>
      <w:pPr>
        <w:spacing w:beforeLines="50" w:line="700" w:lineRule="exact"/>
        <w:ind w:firstLine="720" w:firstLineChars="200"/>
        <w:rPr>
          <w:bCs/>
          <w:sz w:val="36"/>
        </w:rPr>
      </w:pPr>
      <w:r>
        <w:rPr>
          <w:rFonts w:hint="eastAsia"/>
          <w:b/>
          <w:sz w:val="36"/>
        </w:rPr>
        <w:t>设计单位：</w:t>
      </w:r>
      <w:r>
        <w:rPr>
          <w:rFonts w:hint="eastAsia" w:asciiTheme="minorEastAsia" w:hAnsiTheme="minorEastAsia" w:eastAsiaTheme="minorEastAsia"/>
          <w:bCs/>
          <w:spacing w:val="-4"/>
          <w:sz w:val="36"/>
          <w:szCs w:val="36"/>
        </w:rPr>
        <w:t>厦门仁铭工程顾问有限公司</w:t>
      </w:r>
    </w:p>
    <w:p>
      <w:pPr>
        <w:spacing w:beforeLines="50" w:line="700" w:lineRule="exact"/>
        <w:ind w:firstLine="720" w:firstLineChars="200"/>
        <w:rPr>
          <w:rFonts w:asciiTheme="minorEastAsia" w:hAnsiTheme="minorEastAsia" w:eastAsiaTheme="minorEastAsia"/>
          <w:bCs/>
          <w:spacing w:val="-4"/>
          <w:sz w:val="36"/>
          <w:szCs w:val="36"/>
        </w:rPr>
      </w:pPr>
      <w:r>
        <w:rPr>
          <w:rFonts w:hint="eastAsia" w:ascii="宋体" w:hAnsi="宋体"/>
          <w:b/>
          <w:sz w:val="36"/>
        </w:rPr>
        <w:t>设计证号：</w:t>
      </w:r>
      <w:r>
        <w:rPr>
          <w:rFonts w:hint="eastAsia" w:asciiTheme="minorEastAsia" w:hAnsiTheme="minorEastAsia" w:eastAsiaTheme="minorEastAsia"/>
          <w:bCs/>
          <w:spacing w:val="-4"/>
          <w:sz w:val="36"/>
          <w:szCs w:val="36"/>
        </w:rPr>
        <w:t>A135001867</w:t>
      </w:r>
    </w:p>
    <w:p>
      <w:pPr>
        <w:spacing w:beforeLines="50" w:line="700" w:lineRule="exact"/>
        <w:ind w:firstLine="720" w:firstLineChars="200"/>
        <w:rPr>
          <w:bCs/>
          <w:sz w:val="36"/>
        </w:rPr>
      </w:pPr>
      <w:r>
        <w:rPr>
          <w:rFonts w:hint="eastAsia"/>
          <w:b/>
          <w:sz w:val="36"/>
        </w:rPr>
        <w:t>批    准：</w:t>
      </w:r>
      <w:r>
        <w:rPr>
          <w:rFonts w:hint="eastAsia" w:asciiTheme="minorEastAsia" w:hAnsiTheme="minorEastAsia" w:eastAsiaTheme="minorEastAsia"/>
          <w:bCs/>
          <w:spacing w:val="-4"/>
          <w:sz w:val="36"/>
          <w:szCs w:val="36"/>
        </w:rPr>
        <w:t>王洪涛</w:t>
      </w:r>
    </w:p>
    <w:p>
      <w:pPr>
        <w:spacing w:beforeLines="50" w:line="700" w:lineRule="exact"/>
        <w:ind w:firstLine="705" w:firstLineChars="196"/>
        <w:rPr>
          <w:rFonts w:asciiTheme="minorEastAsia" w:hAnsiTheme="minorEastAsia" w:eastAsiaTheme="minorEastAsia"/>
          <w:bCs/>
          <w:spacing w:val="-4"/>
          <w:sz w:val="36"/>
          <w:szCs w:val="36"/>
        </w:rPr>
      </w:pPr>
      <w:r>
        <w:rPr>
          <w:rFonts w:hint="eastAsia" w:ascii="宋体" w:hAnsi="宋体"/>
          <w:b/>
          <w:sz w:val="36"/>
        </w:rPr>
        <w:t>核    定：</w:t>
      </w:r>
      <w:r>
        <w:rPr>
          <w:rFonts w:hint="eastAsia" w:asciiTheme="minorEastAsia" w:hAnsiTheme="minorEastAsia" w:eastAsiaTheme="minorEastAsia"/>
          <w:bCs/>
          <w:spacing w:val="-4"/>
          <w:sz w:val="36"/>
          <w:szCs w:val="36"/>
        </w:rPr>
        <w:t>周林滔</w:t>
      </w:r>
    </w:p>
    <w:p>
      <w:pPr>
        <w:spacing w:beforeLines="50" w:line="700" w:lineRule="exact"/>
        <w:ind w:firstLine="705" w:firstLineChars="196"/>
        <w:rPr>
          <w:bCs/>
          <w:w w:val="90"/>
          <w:sz w:val="36"/>
        </w:rPr>
      </w:pPr>
      <w:r>
        <w:rPr>
          <w:rFonts w:hint="eastAsia" w:ascii="宋体" w:hAnsi="宋体"/>
          <w:b/>
          <w:sz w:val="36"/>
        </w:rPr>
        <w:t>审    查：</w:t>
      </w:r>
      <w:r>
        <w:rPr>
          <w:rFonts w:hint="eastAsia" w:ascii="宋体" w:hAnsi="宋体"/>
          <w:bCs/>
          <w:sz w:val="36"/>
        </w:rPr>
        <w:t>朱洋洋</w:t>
      </w:r>
    </w:p>
    <w:p>
      <w:pPr>
        <w:spacing w:beforeLines="50" w:line="700" w:lineRule="exact"/>
        <w:ind w:firstLine="705" w:firstLineChars="196"/>
        <w:rPr>
          <w:rFonts w:ascii="宋体" w:hAnsi="宋体"/>
          <w:bCs/>
          <w:w w:val="90"/>
          <w:sz w:val="36"/>
        </w:rPr>
      </w:pPr>
      <w:r>
        <w:rPr>
          <w:rFonts w:hint="eastAsia" w:ascii="宋体" w:hAnsi="宋体"/>
          <w:b/>
          <w:sz w:val="36"/>
        </w:rPr>
        <w:t>项目负责：</w:t>
      </w:r>
      <w:r>
        <w:rPr>
          <w:rFonts w:hint="eastAsia" w:ascii="宋体" w:hAnsi="宋体"/>
          <w:bCs/>
          <w:sz w:val="36"/>
        </w:rPr>
        <w:t>彭扬平</w:t>
      </w:r>
    </w:p>
    <w:p>
      <w:pPr>
        <w:spacing w:beforeLines="50" w:line="700" w:lineRule="exact"/>
        <w:ind w:firstLine="720" w:firstLineChars="200"/>
        <w:rPr>
          <w:bCs/>
          <w:sz w:val="36"/>
        </w:rPr>
      </w:pPr>
      <w:r>
        <w:rPr>
          <w:rFonts w:hint="eastAsia"/>
          <w:b/>
          <w:sz w:val="36"/>
        </w:rPr>
        <w:t>参加人员：</w:t>
      </w:r>
      <w:r>
        <w:rPr>
          <w:rFonts w:hint="eastAsia"/>
          <w:bCs/>
          <w:sz w:val="36"/>
        </w:rPr>
        <w:t>张  涛  杨泽彪  吴章烈  李祥香</w:t>
      </w:r>
    </w:p>
    <w:p>
      <w:pPr>
        <w:spacing w:beforeLines="50" w:line="700" w:lineRule="exact"/>
        <w:ind w:firstLine="2520" w:firstLineChars="700"/>
        <w:rPr>
          <w:bCs/>
          <w:sz w:val="36"/>
        </w:rPr>
      </w:pPr>
      <w:r>
        <w:rPr>
          <w:rFonts w:hint="eastAsia"/>
          <w:bCs/>
          <w:sz w:val="36"/>
        </w:rPr>
        <w:t xml:space="preserve">陆木秀 </w:t>
      </w:r>
      <w:r>
        <w:rPr>
          <w:bCs/>
          <w:sz w:val="36"/>
        </w:rPr>
        <w:t xml:space="preserve"> </w:t>
      </w:r>
      <w:r>
        <w:rPr>
          <w:rFonts w:hint="eastAsia"/>
          <w:bCs/>
          <w:sz w:val="36"/>
        </w:rPr>
        <w:t>王雨香  刘  艳  汤势维</w:t>
      </w:r>
    </w:p>
    <w:p>
      <w:pPr>
        <w:spacing w:beforeLines="50" w:line="700" w:lineRule="exact"/>
        <w:ind w:firstLine="2520" w:firstLineChars="700"/>
        <w:rPr>
          <w:bCs/>
          <w:sz w:val="36"/>
        </w:rPr>
      </w:pPr>
      <w:r>
        <w:rPr>
          <w:rFonts w:hint="eastAsia"/>
          <w:bCs/>
          <w:sz w:val="36"/>
        </w:rPr>
        <w:t>何庆辉  黄立华  张立平  何博文</w:t>
      </w:r>
    </w:p>
    <w:p>
      <w:pPr>
        <w:spacing w:beforeLines="50" w:line="700" w:lineRule="exact"/>
        <w:ind w:firstLine="2520" w:firstLineChars="700"/>
        <w:rPr>
          <w:bCs/>
          <w:sz w:val="36"/>
        </w:rPr>
      </w:pPr>
      <w:r>
        <w:rPr>
          <w:rFonts w:hint="eastAsia"/>
          <w:bCs/>
          <w:sz w:val="36"/>
        </w:rPr>
        <w:t>郭永胜  周  雄  邹赛男  曹清明</w:t>
      </w:r>
    </w:p>
    <w:p>
      <w:pPr>
        <w:spacing w:beforeLines="50" w:line="700" w:lineRule="exact"/>
        <w:ind w:firstLine="2520" w:firstLineChars="700"/>
        <w:rPr>
          <w:bCs/>
          <w:sz w:val="36"/>
        </w:rPr>
      </w:pPr>
      <w:r>
        <w:rPr>
          <w:rFonts w:hint="eastAsia"/>
          <w:bCs/>
          <w:sz w:val="36"/>
        </w:rPr>
        <w:t xml:space="preserve">刘  波  汤  锡  黄  蕾  刘 </w:t>
      </w:r>
      <w:r>
        <w:rPr>
          <w:bCs/>
          <w:sz w:val="36"/>
        </w:rPr>
        <w:t xml:space="preserve"> </w:t>
      </w:r>
      <w:r>
        <w:rPr>
          <w:rFonts w:hint="eastAsia"/>
          <w:bCs/>
          <w:sz w:val="36"/>
        </w:rPr>
        <w:t>鹏</w:t>
      </w:r>
    </w:p>
    <w:p>
      <w:pPr>
        <w:spacing w:beforeLines="50" w:line="700" w:lineRule="exact"/>
        <w:ind w:firstLine="2520" w:firstLineChars="700"/>
        <w:rPr>
          <w:bCs/>
          <w:sz w:val="36"/>
        </w:rPr>
      </w:pPr>
      <w:r>
        <w:rPr>
          <w:rFonts w:hint="eastAsia"/>
          <w:bCs/>
          <w:sz w:val="36"/>
        </w:rPr>
        <w:t>宋登高  胡  偲  赵  琼  曾红陵</w:t>
      </w:r>
    </w:p>
    <w:p>
      <w:pPr>
        <w:spacing w:beforeLines="50" w:line="700" w:lineRule="exact"/>
        <w:ind w:firstLine="2520" w:firstLineChars="700"/>
        <w:rPr>
          <w:bCs/>
          <w:sz w:val="36"/>
        </w:rPr>
      </w:pPr>
      <w:r>
        <w:rPr>
          <w:rFonts w:hint="eastAsia"/>
          <w:bCs/>
          <w:sz w:val="36"/>
        </w:rPr>
        <w:t>蔡凤玲</w:t>
      </w:r>
    </w:p>
    <w:p>
      <w:pPr>
        <w:spacing w:beforeLines="50" w:line="700" w:lineRule="exact"/>
      </w:pPr>
      <w:r>
        <w:rPr>
          <w:rFonts w:hint="eastAsia"/>
          <w:bCs/>
          <w:sz w:val="36"/>
        </w:rPr>
        <w:t xml:space="preserve">  </w:t>
      </w:r>
    </w:p>
    <w:p>
      <w:pPr>
        <w:jc w:val="center"/>
      </w:pPr>
      <w:r>
        <w:pict>
          <v:shape id="_x0000_s1026" o:spid="_x0000_s1026" o:spt="202" type="#_x0000_t202" style="position:absolute;left:0pt;flip:y;margin-left:26.1pt;margin-top:257.35pt;height:16.95pt;width:399.75pt;mso-position-horizontal-relative:margin;rotation:9630443f;z-index:251659264;mso-width-relative:page;mso-height-relative:page;" filled="f" stroked="f" coordsize="21600,21600" o:gfxdata="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yR7arYAAAACgEAAA8AAAAAAAAAAQAgAAAAIgAAAGRycy9kb3ducmV2Lnht&#10;bFBLAQIUABQAAAAIAIdO4kA4EOB+MgIAAEIEAAAOAAAAAAAAAAEAIAAAACcBAABkcnMvZTJvRG9j&#10;LnhtbFBLBQYAAAAABgAGAFkBAADLBQAAAAA=&#10;" adj="10800">
            <v:path/>
            <v:fill on="f" focussize="0,0"/>
            <v:stroke on="f" joinstyle="miter"/>
            <v:imagedata o:title=""/>
            <o:lock v:ext="edit" text="t"/>
            <v:textbox>
              <w:txbxContent>
                <w:p>
                  <w:pPr>
                    <w:pStyle w:val="29"/>
                    <w:spacing w:before="0" w:beforeAutospacing="0" w:after="0" w:afterAutospacing="0"/>
                    <w:jc w:val="center"/>
                    <w:rPr>
                      <w:sz w:val="21"/>
                      <w:szCs w:val="21"/>
                    </w:rPr>
                  </w:pPr>
                  <w:r>
                    <w:rPr>
                      <w:rFonts w:hint="eastAsia"/>
                      <w:outline/>
                      <w:color w:val="FF0000"/>
                      <w:sz w:val="21"/>
                      <w:szCs w:val="21"/>
                    </w:rPr>
                    <w:t>仅用于</w:t>
                  </w:r>
                  <w:r>
                    <w:rPr>
                      <w:rFonts w:hint="eastAsia"/>
                      <w:bCs/>
                      <w:outline/>
                      <w:color w:val="FF0000"/>
                      <w:sz w:val="21"/>
                      <w:szCs w:val="21"/>
                    </w:rPr>
                    <w:t>赫山区“十四五”水安全保障规划</w:t>
                  </w:r>
                </w:p>
              </w:txbxContent>
            </v:textbox>
          </v:shape>
        </w:pict>
      </w:r>
      <w:r>
        <w:drawing>
          <wp:inline distT="0" distB="0" distL="0" distR="0">
            <wp:extent cx="5236845" cy="758380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36845" cy="7583805"/>
                    </a:xfrm>
                    <a:prstGeom prst="rect">
                      <a:avLst/>
                    </a:prstGeom>
                    <a:noFill/>
                  </pic:spPr>
                </pic:pic>
              </a:graphicData>
            </a:graphic>
          </wp:inline>
        </w:drawing>
      </w:r>
    </w:p>
    <w:p>
      <w:pPr>
        <w:jc w:val="center"/>
      </w:pPr>
    </w:p>
    <w:p>
      <w:pPr>
        <w:jc w:val="center"/>
        <w:sectPr>
          <w:type w:val="nextColumn"/>
          <w:pgSz w:w="11906" w:h="16838"/>
          <w:pgMar w:top="1871" w:right="1418" w:bottom="1440" w:left="1418" w:header="1247" w:footer="1191" w:gutter="284"/>
          <w:cols w:space="425" w:num="1"/>
          <w:docGrid w:type="linesAndChars" w:linePitch="312" w:charSpace="0"/>
        </w:sectPr>
      </w:pPr>
    </w:p>
    <w:p>
      <w:pPr>
        <w:jc w:val="center"/>
      </w:pPr>
      <w:r>
        <w:pict>
          <v:shape id="_x0000_s1027" o:spid="_x0000_s1027" o:spt="202" type="#_x0000_t202" style="position:absolute;left:0pt;flip:y;margin-left:39.95pt;margin-top:256.4pt;height:16.95pt;width:399.75pt;mso-position-horizontal-relative:margin;rotation:9630443f;z-index:251660288;mso-width-relative:page;mso-height-relative:page;" filled="f" stroked="f" coordsize="21600,21600" o:gfxdata="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3VGNtkAAAAKAQAADwAAAAAAAAABACAAAAAiAAAAZHJzL2Rvd25yZXYu&#10;eG1sUEsBAhQAFAAAAAgAh07iQGvV/zkzAgAAQgQAAA4AAAAAAAAAAQAgAAAAKAEAAGRycy9lMm9E&#10;b2MueG1sUEsFBgAAAAAGAAYAWQEAAM0FAAAAAA==&#10;" adj="10800">
            <v:path/>
            <v:fill on="f" focussize="0,0"/>
            <v:stroke on="f" joinstyle="miter"/>
            <v:imagedata o:title=""/>
            <o:lock v:ext="edit" text="t"/>
            <v:textbox>
              <w:txbxContent>
                <w:p>
                  <w:pPr>
                    <w:pStyle w:val="29"/>
                    <w:spacing w:before="0" w:beforeAutospacing="0" w:after="0" w:afterAutospacing="0"/>
                    <w:jc w:val="center"/>
                    <w:rPr>
                      <w:sz w:val="21"/>
                      <w:szCs w:val="21"/>
                    </w:rPr>
                  </w:pPr>
                  <w:r>
                    <w:rPr>
                      <w:rFonts w:hint="eastAsia"/>
                      <w:outline/>
                      <w:color w:val="FF0000"/>
                      <w:sz w:val="21"/>
                      <w:szCs w:val="21"/>
                    </w:rPr>
                    <w:t>仅用于</w:t>
                  </w:r>
                  <w:r>
                    <w:rPr>
                      <w:rFonts w:hint="eastAsia"/>
                      <w:bCs/>
                      <w:outline/>
                      <w:color w:val="FF0000"/>
                      <w:sz w:val="21"/>
                      <w:szCs w:val="21"/>
                    </w:rPr>
                    <w:t>赫山区“十四五”水安全保障规划</w:t>
                  </w:r>
                </w:p>
                <w:p>
                  <w:pPr>
                    <w:pStyle w:val="29"/>
                    <w:spacing w:before="0" w:beforeAutospacing="0" w:after="0" w:afterAutospacing="0"/>
                    <w:jc w:val="center"/>
                    <w:rPr>
                      <w:sz w:val="21"/>
                      <w:szCs w:val="21"/>
                    </w:rPr>
                  </w:pPr>
                </w:p>
              </w:txbxContent>
            </v:textbox>
          </v:shape>
        </w:pict>
      </w:r>
      <w:r>
        <w:drawing>
          <wp:inline distT="0" distB="0" distL="0" distR="0">
            <wp:extent cx="5353050" cy="77425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353050" cy="7742555"/>
                    </a:xfrm>
                    <a:prstGeom prst="rect">
                      <a:avLst/>
                    </a:prstGeom>
                    <a:noFill/>
                  </pic:spPr>
                </pic:pic>
              </a:graphicData>
            </a:graphic>
          </wp:inline>
        </w:drawing>
      </w:r>
    </w:p>
    <w:p>
      <w:pPr>
        <w:jc w:val="center"/>
      </w:pPr>
    </w:p>
    <w:p/>
    <w:p>
      <w:pPr>
        <w:sectPr>
          <w:footerReference r:id="rId8" w:type="default"/>
          <w:type w:val="nextColumn"/>
          <w:pgSz w:w="11906" w:h="16838"/>
          <w:pgMar w:top="1871" w:right="1418" w:bottom="1440" w:left="1418" w:header="1247" w:footer="1191" w:gutter="284"/>
          <w:cols w:space="425" w:num="1"/>
          <w:docGrid w:type="linesAndChars" w:linePitch="312" w:charSpace="0"/>
        </w:sectPr>
      </w:pPr>
    </w:p>
    <w:p>
      <w:pPr>
        <w:pStyle w:val="47"/>
        <w:rPr>
          <w:rFonts w:ascii="黑体" w:hAnsi="黑体" w:cs="黑体"/>
          <w:sz w:val="36"/>
          <w:szCs w:val="36"/>
        </w:rPr>
      </w:pPr>
      <w:r>
        <w:rPr>
          <w:rFonts w:hint="eastAsia" w:ascii="黑体" w:hAnsi="黑体" w:cs="黑体"/>
          <w:sz w:val="36"/>
          <w:szCs w:val="36"/>
        </w:rPr>
        <w:t>目  录</w:t>
      </w:r>
    </w:p>
    <w:p>
      <w:pPr>
        <w:pStyle w:val="3"/>
        <w:ind w:firstLine="560"/>
        <w:rPr>
          <w:szCs w:val="28"/>
        </w:rPr>
      </w:pPr>
    </w:p>
    <w:p>
      <w:pPr>
        <w:pStyle w:val="22"/>
        <w:tabs>
          <w:tab w:val="right" w:leader="dot" w:pos="8786"/>
        </w:tabs>
        <w:rPr>
          <w:sz w:val="28"/>
          <w:szCs w:val="28"/>
        </w:rPr>
      </w:pPr>
      <w:r>
        <w:rPr>
          <w:sz w:val="28"/>
          <w:szCs w:val="28"/>
        </w:rPr>
        <w:fldChar w:fldCharType="begin"/>
      </w:r>
      <w:r>
        <w:rPr>
          <w:sz w:val="28"/>
          <w:szCs w:val="28"/>
        </w:rPr>
        <w:instrText xml:space="preserve"> TOC \o "1-2" \h \z \u </w:instrText>
      </w:r>
      <w:r>
        <w:rPr>
          <w:sz w:val="28"/>
          <w:szCs w:val="28"/>
        </w:rPr>
        <w:fldChar w:fldCharType="separate"/>
      </w:r>
      <w:r>
        <w:fldChar w:fldCharType="begin"/>
      </w:r>
      <w:r>
        <w:instrText xml:space="preserve"> HYPERLINK \l "_Toc5641" </w:instrText>
      </w:r>
      <w:r>
        <w:fldChar w:fldCharType="separate"/>
      </w:r>
      <w:r>
        <w:rPr>
          <w:rFonts w:hint="eastAsia"/>
          <w:sz w:val="28"/>
          <w:szCs w:val="28"/>
        </w:rPr>
        <w:t>1 基本情况</w:t>
      </w:r>
      <w:r>
        <w:rPr>
          <w:sz w:val="28"/>
          <w:szCs w:val="28"/>
        </w:rPr>
        <w:tab/>
      </w:r>
      <w:r>
        <w:rPr>
          <w:sz w:val="28"/>
          <w:szCs w:val="28"/>
        </w:rPr>
        <w:fldChar w:fldCharType="begin"/>
      </w:r>
      <w:r>
        <w:rPr>
          <w:sz w:val="28"/>
          <w:szCs w:val="28"/>
        </w:rPr>
        <w:instrText xml:space="preserve"> PAGEREF _Toc5641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26"/>
        <w:tabs>
          <w:tab w:val="right" w:leader="dot" w:pos="8786"/>
          <w:tab w:val="clear" w:pos="1260"/>
          <w:tab w:val="clear" w:pos="9060"/>
        </w:tabs>
        <w:rPr>
          <w:sz w:val="28"/>
          <w:szCs w:val="28"/>
        </w:rPr>
      </w:pPr>
      <w:r>
        <w:fldChar w:fldCharType="begin"/>
      </w:r>
      <w:r>
        <w:instrText xml:space="preserve"> HYPERLINK \l "_Toc30920" </w:instrText>
      </w:r>
      <w:r>
        <w:fldChar w:fldCharType="separate"/>
      </w:r>
      <w:r>
        <w:rPr>
          <w:rFonts w:hint="eastAsia"/>
          <w:sz w:val="28"/>
          <w:szCs w:val="28"/>
        </w:rPr>
        <w:t>1.1 自然地理概况</w:t>
      </w:r>
      <w:r>
        <w:rPr>
          <w:sz w:val="28"/>
          <w:szCs w:val="28"/>
        </w:rPr>
        <w:tab/>
      </w:r>
      <w:r>
        <w:rPr>
          <w:sz w:val="28"/>
          <w:szCs w:val="28"/>
        </w:rPr>
        <w:fldChar w:fldCharType="begin"/>
      </w:r>
      <w:r>
        <w:rPr>
          <w:sz w:val="28"/>
          <w:szCs w:val="28"/>
        </w:rPr>
        <w:instrText xml:space="preserve"> PAGEREF _Toc30920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26"/>
        <w:tabs>
          <w:tab w:val="right" w:leader="dot" w:pos="8786"/>
          <w:tab w:val="clear" w:pos="1260"/>
          <w:tab w:val="clear" w:pos="9060"/>
        </w:tabs>
        <w:rPr>
          <w:sz w:val="28"/>
          <w:szCs w:val="28"/>
        </w:rPr>
      </w:pPr>
      <w:r>
        <w:fldChar w:fldCharType="begin"/>
      </w:r>
      <w:r>
        <w:instrText xml:space="preserve"> HYPERLINK \l "_Toc29737" </w:instrText>
      </w:r>
      <w:r>
        <w:fldChar w:fldCharType="separate"/>
      </w:r>
      <w:r>
        <w:rPr>
          <w:rFonts w:hint="eastAsia"/>
          <w:sz w:val="28"/>
          <w:szCs w:val="28"/>
        </w:rPr>
        <w:t>1.2 河流水系概况</w:t>
      </w:r>
      <w:r>
        <w:rPr>
          <w:sz w:val="28"/>
          <w:szCs w:val="28"/>
        </w:rPr>
        <w:tab/>
      </w:r>
      <w:r>
        <w:rPr>
          <w:sz w:val="28"/>
          <w:szCs w:val="28"/>
        </w:rPr>
        <w:fldChar w:fldCharType="begin"/>
      </w:r>
      <w:r>
        <w:rPr>
          <w:sz w:val="28"/>
          <w:szCs w:val="28"/>
        </w:rPr>
        <w:instrText xml:space="preserve"> PAGEREF _Toc29737 \h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26"/>
        <w:tabs>
          <w:tab w:val="right" w:leader="dot" w:pos="8786"/>
          <w:tab w:val="clear" w:pos="1260"/>
          <w:tab w:val="clear" w:pos="9060"/>
        </w:tabs>
        <w:rPr>
          <w:sz w:val="28"/>
          <w:szCs w:val="28"/>
        </w:rPr>
      </w:pPr>
      <w:r>
        <w:fldChar w:fldCharType="begin"/>
      </w:r>
      <w:r>
        <w:instrText xml:space="preserve"> HYPERLINK \l "_Toc16601" </w:instrText>
      </w:r>
      <w:r>
        <w:fldChar w:fldCharType="separate"/>
      </w:r>
      <w:r>
        <w:rPr>
          <w:rFonts w:hint="eastAsia"/>
          <w:sz w:val="28"/>
          <w:szCs w:val="28"/>
        </w:rPr>
        <w:t>1.3 社会经济概况</w:t>
      </w:r>
      <w:r>
        <w:rPr>
          <w:sz w:val="28"/>
          <w:szCs w:val="28"/>
        </w:rPr>
        <w:tab/>
      </w:r>
      <w:r>
        <w:rPr>
          <w:sz w:val="28"/>
          <w:szCs w:val="28"/>
        </w:rPr>
        <w:fldChar w:fldCharType="begin"/>
      </w:r>
      <w:r>
        <w:rPr>
          <w:sz w:val="28"/>
          <w:szCs w:val="28"/>
        </w:rPr>
        <w:instrText xml:space="preserve"> PAGEREF _Toc16601 \h </w:instrText>
      </w:r>
      <w:r>
        <w:rPr>
          <w:sz w:val="28"/>
          <w:szCs w:val="28"/>
        </w:rPr>
        <w:fldChar w:fldCharType="separate"/>
      </w:r>
      <w:r>
        <w:rPr>
          <w:sz w:val="28"/>
          <w:szCs w:val="28"/>
        </w:rPr>
        <w:t>8</w:t>
      </w:r>
      <w:r>
        <w:rPr>
          <w:sz w:val="28"/>
          <w:szCs w:val="28"/>
        </w:rPr>
        <w:fldChar w:fldCharType="end"/>
      </w:r>
      <w:r>
        <w:rPr>
          <w:sz w:val="28"/>
          <w:szCs w:val="28"/>
        </w:rPr>
        <w:fldChar w:fldCharType="end"/>
      </w:r>
    </w:p>
    <w:p>
      <w:pPr>
        <w:pStyle w:val="26"/>
        <w:tabs>
          <w:tab w:val="right" w:leader="dot" w:pos="8786"/>
          <w:tab w:val="clear" w:pos="1260"/>
          <w:tab w:val="clear" w:pos="9060"/>
        </w:tabs>
        <w:rPr>
          <w:sz w:val="28"/>
          <w:szCs w:val="28"/>
        </w:rPr>
      </w:pPr>
      <w:r>
        <w:fldChar w:fldCharType="begin"/>
      </w:r>
      <w:r>
        <w:instrText xml:space="preserve"> HYPERLINK \l "_Toc24893" </w:instrText>
      </w:r>
      <w:r>
        <w:fldChar w:fldCharType="separate"/>
      </w:r>
      <w:r>
        <w:rPr>
          <w:rFonts w:hint="eastAsia"/>
          <w:sz w:val="28"/>
          <w:szCs w:val="28"/>
        </w:rPr>
        <w:t>1.4 水利工程概况</w:t>
      </w:r>
      <w:r>
        <w:rPr>
          <w:sz w:val="28"/>
          <w:szCs w:val="28"/>
        </w:rPr>
        <w:tab/>
      </w:r>
      <w:r>
        <w:rPr>
          <w:sz w:val="28"/>
          <w:szCs w:val="28"/>
        </w:rPr>
        <w:fldChar w:fldCharType="begin"/>
      </w:r>
      <w:r>
        <w:rPr>
          <w:sz w:val="28"/>
          <w:szCs w:val="28"/>
        </w:rPr>
        <w:instrText xml:space="preserve"> PAGEREF _Toc24893 \h </w:instrText>
      </w:r>
      <w:r>
        <w:rPr>
          <w:sz w:val="28"/>
          <w:szCs w:val="28"/>
        </w:rPr>
        <w:fldChar w:fldCharType="separate"/>
      </w:r>
      <w:r>
        <w:rPr>
          <w:sz w:val="28"/>
          <w:szCs w:val="28"/>
        </w:rPr>
        <w:t>9</w:t>
      </w:r>
      <w:r>
        <w:rPr>
          <w:sz w:val="28"/>
          <w:szCs w:val="28"/>
        </w:rPr>
        <w:fldChar w:fldCharType="end"/>
      </w:r>
      <w:r>
        <w:rPr>
          <w:sz w:val="28"/>
          <w:szCs w:val="28"/>
        </w:rPr>
        <w:fldChar w:fldCharType="end"/>
      </w:r>
    </w:p>
    <w:p>
      <w:pPr>
        <w:pStyle w:val="26"/>
        <w:tabs>
          <w:tab w:val="right" w:leader="dot" w:pos="8786"/>
          <w:tab w:val="clear" w:pos="1260"/>
          <w:tab w:val="clear" w:pos="9060"/>
        </w:tabs>
        <w:rPr>
          <w:sz w:val="28"/>
          <w:szCs w:val="28"/>
        </w:rPr>
      </w:pPr>
      <w:r>
        <w:fldChar w:fldCharType="begin"/>
      </w:r>
      <w:r>
        <w:instrText xml:space="preserve"> HYPERLINK \l "_Toc25574" </w:instrText>
      </w:r>
      <w:r>
        <w:fldChar w:fldCharType="separate"/>
      </w:r>
      <w:r>
        <w:rPr>
          <w:rFonts w:hint="eastAsia"/>
          <w:sz w:val="28"/>
          <w:szCs w:val="28"/>
        </w:rPr>
        <w:t>1.5 自然灾害情况</w:t>
      </w:r>
      <w:r>
        <w:rPr>
          <w:sz w:val="28"/>
          <w:szCs w:val="28"/>
        </w:rPr>
        <w:tab/>
      </w:r>
      <w:r>
        <w:rPr>
          <w:sz w:val="28"/>
          <w:szCs w:val="28"/>
        </w:rPr>
        <w:fldChar w:fldCharType="begin"/>
      </w:r>
      <w:r>
        <w:rPr>
          <w:sz w:val="28"/>
          <w:szCs w:val="28"/>
        </w:rPr>
        <w:instrText xml:space="preserve"> PAGEREF _Toc25574 \h </w:instrText>
      </w:r>
      <w:r>
        <w:rPr>
          <w:sz w:val="28"/>
          <w:szCs w:val="28"/>
        </w:rPr>
        <w:fldChar w:fldCharType="separate"/>
      </w:r>
      <w:r>
        <w:rPr>
          <w:sz w:val="28"/>
          <w:szCs w:val="28"/>
        </w:rPr>
        <w:t>11</w:t>
      </w:r>
      <w:r>
        <w:rPr>
          <w:sz w:val="28"/>
          <w:szCs w:val="28"/>
        </w:rPr>
        <w:fldChar w:fldCharType="end"/>
      </w:r>
      <w:r>
        <w:rPr>
          <w:sz w:val="28"/>
          <w:szCs w:val="28"/>
        </w:rPr>
        <w:fldChar w:fldCharType="end"/>
      </w:r>
    </w:p>
    <w:p>
      <w:pPr>
        <w:pStyle w:val="22"/>
        <w:tabs>
          <w:tab w:val="right" w:leader="dot" w:pos="8786"/>
        </w:tabs>
        <w:rPr>
          <w:sz w:val="28"/>
          <w:szCs w:val="28"/>
        </w:rPr>
      </w:pPr>
      <w:r>
        <w:fldChar w:fldCharType="begin"/>
      </w:r>
      <w:r>
        <w:instrText xml:space="preserve"> HYPERLINK \l "_Toc2785" </w:instrText>
      </w:r>
      <w:r>
        <w:fldChar w:fldCharType="separate"/>
      </w:r>
      <w:r>
        <w:rPr>
          <w:rFonts w:hint="eastAsia"/>
          <w:sz w:val="28"/>
          <w:szCs w:val="28"/>
        </w:rPr>
        <w:t>2 水安全保障现状与问题分析</w:t>
      </w:r>
      <w:r>
        <w:rPr>
          <w:sz w:val="28"/>
          <w:szCs w:val="28"/>
        </w:rPr>
        <w:tab/>
      </w:r>
      <w:r>
        <w:rPr>
          <w:sz w:val="28"/>
          <w:szCs w:val="28"/>
        </w:rPr>
        <w:fldChar w:fldCharType="begin"/>
      </w:r>
      <w:r>
        <w:rPr>
          <w:sz w:val="28"/>
          <w:szCs w:val="28"/>
        </w:rPr>
        <w:instrText xml:space="preserve"> PAGEREF _Toc2785 \h </w:instrText>
      </w:r>
      <w:r>
        <w:rPr>
          <w:sz w:val="28"/>
          <w:szCs w:val="28"/>
        </w:rPr>
        <w:fldChar w:fldCharType="separate"/>
      </w:r>
      <w:r>
        <w:rPr>
          <w:sz w:val="28"/>
          <w:szCs w:val="28"/>
        </w:rPr>
        <w:t>13</w:t>
      </w:r>
      <w:r>
        <w:rPr>
          <w:sz w:val="28"/>
          <w:szCs w:val="28"/>
        </w:rPr>
        <w:fldChar w:fldCharType="end"/>
      </w:r>
      <w:r>
        <w:rPr>
          <w:sz w:val="28"/>
          <w:szCs w:val="28"/>
        </w:rPr>
        <w:fldChar w:fldCharType="end"/>
      </w:r>
    </w:p>
    <w:p>
      <w:pPr>
        <w:pStyle w:val="26"/>
        <w:tabs>
          <w:tab w:val="right" w:leader="dot" w:pos="8786"/>
          <w:tab w:val="clear" w:pos="1260"/>
          <w:tab w:val="clear" w:pos="9060"/>
        </w:tabs>
        <w:rPr>
          <w:sz w:val="28"/>
          <w:szCs w:val="28"/>
        </w:rPr>
      </w:pPr>
      <w:r>
        <w:fldChar w:fldCharType="begin"/>
      </w:r>
      <w:r>
        <w:instrText xml:space="preserve"> HYPERLINK \l "_Toc14786" </w:instrText>
      </w:r>
      <w:r>
        <w:fldChar w:fldCharType="separate"/>
      </w:r>
      <w:r>
        <w:rPr>
          <w:rFonts w:hint="eastAsia"/>
          <w:sz w:val="28"/>
          <w:szCs w:val="28"/>
        </w:rPr>
        <w:t>2.1 “十三五”水利发展的主要成就及任务完成情况</w:t>
      </w:r>
      <w:r>
        <w:rPr>
          <w:sz w:val="28"/>
          <w:szCs w:val="28"/>
        </w:rPr>
        <w:tab/>
      </w:r>
      <w:r>
        <w:rPr>
          <w:sz w:val="28"/>
          <w:szCs w:val="28"/>
        </w:rPr>
        <w:fldChar w:fldCharType="begin"/>
      </w:r>
      <w:r>
        <w:rPr>
          <w:sz w:val="28"/>
          <w:szCs w:val="28"/>
        </w:rPr>
        <w:instrText xml:space="preserve"> PAGEREF _Toc14786 \h </w:instrText>
      </w:r>
      <w:r>
        <w:rPr>
          <w:sz w:val="28"/>
          <w:szCs w:val="28"/>
        </w:rPr>
        <w:fldChar w:fldCharType="separate"/>
      </w:r>
      <w:r>
        <w:rPr>
          <w:sz w:val="28"/>
          <w:szCs w:val="28"/>
        </w:rPr>
        <w:t>13</w:t>
      </w:r>
      <w:r>
        <w:rPr>
          <w:sz w:val="28"/>
          <w:szCs w:val="28"/>
        </w:rPr>
        <w:fldChar w:fldCharType="end"/>
      </w:r>
      <w:r>
        <w:rPr>
          <w:sz w:val="28"/>
          <w:szCs w:val="28"/>
        </w:rPr>
        <w:fldChar w:fldCharType="end"/>
      </w:r>
    </w:p>
    <w:p>
      <w:pPr>
        <w:pStyle w:val="26"/>
        <w:tabs>
          <w:tab w:val="right" w:leader="dot" w:pos="8786"/>
          <w:tab w:val="clear" w:pos="1260"/>
          <w:tab w:val="clear" w:pos="9060"/>
        </w:tabs>
        <w:rPr>
          <w:sz w:val="28"/>
          <w:szCs w:val="28"/>
        </w:rPr>
      </w:pPr>
      <w:r>
        <w:fldChar w:fldCharType="begin"/>
      </w:r>
      <w:r>
        <w:instrText xml:space="preserve"> HYPERLINK \l "_Toc28565" </w:instrText>
      </w:r>
      <w:r>
        <w:fldChar w:fldCharType="separate"/>
      </w:r>
      <w:r>
        <w:rPr>
          <w:rFonts w:hint="eastAsia"/>
          <w:sz w:val="28"/>
          <w:szCs w:val="28"/>
        </w:rPr>
        <w:t>2.2 “十四五”水安全保障面临的主要问题</w:t>
      </w:r>
      <w:r>
        <w:rPr>
          <w:sz w:val="28"/>
          <w:szCs w:val="28"/>
        </w:rPr>
        <w:tab/>
      </w:r>
      <w:r>
        <w:rPr>
          <w:sz w:val="28"/>
          <w:szCs w:val="28"/>
        </w:rPr>
        <w:fldChar w:fldCharType="begin"/>
      </w:r>
      <w:r>
        <w:rPr>
          <w:sz w:val="28"/>
          <w:szCs w:val="28"/>
        </w:rPr>
        <w:instrText xml:space="preserve"> PAGEREF _Toc28565 \h </w:instrText>
      </w:r>
      <w:r>
        <w:rPr>
          <w:sz w:val="28"/>
          <w:szCs w:val="28"/>
        </w:rPr>
        <w:fldChar w:fldCharType="separate"/>
      </w:r>
      <w:r>
        <w:rPr>
          <w:sz w:val="28"/>
          <w:szCs w:val="28"/>
        </w:rPr>
        <w:t>15</w:t>
      </w:r>
      <w:r>
        <w:rPr>
          <w:sz w:val="28"/>
          <w:szCs w:val="28"/>
        </w:rPr>
        <w:fldChar w:fldCharType="end"/>
      </w:r>
      <w:r>
        <w:rPr>
          <w:sz w:val="28"/>
          <w:szCs w:val="28"/>
        </w:rPr>
        <w:fldChar w:fldCharType="end"/>
      </w:r>
    </w:p>
    <w:p>
      <w:pPr>
        <w:pStyle w:val="22"/>
        <w:tabs>
          <w:tab w:val="right" w:leader="dot" w:pos="8786"/>
        </w:tabs>
        <w:rPr>
          <w:sz w:val="28"/>
          <w:szCs w:val="28"/>
        </w:rPr>
      </w:pPr>
      <w:r>
        <w:fldChar w:fldCharType="begin"/>
      </w:r>
      <w:r>
        <w:instrText xml:space="preserve"> HYPERLINK \l "_Toc15590" </w:instrText>
      </w:r>
      <w:r>
        <w:fldChar w:fldCharType="separate"/>
      </w:r>
      <w:r>
        <w:rPr>
          <w:rFonts w:hint="eastAsia"/>
          <w:sz w:val="28"/>
          <w:szCs w:val="28"/>
        </w:rPr>
        <w:t>3 水安全保障总体思路</w:t>
      </w:r>
      <w:r>
        <w:rPr>
          <w:sz w:val="28"/>
          <w:szCs w:val="28"/>
        </w:rPr>
        <w:tab/>
      </w:r>
      <w:r>
        <w:rPr>
          <w:sz w:val="28"/>
          <w:szCs w:val="28"/>
        </w:rPr>
        <w:fldChar w:fldCharType="begin"/>
      </w:r>
      <w:r>
        <w:rPr>
          <w:sz w:val="28"/>
          <w:szCs w:val="28"/>
        </w:rPr>
        <w:instrText xml:space="preserve"> PAGEREF _Toc15590 \h </w:instrText>
      </w:r>
      <w:r>
        <w:rPr>
          <w:sz w:val="28"/>
          <w:szCs w:val="28"/>
        </w:rPr>
        <w:fldChar w:fldCharType="separate"/>
      </w:r>
      <w:r>
        <w:rPr>
          <w:sz w:val="28"/>
          <w:szCs w:val="28"/>
        </w:rPr>
        <w:t>18</w:t>
      </w:r>
      <w:r>
        <w:rPr>
          <w:sz w:val="28"/>
          <w:szCs w:val="28"/>
        </w:rPr>
        <w:fldChar w:fldCharType="end"/>
      </w:r>
      <w:r>
        <w:rPr>
          <w:sz w:val="28"/>
          <w:szCs w:val="28"/>
        </w:rPr>
        <w:fldChar w:fldCharType="end"/>
      </w:r>
    </w:p>
    <w:p>
      <w:pPr>
        <w:pStyle w:val="26"/>
        <w:tabs>
          <w:tab w:val="right" w:leader="dot" w:pos="8786"/>
          <w:tab w:val="clear" w:pos="1260"/>
          <w:tab w:val="clear" w:pos="9060"/>
        </w:tabs>
        <w:rPr>
          <w:sz w:val="28"/>
          <w:szCs w:val="28"/>
        </w:rPr>
      </w:pPr>
      <w:r>
        <w:fldChar w:fldCharType="begin"/>
      </w:r>
      <w:r>
        <w:instrText xml:space="preserve"> HYPERLINK \l "_Toc9737" </w:instrText>
      </w:r>
      <w:r>
        <w:fldChar w:fldCharType="separate"/>
      </w:r>
      <w:r>
        <w:rPr>
          <w:rFonts w:hint="eastAsia"/>
          <w:sz w:val="28"/>
          <w:szCs w:val="28"/>
        </w:rPr>
        <w:t>3.1 指导思想</w:t>
      </w:r>
      <w:r>
        <w:rPr>
          <w:sz w:val="28"/>
          <w:szCs w:val="28"/>
        </w:rPr>
        <w:tab/>
      </w:r>
      <w:r>
        <w:rPr>
          <w:sz w:val="28"/>
          <w:szCs w:val="28"/>
        </w:rPr>
        <w:fldChar w:fldCharType="begin"/>
      </w:r>
      <w:r>
        <w:rPr>
          <w:sz w:val="28"/>
          <w:szCs w:val="28"/>
        </w:rPr>
        <w:instrText xml:space="preserve"> PAGEREF _Toc9737 \h </w:instrText>
      </w:r>
      <w:r>
        <w:rPr>
          <w:sz w:val="28"/>
          <w:szCs w:val="28"/>
        </w:rPr>
        <w:fldChar w:fldCharType="separate"/>
      </w:r>
      <w:r>
        <w:rPr>
          <w:sz w:val="28"/>
          <w:szCs w:val="28"/>
        </w:rPr>
        <w:t>18</w:t>
      </w:r>
      <w:r>
        <w:rPr>
          <w:sz w:val="28"/>
          <w:szCs w:val="28"/>
        </w:rPr>
        <w:fldChar w:fldCharType="end"/>
      </w:r>
      <w:r>
        <w:rPr>
          <w:sz w:val="28"/>
          <w:szCs w:val="28"/>
        </w:rPr>
        <w:fldChar w:fldCharType="end"/>
      </w:r>
    </w:p>
    <w:p>
      <w:pPr>
        <w:pStyle w:val="26"/>
        <w:tabs>
          <w:tab w:val="right" w:leader="dot" w:pos="8786"/>
          <w:tab w:val="clear" w:pos="1260"/>
          <w:tab w:val="clear" w:pos="9060"/>
        </w:tabs>
        <w:rPr>
          <w:sz w:val="28"/>
          <w:szCs w:val="28"/>
        </w:rPr>
      </w:pPr>
      <w:r>
        <w:fldChar w:fldCharType="begin"/>
      </w:r>
      <w:r>
        <w:instrText xml:space="preserve"> HYPERLINK \l "_Toc24334" </w:instrText>
      </w:r>
      <w:r>
        <w:fldChar w:fldCharType="separate"/>
      </w:r>
      <w:r>
        <w:rPr>
          <w:rFonts w:hint="eastAsia"/>
          <w:sz w:val="28"/>
          <w:szCs w:val="28"/>
        </w:rPr>
        <w:t>3.2 基本原则</w:t>
      </w:r>
      <w:r>
        <w:rPr>
          <w:sz w:val="28"/>
          <w:szCs w:val="28"/>
        </w:rPr>
        <w:tab/>
      </w:r>
      <w:r>
        <w:rPr>
          <w:sz w:val="28"/>
          <w:szCs w:val="28"/>
        </w:rPr>
        <w:fldChar w:fldCharType="begin"/>
      </w:r>
      <w:r>
        <w:rPr>
          <w:sz w:val="28"/>
          <w:szCs w:val="28"/>
        </w:rPr>
        <w:instrText xml:space="preserve"> PAGEREF _Toc24334 \h </w:instrText>
      </w:r>
      <w:r>
        <w:rPr>
          <w:sz w:val="28"/>
          <w:szCs w:val="28"/>
        </w:rPr>
        <w:fldChar w:fldCharType="separate"/>
      </w:r>
      <w:r>
        <w:rPr>
          <w:sz w:val="28"/>
          <w:szCs w:val="28"/>
        </w:rPr>
        <w:t>18</w:t>
      </w:r>
      <w:r>
        <w:rPr>
          <w:sz w:val="28"/>
          <w:szCs w:val="28"/>
        </w:rPr>
        <w:fldChar w:fldCharType="end"/>
      </w:r>
      <w:r>
        <w:rPr>
          <w:sz w:val="28"/>
          <w:szCs w:val="28"/>
        </w:rPr>
        <w:fldChar w:fldCharType="end"/>
      </w:r>
    </w:p>
    <w:p>
      <w:pPr>
        <w:pStyle w:val="26"/>
        <w:tabs>
          <w:tab w:val="right" w:leader="dot" w:pos="8786"/>
          <w:tab w:val="clear" w:pos="1260"/>
          <w:tab w:val="clear" w:pos="9060"/>
        </w:tabs>
        <w:rPr>
          <w:sz w:val="28"/>
          <w:szCs w:val="28"/>
        </w:rPr>
      </w:pPr>
      <w:r>
        <w:fldChar w:fldCharType="begin"/>
      </w:r>
      <w:r>
        <w:instrText xml:space="preserve"> HYPERLINK \l "_Toc24487" </w:instrText>
      </w:r>
      <w:r>
        <w:fldChar w:fldCharType="separate"/>
      </w:r>
      <w:r>
        <w:rPr>
          <w:rFonts w:hint="eastAsia"/>
          <w:sz w:val="28"/>
          <w:szCs w:val="28"/>
        </w:rPr>
        <w:t>3.3 规划依据</w:t>
      </w:r>
      <w:r>
        <w:rPr>
          <w:sz w:val="28"/>
          <w:szCs w:val="28"/>
        </w:rPr>
        <w:tab/>
      </w:r>
      <w:r>
        <w:rPr>
          <w:sz w:val="28"/>
          <w:szCs w:val="28"/>
        </w:rPr>
        <w:fldChar w:fldCharType="begin"/>
      </w:r>
      <w:r>
        <w:rPr>
          <w:sz w:val="28"/>
          <w:szCs w:val="28"/>
        </w:rPr>
        <w:instrText xml:space="preserve"> PAGEREF _Toc24487 \h </w:instrText>
      </w:r>
      <w:r>
        <w:rPr>
          <w:sz w:val="28"/>
          <w:szCs w:val="28"/>
        </w:rPr>
        <w:fldChar w:fldCharType="separate"/>
      </w:r>
      <w:r>
        <w:rPr>
          <w:sz w:val="28"/>
          <w:szCs w:val="28"/>
        </w:rPr>
        <w:t>19</w:t>
      </w:r>
      <w:r>
        <w:rPr>
          <w:sz w:val="28"/>
          <w:szCs w:val="28"/>
        </w:rPr>
        <w:fldChar w:fldCharType="end"/>
      </w:r>
      <w:r>
        <w:rPr>
          <w:sz w:val="28"/>
          <w:szCs w:val="28"/>
        </w:rPr>
        <w:fldChar w:fldCharType="end"/>
      </w:r>
    </w:p>
    <w:p>
      <w:pPr>
        <w:pStyle w:val="26"/>
        <w:tabs>
          <w:tab w:val="right" w:leader="dot" w:pos="8786"/>
          <w:tab w:val="clear" w:pos="1260"/>
          <w:tab w:val="clear" w:pos="9060"/>
        </w:tabs>
        <w:rPr>
          <w:sz w:val="28"/>
          <w:szCs w:val="28"/>
        </w:rPr>
      </w:pPr>
      <w:r>
        <w:fldChar w:fldCharType="begin"/>
      </w:r>
      <w:r>
        <w:instrText xml:space="preserve"> HYPERLINK \l "_Toc21" </w:instrText>
      </w:r>
      <w:r>
        <w:fldChar w:fldCharType="separate"/>
      </w:r>
      <w:r>
        <w:rPr>
          <w:rFonts w:hint="eastAsia"/>
          <w:sz w:val="28"/>
          <w:szCs w:val="28"/>
        </w:rPr>
        <w:t>3.4 规划范围</w:t>
      </w:r>
      <w:r>
        <w:rPr>
          <w:sz w:val="28"/>
          <w:szCs w:val="28"/>
        </w:rPr>
        <w:tab/>
      </w:r>
      <w:r>
        <w:rPr>
          <w:sz w:val="28"/>
          <w:szCs w:val="28"/>
        </w:rPr>
        <w:fldChar w:fldCharType="begin"/>
      </w:r>
      <w:r>
        <w:rPr>
          <w:sz w:val="28"/>
          <w:szCs w:val="28"/>
        </w:rPr>
        <w:instrText xml:space="preserve"> PAGEREF _Toc21 \h </w:instrText>
      </w:r>
      <w:r>
        <w:rPr>
          <w:sz w:val="28"/>
          <w:szCs w:val="28"/>
        </w:rPr>
        <w:fldChar w:fldCharType="separate"/>
      </w:r>
      <w:r>
        <w:rPr>
          <w:sz w:val="28"/>
          <w:szCs w:val="28"/>
        </w:rPr>
        <w:t>21</w:t>
      </w:r>
      <w:r>
        <w:rPr>
          <w:sz w:val="28"/>
          <w:szCs w:val="28"/>
        </w:rPr>
        <w:fldChar w:fldCharType="end"/>
      </w:r>
      <w:r>
        <w:rPr>
          <w:sz w:val="28"/>
          <w:szCs w:val="28"/>
        </w:rPr>
        <w:fldChar w:fldCharType="end"/>
      </w:r>
    </w:p>
    <w:p>
      <w:pPr>
        <w:pStyle w:val="26"/>
        <w:tabs>
          <w:tab w:val="right" w:leader="dot" w:pos="8786"/>
          <w:tab w:val="clear" w:pos="1260"/>
          <w:tab w:val="clear" w:pos="9060"/>
        </w:tabs>
        <w:rPr>
          <w:sz w:val="28"/>
          <w:szCs w:val="28"/>
        </w:rPr>
      </w:pPr>
      <w:r>
        <w:fldChar w:fldCharType="begin"/>
      </w:r>
      <w:r>
        <w:instrText xml:space="preserve"> HYPERLINK \l "_Toc2191" </w:instrText>
      </w:r>
      <w:r>
        <w:fldChar w:fldCharType="separate"/>
      </w:r>
      <w:r>
        <w:rPr>
          <w:rFonts w:hint="eastAsia"/>
          <w:sz w:val="28"/>
          <w:szCs w:val="28"/>
        </w:rPr>
        <w:t>3.5 规划水平年</w:t>
      </w:r>
      <w:r>
        <w:rPr>
          <w:sz w:val="28"/>
          <w:szCs w:val="28"/>
        </w:rPr>
        <w:tab/>
      </w:r>
      <w:r>
        <w:rPr>
          <w:sz w:val="28"/>
          <w:szCs w:val="28"/>
        </w:rPr>
        <w:fldChar w:fldCharType="begin"/>
      </w:r>
      <w:r>
        <w:rPr>
          <w:sz w:val="28"/>
          <w:szCs w:val="28"/>
        </w:rPr>
        <w:instrText xml:space="preserve"> PAGEREF _Toc2191 \h </w:instrText>
      </w:r>
      <w:r>
        <w:rPr>
          <w:sz w:val="28"/>
          <w:szCs w:val="28"/>
        </w:rPr>
        <w:fldChar w:fldCharType="separate"/>
      </w:r>
      <w:r>
        <w:rPr>
          <w:sz w:val="28"/>
          <w:szCs w:val="28"/>
        </w:rPr>
        <w:t>21</w:t>
      </w:r>
      <w:r>
        <w:rPr>
          <w:sz w:val="28"/>
          <w:szCs w:val="28"/>
        </w:rPr>
        <w:fldChar w:fldCharType="end"/>
      </w:r>
      <w:r>
        <w:rPr>
          <w:sz w:val="28"/>
          <w:szCs w:val="28"/>
        </w:rPr>
        <w:fldChar w:fldCharType="end"/>
      </w:r>
    </w:p>
    <w:p>
      <w:pPr>
        <w:pStyle w:val="26"/>
        <w:tabs>
          <w:tab w:val="right" w:leader="dot" w:pos="8786"/>
          <w:tab w:val="clear" w:pos="1260"/>
          <w:tab w:val="clear" w:pos="9060"/>
        </w:tabs>
        <w:rPr>
          <w:sz w:val="28"/>
          <w:szCs w:val="28"/>
        </w:rPr>
      </w:pPr>
      <w:r>
        <w:fldChar w:fldCharType="begin"/>
      </w:r>
      <w:r>
        <w:instrText xml:space="preserve"> HYPERLINK \l "_Toc132" </w:instrText>
      </w:r>
      <w:r>
        <w:fldChar w:fldCharType="separate"/>
      </w:r>
      <w:r>
        <w:rPr>
          <w:rFonts w:hint="eastAsia"/>
          <w:sz w:val="28"/>
          <w:szCs w:val="28"/>
        </w:rPr>
        <w:t>3.6 规划目标</w:t>
      </w:r>
      <w:r>
        <w:rPr>
          <w:sz w:val="28"/>
          <w:szCs w:val="28"/>
        </w:rPr>
        <w:tab/>
      </w:r>
      <w:r>
        <w:rPr>
          <w:sz w:val="28"/>
          <w:szCs w:val="28"/>
        </w:rPr>
        <w:fldChar w:fldCharType="begin"/>
      </w:r>
      <w:r>
        <w:rPr>
          <w:sz w:val="28"/>
          <w:szCs w:val="28"/>
        </w:rPr>
        <w:instrText xml:space="preserve"> PAGEREF _Toc132 \h </w:instrText>
      </w:r>
      <w:r>
        <w:rPr>
          <w:sz w:val="28"/>
          <w:szCs w:val="28"/>
        </w:rPr>
        <w:fldChar w:fldCharType="separate"/>
      </w:r>
      <w:r>
        <w:rPr>
          <w:sz w:val="28"/>
          <w:szCs w:val="28"/>
        </w:rPr>
        <w:t>21</w:t>
      </w:r>
      <w:r>
        <w:rPr>
          <w:sz w:val="28"/>
          <w:szCs w:val="28"/>
        </w:rPr>
        <w:fldChar w:fldCharType="end"/>
      </w:r>
      <w:r>
        <w:rPr>
          <w:sz w:val="28"/>
          <w:szCs w:val="28"/>
        </w:rPr>
        <w:fldChar w:fldCharType="end"/>
      </w:r>
    </w:p>
    <w:p>
      <w:pPr>
        <w:pStyle w:val="22"/>
        <w:tabs>
          <w:tab w:val="right" w:leader="dot" w:pos="8786"/>
        </w:tabs>
        <w:rPr>
          <w:sz w:val="28"/>
          <w:szCs w:val="28"/>
        </w:rPr>
      </w:pPr>
      <w:r>
        <w:fldChar w:fldCharType="begin"/>
      </w:r>
      <w:r>
        <w:instrText xml:space="preserve"> HYPERLINK \l "_Toc14439" </w:instrText>
      </w:r>
      <w:r>
        <w:fldChar w:fldCharType="separate"/>
      </w:r>
      <w:r>
        <w:rPr>
          <w:rFonts w:hint="eastAsia"/>
          <w:sz w:val="28"/>
          <w:szCs w:val="28"/>
        </w:rPr>
        <w:t>4 总体布局与规划建设内容</w:t>
      </w:r>
      <w:r>
        <w:rPr>
          <w:sz w:val="28"/>
          <w:szCs w:val="28"/>
        </w:rPr>
        <w:tab/>
      </w:r>
      <w:r>
        <w:rPr>
          <w:sz w:val="28"/>
          <w:szCs w:val="28"/>
        </w:rPr>
        <w:fldChar w:fldCharType="begin"/>
      </w:r>
      <w:r>
        <w:rPr>
          <w:sz w:val="28"/>
          <w:szCs w:val="28"/>
        </w:rPr>
        <w:instrText xml:space="preserve"> PAGEREF _Toc14439 \h </w:instrText>
      </w:r>
      <w:r>
        <w:rPr>
          <w:sz w:val="28"/>
          <w:szCs w:val="28"/>
        </w:rPr>
        <w:fldChar w:fldCharType="separate"/>
      </w:r>
      <w:r>
        <w:rPr>
          <w:sz w:val="28"/>
          <w:szCs w:val="28"/>
        </w:rPr>
        <w:t>24</w:t>
      </w:r>
      <w:r>
        <w:rPr>
          <w:sz w:val="28"/>
          <w:szCs w:val="28"/>
        </w:rPr>
        <w:fldChar w:fldCharType="end"/>
      </w:r>
      <w:r>
        <w:rPr>
          <w:sz w:val="28"/>
          <w:szCs w:val="28"/>
        </w:rPr>
        <w:fldChar w:fldCharType="end"/>
      </w:r>
    </w:p>
    <w:p>
      <w:pPr>
        <w:pStyle w:val="26"/>
        <w:tabs>
          <w:tab w:val="right" w:leader="dot" w:pos="8786"/>
          <w:tab w:val="clear" w:pos="1260"/>
          <w:tab w:val="clear" w:pos="9060"/>
        </w:tabs>
        <w:rPr>
          <w:sz w:val="28"/>
          <w:szCs w:val="28"/>
        </w:rPr>
      </w:pPr>
      <w:r>
        <w:fldChar w:fldCharType="begin"/>
      </w:r>
      <w:r>
        <w:instrText xml:space="preserve"> HYPERLINK \l "_Toc30118" </w:instrText>
      </w:r>
      <w:r>
        <w:fldChar w:fldCharType="separate"/>
      </w:r>
      <w:r>
        <w:rPr>
          <w:rFonts w:hint="eastAsia"/>
          <w:sz w:val="28"/>
          <w:szCs w:val="28"/>
        </w:rPr>
        <w:t>4.1 总体布局</w:t>
      </w:r>
      <w:r>
        <w:rPr>
          <w:sz w:val="28"/>
          <w:szCs w:val="28"/>
        </w:rPr>
        <w:tab/>
      </w:r>
      <w:r>
        <w:rPr>
          <w:sz w:val="28"/>
          <w:szCs w:val="28"/>
        </w:rPr>
        <w:fldChar w:fldCharType="begin"/>
      </w:r>
      <w:r>
        <w:rPr>
          <w:sz w:val="28"/>
          <w:szCs w:val="28"/>
        </w:rPr>
        <w:instrText xml:space="preserve"> PAGEREF _Toc30118 \h </w:instrText>
      </w:r>
      <w:r>
        <w:rPr>
          <w:sz w:val="28"/>
          <w:szCs w:val="28"/>
        </w:rPr>
        <w:fldChar w:fldCharType="separate"/>
      </w:r>
      <w:r>
        <w:rPr>
          <w:sz w:val="28"/>
          <w:szCs w:val="28"/>
        </w:rPr>
        <w:t>24</w:t>
      </w:r>
      <w:r>
        <w:rPr>
          <w:sz w:val="28"/>
          <w:szCs w:val="28"/>
        </w:rPr>
        <w:fldChar w:fldCharType="end"/>
      </w:r>
      <w:r>
        <w:rPr>
          <w:sz w:val="28"/>
          <w:szCs w:val="28"/>
        </w:rPr>
        <w:fldChar w:fldCharType="end"/>
      </w:r>
    </w:p>
    <w:p>
      <w:pPr>
        <w:pStyle w:val="26"/>
        <w:tabs>
          <w:tab w:val="right" w:leader="dot" w:pos="8786"/>
          <w:tab w:val="clear" w:pos="1260"/>
          <w:tab w:val="clear" w:pos="9060"/>
        </w:tabs>
        <w:rPr>
          <w:sz w:val="28"/>
          <w:szCs w:val="28"/>
        </w:rPr>
      </w:pPr>
      <w:r>
        <w:fldChar w:fldCharType="begin"/>
      </w:r>
      <w:r>
        <w:instrText xml:space="preserve"> HYPERLINK \l "_Toc679" </w:instrText>
      </w:r>
      <w:r>
        <w:fldChar w:fldCharType="separate"/>
      </w:r>
      <w:r>
        <w:rPr>
          <w:rFonts w:hint="eastAsia"/>
          <w:sz w:val="28"/>
          <w:szCs w:val="28"/>
        </w:rPr>
        <w:t>4.2 规划建设内容</w:t>
      </w:r>
      <w:r>
        <w:rPr>
          <w:sz w:val="28"/>
          <w:szCs w:val="28"/>
        </w:rPr>
        <w:tab/>
      </w:r>
      <w:r>
        <w:rPr>
          <w:sz w:val="28"/>
          <w:szCs w:val="28"/>
        </w:rPr>
        <w:fldChar w:fldCharType="begin"/>
      </w:r>
      <w:r>
        <w:rPr>
          <w:sz w:val="28"/>
          <w:szCs w:val="28"/>
        </w:rPr>
        <w:instrText xml:space="preserve"> PAGEREF _Toc679 \h </w:instrText>
      </w:r>
      <w:r>
        <w:rPr>
          <w:sz w:val="28"/>
          <w:szCs w:val="28"/>
        </w:rPr>
        <w:fldChar w:fldCharType="separate"/>
      </w:r>
      <w:r>
        <w:rPr>
          <w:sz w:val="28"/>
          <w:szCs w:val="28"/>
        </w:rPr>
        <w:t>24</w:t>
      </w:r>
      <w:r>
        <w:rPr>
          <w:sz w:val="28"/>
          <w:szCs w:val="28"/>
        </w:rPr>
        <w:fldChar w:fldCharType="end"/>
      </w:r>
      <w:r>
        <w:rPr>
          <w:sz w:val="28"/>
          <w:szCs w:val="28"/>
        </w:rPr>
        <w:fldChar w:fldCharType="end"/>
      </w:r>
    </w:p>
    <w:p>
      <w:pPr>
        <w:pStyle w:val="26"/>
        <w:tabs>
          <w:tab w:val="right" w:leader="dot" w:pos="8786"/>
          <w:tab w:val="clear" w:pos="1260"/>
          <w:tab w:val="clear" w:pos="9060"/>
        </w:tabs>
        <w:rPr>
          <w:sz w:val="28"/>
          <w:szCs w:val="28"/>
        </w:rPr>
      </w:pPr>
      <w:r>
        <w:fldChar w:fldCharType="begin"/>
      </w:r>
      <w:r>
        <w:instrText xml:space="preserve"> HYPERLINK \l "_Toc29467" </w:instrText>
      </w:r>
      <w:r>
        <w:fldChar w:fldCharType="separate"/>
      </w:r>
      <w:r>
        <w:rPr>
          <w:rFonts w:hint="eastAsia"/>
          <w:sz w:val="28"/>
          <w:szCs w:val="28"/>
        </w:rPr>
        <w:t>4.3 “十四五”规划项目汇总表</w:t>
      </w:r>
      <w:r>
        <w:rPr>
          <w:sz w:val="28"/>
          <w:szCs w:val="28"/>
        </w:rPr>
        <w:tab/>
      </w:r>
      <w:r>
        <w:rPr>
          <w:sz w:val="28"/>
          <w:szCs w:val="28"/>
        </w:rPr>
        <w:fldChar w:fldCharType="begin"/>
      </w:r>
      <w:r>
        <w:rPr>
          <w:sz w:val="28"/>
          <w:szCs w:val="28"/>
        </w:rPr>
        <w:instrText xml:space="preserve"> PAGEREF _Toc29467 \h </w:instrText>
      </w:r>
      <w:r>
        <w:rPr>
          <w:sz w:val="28"/>
          <w:szCs w:val="28"/>
        </w:rPr>
        <w:fldChar w:fldCharType="separate"/>
      </w:r>
      <w:r>
        <w:rPr>
          <w:sz w:val="28"/>
          <w:szCs w:val="28"/>
        </w:rPr>
        <w:t>33</w:t>
      </w:r>
      <w:r>
        <w:rPr>
          <w:sz w:val="28"/>
          <w:szCs w:val="28"/>
        </w:rPr>
        <w:fldChar w:fldCharType="end"/>
      </w:r>
      <w:r>
        <w:rPr>
          <w:sz w:val="28"/>
          <w:szCs w:val="28"/>
        </w:rPr>
        <w:fldChar w:fldCharType="end"/>
      </w:r>
    </w:p>
    <w:p>
      <w:pPr>
        <w:pStyle w:val="22"/>
        <w:tabs>
          <w:tab w:val="right" w:leader="dot" w:pos="8786"/>
        </w:tabs>
        <w:rPr>
          <w:sz w:val="28"/>
          <w:szCs w:val="28"/>
        </w:rPr>
      </w:pPr>
      <w:r>
        <w:fldChar w:fldCharType="begin"/>
      </w:r>
      <w:r>
        <w:instrText xml:space="preserve"> HYPERLINK \l "_Toc27211" </w:instrText>
      </w:r>
      <w:r>
        <w:fldChar w:fldCharType="separate"/>
      </w:r>
      <w:r>
        <w:rPr>
          <w:rFonts w:hint="eastAsia"/>
          <w:sz w:val="28"/>
          <w:szCs w:val="28"/>
        </w:rPr>
        <w:t>5 规划环境影响评价</w:t>
      </w:r>
      <w:r>
        <w:rPr>
          <w:sz w:val="28"/>
          <w:szCs w:val="28"/>
        </w:rPr>
        <w:tab/>
      </w:r>
      <w:r>
        <w:rPr>
          <w:sz w:val="28"/>
          <w:szCs w:val="28"/>
        </w:rPr>
        <w:fldChar w:fldCharType="begin"/>
      </w:r>
      <w:r>
        <w:rPr>
          <w:sz w:val="28"/>
          <w:szCs w:val="28"/>
        </w:rPr>
        <w:instrText xml:space="preserve"> PAGEREF _Toc27211 \h </w:instrText>
      </w:r>
      <w:r>
        <w:rPr>
          <w:sz w:val="28"/>
          <w:szCs w:val="28"/>
        </w:rPr>
        <w:fldChar w:fldCharType="separate"/>
      </w:r>
      <w:r>
        <w:rPr>
          <w:sz w:val="28"/>
          <w:szCs w:val="28"/>
        </w:rPr>
        <w:t>35</w:t>
      </w:r>
      <w:r>
        <w:rPr>
          <w:sz w:val="28"/>
          <w:szCs w:val="28"/>
        </w:rPr>
        <w:fldChar w:fldCharType="end"/>
      </w:r>
      <w:r>
        <w:rPr>
          <w:sz w:val="28"/>
          <w:szCs w:val="28"/>
        </w:rPr>
        <w:fldChar w:fldCharType="end"/>
      </w:r>
    </w:p>
    <w:p>
      <w:pPr>
        <w:pStyle w:val="22"/>
        <w:tabs>
          <w:tab w:val="right" w:leader="dot" w:pos="8786"/>
        </w:tabs>
        <w:rPr>
          <w:sz w:val="28"/>
          <w:szCs w:val="28"/>
        </w:rPr>
      </w:pPr>
      <w:r>
        <w:fldChar w:fldCharType="begin"/>
      </w:r>
      <w:r>
        <w:instrText xml:space="preserve"> HYPERLINK \l "_Toc15945" </w:instrText>
      </w:r>
      <w:r>
        <w:fldChar w:fldCharType="separate"/>
      </w:r>
      <w:r>
        <w:rPr>
          <w:rFonts w:hint="eastAsia"/>
          <w:sz w:val="28"/>
          <w:szCs w:val="28"/>
        </w:rPr>
        <w:t>6 投资测算及效果分析</w:t>
      </w:r>
      <w:r>
        <w:rPr>
          <w:sz w:val="28"/>
          <w:szCs w:val="28"/>
        </w:rPr>
        <w:tab/>
      </w:r>
      <w:r>
        <w:rPr>
          <w:sz w:val="28"/>
          <w:szCs w:val="28"/>
        </w:rPr>
        <w:fldChar w:fldCharType="begin"/>
      </w:r>
      <w:r>
        <w:rPr>
          <w:sz w:val="28"/>
          <w:szCs w:val="28"/>
        </w:rPr>
        <w:instrText xml:space="preserve"> PAGEREF _Toc15945 \h </w:instrText>
      </w:r>
      <w:r>
        <w:rPr>
          <w:sz w:val="28"/>
          <w:szCs w:val="28"/>
        </w:rPr>
        <w:fldChar w:fldCharType="separate"/>
      </w:r>
      <w:r>
        <w:rPr>
          <w:sz w:val="28"/>
          <w:szCs w:val="28"/>
        </w:rPr>
        <w:t>37</w:t>
      </w:r>
      <w:r>
        <w:rPr>
          <w:sz w:val="28"/>
          <w:szCs w:val="28"/>
        </w:rPr>
        <w:fldChar w:fldCharType="end"/>
      </w:r>
      <w:r>
        <w:rPr>
          <w:sz w:val="28"/>
          <w:szCs w:val="28"/>
        </w:rPr>
        <w:fldChar w:fldCharType="end"/>
      </w:r>
    </w:p>
    <w:p>
      <w:pPr>
        <w:pStyle w:val="26"/>
        <w:tabs>
          <w:tab w:val="right" w:leader="dot" w:pos="8786"/>
          <w:tab w:val="clear" w:pos="1260"/>
          <w:tab w:val="clear" w:pos="9060"/>
        </w:tabs>
        <w:rPr>
          <w:sz w:val="28"/>
          <w:szCs w:val="28"/>
        </w:rPr>
      </w:pPr>
      <w:r>
        <w:fldChar w:fldCharType="begin"/>
      </w:r>
      <w:r>
        <w:instrText xml:space="preserve"> HYPERLINK \l "_Toc7184" </w:instrText>
      </w:r>
      <w:r>
        <w:fldChar w:fldCharType="separate"/>
      </w:r>
      <w:r>
        <w:rPr>
          <w:rFonts w:hint="eastAsia"/>
          <w:sz w:val="28"/>
          <w:szCs w:val="28"/>
        </w:rPr>
        <w:t>6.1 投资测算</w:t>
      </w:r>
      <w:r>
        <w:rPr>
          <w:sz w:val="28"/>
          <w:szCs w:val="28"/>
        </w:rPr>
        <w:tab/>
      </w:r>
      <w:r>
        <w:rPr>
          <w:sz w:val="28"/>
          <w:szCs w:val="28"/>
        </w:rPr>
        <w:fldChar w:fldCharType="begin"/>
      </w:r>
      <w:r>
        <w:rPr>
          <w:sz w:val="28"/>
          <w:szCs w:val="28"/>
        </w:rPr>
        <w:instrText xml:space="preserve"> PAGEREF _Toc7184 \h </w:instrText>
      </w:r>
      <w:r>
        <w:rPr>
          <w:sz w:val="28"/>
          <w:szCs w:val="28"/>
        </w:rPr>
        <w:fldChar w:fldCharType="separate"/>
      </w:r>
      <w:r>
        <w:rPr>
          <w:sz w:val="28"/>
          <w:szCs w:val="28"/>
        </w:rPr>
        <w:t>37</w:t>
      </w:r>
      <w:r>
        <w:rPr>
          <w:sz w:val="28"/>
          <w:szCs w:val="28"/>
        </w:rPr>
        <w:fldChar w:fldCharType="end"/>
      </w:r>
      <w:r>
        <w:rPr>
          <w:sz w:val="28"/>
          <w:szCs w:val="28"/>
        </w:rPr>
        <w:fldChar w:fldCharType="end"/>
      </w:r>
    </w:p>
    <w:p>
      <w:pPr>
        <w:pStyle w:val="26"/>
        <w:tabs>
          <w:tab w:val="right" w:leader="dot" w:pos="8786"/>
          <w:tab w:val="clear" w:pos="1260"/>
          <w:tab w:val="clear" w:pos="9060"/>
        </w:tabs>
        <w:rPr>
          <w:sz w:val="28"/>
          <w:szCs w:val="28"/>
        </w:rPr>
      </w:pPr>
      <w:r>
        <w:fldChar w:fldCharType="begin"/>
      </w:r>
      <w:r>
        <w:instrText xml:space="preserve"> HYPERLINK \l "_Toc8738" </w:instrText>
      </w:r>
      <w:r>
        <w:fldChar w:fldCharType="separate"/>
      </w:r>
      <w:r>
        <w:rPr>
          <w:rFonts w:hint="eastAsia"/>
          <w:sz w:val="28"/>
          <w:szCs w:val="28"/>
        </w:rPr>
        <w:t>6.2 资金筹措</w:t>
      </w:r>
      <w:r>
        <w:rPr>
          <w:sz w:val="28"/>
          <w:szCs w:val="28"/>
        </w:rPr>
        <w:tab/>
      </w:r>
      <w:r>
        <w:rPr>
          <w:sz w:val="28"/>
          <w:szCs w:val="28"/>
        </w:rPr>
        <w:fldChar w:fldCharType="begin"/>
      </w:r>
      <w:r>
        <w:rPr>
          <w:sz w:val="28"/>
          <w:szCs w:val="28"/>
        </w:rPr>
        <w:instrText xml:space="preserve"> PAGEREF _Toc8738 \h </w:instrText>
      </w:r>
      <w:r>
        <w:rPr>
          <w:sz w:val="28"/>
          <w:szCs w:val="28"/>
        </w:rPr>
        <w:fldChar w:fldCharType="separate"/>
      </w:r>
      <w:r>
        <w:rPr>
          <w:sz w:val="28"/>
          <w:szCs w:val="28"/>
        </w:rPr>
        <w:t>37</w:t>
      </w:r>
      <w:r>
        <w:rPr>
          <w:sz w:val="28"/>
          <w:szCs w:val="28"/>
        </w:rPr>
        <w:fldChar w:fldCharType="end"/>
      </w:r>
      <w:r>
        <w:rPr>
          <w:sz w:val="28"/>
          <w:szCs w:val="28"/>
        </w:rPr>
        <w:fldChar w:fldCharType="end"/>
      </w:r>
    </w:p>
    <w:p>
      <w:pPr>
        <w:pStyle w:val="26"/>
        <w:tabs>
          <w:tab w:val="right" w:leader="dot" w:pos="8786"/>
          <w:tab w:val="clear" w:pos="1260"/>
          <w:tab w:val="clear" w:pos="9060"/>
        </w:tabs>
        <w:rPr>
          <w:sz w:val="28"/>
          <w:szCs w:val="28"/>
        </w:rPr>
      </w:pPr>
      <w:r>
        <w:fldChar w:fldCharType="begin"/>
      </w:r>
      <w:r>
        <w:instrText xml:space="preserve"> HYPERLINK \l "_Toc27564" </w:instrText>
      </w:r>
      <w:r>
        <w:fldChar w:fldCharType="separate"/>
      </w:r>
      <w:r>
        <w:rPr>
          <w:rFonts w:hint="eastAsia"/>
          <w:sz w:val="28"/>
          <w:szCs w:val="28"/>
        </w:rPr>
        <w:t>6.3 效果分析</w:t>
      </w:r>
      <w:r>
        <w:rPr>
          <w:sz w:val="28"/>
          <w:szCs w:val="28"/>
        </w:rPr>
        <w:tab/>
      </w:r>
      <w:r>
        <w:rPr>
          <w:sz w:val="28"/>
          <w:szCs w:val="28"/>
        </w:rPr>
        <w:fldChar w:fldCharType="begin"/>
      </w:r>
      <w:r>
        <w:rPr>
          <w:sz w:val="28"/>
          <w:szCs w:val="28"/>
        </w:rPr>
        <w:instrText xml:space="preserve"> PAGEREF _Toc27564 \h </w:instrText>
      </w:r>
      <w:r>
        <w:rPr>
          <w:sz w:val="28"/>
          <w:szCs w:val="28"/>
        </w:rPr>
        <w:fldChar w:fldCharType="separate"/>
      </w:r>
      <w:r>
        <w:rPr>
          <w:sz w:val="28"/>
          <w:szCs w:val="28"/>
        </w:rPr>
        <w:t>39</w:t>
      </w:r>
      <w:r>
        <w:rPr>
          <w:sz w:val="28"/>
          <w:szCs w:val="28"/>
        </w:rPr>
        <w:fldChar w:fldCharType="end"/>
      </w:r>
      <w:r>
        <w:rPr>
          <w:sz w:val="28"/>
          <w:szCs w:val="28"/>
        </w:rPr>
        <w:fldChar w:fldCharType="end"/>
      </w:r>
    </w:p>
    <w:p>
      <w:pPr>
        <w:pStyle w:val="22"/>
        <w:tabs>
          <w:tab w:val="right" w:leader="dot" w:pos="8786"/>
        </w:tabs>
        <w:rPr>
          <w:sz w:val="28"/>
          <w:szCs w:val="28"/>
        </w:rPr>
      </w:pPr>
      <w:r>
        <w:fldChar w:fldCharType="begin"/>
      </w:r>
      <w:r>
        <w:instrText xml:space="preserve"> HYPERLINK \l "_Toc3584" </w:instrText>
      </w:r>
      <w:r>
        <w:fldChar w:fldCharType="separate"/>
      </w:r>
      <w:r>
        <w:rPr>
          <w:rFonts w:hint="eastAsia"/>
          <w:sz w:val="28"/>
          <w:szCs w:val="28"/>
        </w:rPr>
        <w:t>7 保障措施</w:t>
      </w:r>
      <w:r>
        <w:rPr>
          <w:sz w:val="28"/>
          <w:szCs w:val="28"/>
        </w:rPr>
        <w:tab/>
      </w:r>
      <w:r>
        <w:rPr>
          <w:sz w:val="28"/>
          <w:szCs w:val="28"/>
        </w:rPr>
        <w:fldChar w:fldCharType="begin"/>
      </w:r>
      <w:r>
        <w:rPr>
          <w:sz w:val="28"/>
          <w:szCs w:val="28"/>
        </w:rPr>
        <w:instrText xml:space="preserve"> PAGEREF _Toc3584 \h </w:instrText>
      </w:r>
      <w:r>
        <w:rPr>
          <w:sz w:val="28"/>
          <w:szCs w:val="28"/>
        </w:rPr>
        <w:fldChar w:fldCharType="separate"/>
      </w:r>
      <w:r>
        <w:rPr>
          <w:sz w:val="28"/>
          <w:szCs w:val="28"/>
        </w:rPr>
        <w:t>40</w:t>
      </w:r>
      <w:r>
        <w:rPr>
          <w:sz w:val="28"/>
          <w:szCs w:val="28"/>
        </w:rPr>
        <w:fldChar w:fldCharType="end"/>
      </w:r>
      <w:r>
        <w:rPr>
          <w:sz w:val="28"/>
          <w:szCs w:val="28"/>
        </w:rPr>
        <w:fldChar w:fldCharType="end"/>
      </w:r>
    </w:p>
    <w:p>
      <w:pPr>
        <w:pStyle w:val="26"/>
        <w:tabs>
          <w:tab w:val="right" w:leader="dot" w:pos="8786"/>
          <w:tab w:val="clear" w:pos="1260"/>
          <w:tab w:val="clear" w:pos="9060"/>
        </w:tabs>
        <w:rPr>
          <w:sz w:val="28"/>
          <w:szCs w:val="28"/>
        </w:rPr>
      </w:pPr>
      <w:r>
        <w:fldChar w:fldCharType="begin"/>
      </w:r>
      <w:r>
        <w:instrText xml:space="preserve"> HYPERLINK \l "_Toc13209" </w:instrText>
      </w:r>
      <w:r>
        <w:fldChar w:fldCharType="separate"/>
      </w:r>
      <w:r>
        <w:rPr>
          <w:rFonts w:hint="eastAsia"/>
          <w:sz w:val="28"/>
          <w:szCs w:val="28"/>
        </w:rPr>
        <w:t>7.1 加强组织领导</w:t>
      </w:r>
      <w:r>
        <w:rPr>
          <w:sz w:val="28"/>
          <w:szCs w:val="28"/>
        </w:rPr>
        <w:tab/>
      </w:r>
      <w:r>
        <w:rPr>
          <w:sz w:val="28"/>
          <w:szCs w:val="28"/>
        </w:rPr>
        <w:fldChar w:fldCharType="begin"/>
      </w:r>
      <w:r>
        <w:rPr>
          <w:sz w:val="28"/>
          <w:szCs w:val="28"/>
        </w:rPr>
        <w:instrText xml:space="preserve"> PAGEREF _Toc13209 \h </w:instrText>
      </w:r>
      <w:r>
        <w:rPr>
          <w:sz w:val="28"/>
          <w:szCs w:val="28"/>
        </w:rPr>
        <w:fldChar w:fldCharType="separate"/>
      </w:r>
      <w:r>
        <w:rPr>
          <w:sz w:val="28"/>
          <w:szCs w:val="28"/>
        </w:rPr>
        <w:t>40</w:t>
      </w:r>
      <w:r>
        <w:rPr>
          <w:sz w:val="28"/>
          <w:szCs w:val="28"/>
        </w:rPr>
        <w:fldChar w:fldCharType="end"/>
      </w:r>
      <w:r>
        <w:rPr>
          <w:sz w:val="28"/>
          <w:szCs w:val="28"/>
        </w:rPr>
        <w:fldChar w:fldCharType="end"/>
      </w:r>
    </w:p>
    <w:p>
      <w:pPr>
        <w:pStyle w:val="26"/>
        <w:tabs>
          <w:tab w:val="right" w:leader="dot" w:pos="8786"/>
          <w:tab w:val="clear" w:pos="1260"/>
          <w:tab w:val="clear" w:pos="9060"/>
        </w:tabs>
        <w:rPr>
          <w:sz w:val="28"/>
          <w:szCs w:val="28"/>
        </w:rPr>
      </w:pPr>
      <w:r>
        <w:fldChar w:fldCharType="begin"/>
      </w:r>
      <w:r>
        <w:instrText xml:space="preserve"> HYPERLINK \l "_Toc16574" </w:instrText>
      </w:r>
      <w:r>
        <w:fldChar w:fldCharType="separate"/>
      </w:r>
      <w:r>
        <w:rPr>
          <w:rFonts w:hint="eastAsia"/>
          <w:sz w:val="28"/>
          <w:szCs w:val="28"/>
        </w:rPr>
        <w:t>7.2 落实任务分工</w:t>
      </w:r>
      <w:r>
        <w:rPr>
          <w:sz w:val="28"/>
          <w:szCs w:val="28"/>
        </w:rPr>
        <w:tab/>
      </w:r>
      <w:r>
        <w:rPr>
          <w:sz w:val="28"/>
          <w:szCs w:val="28"/>
        </w:rPr>
        <w:fldChar w:fldCharType="begin"/>
      </w:r>
      <w:r>
        <w:rPr>
          <w:sz w:val="28"/>
          <w:szCs w:val="28"/>
        </w:rPr>
        <w:instrText xml:space="preserve"> PAGEREF _Toc16574 \h </w:instrText>
      </w:r>
      <w:r>
        <w:rPr>
          <w:sz w:val="28"/>
          <w:szCs w:val="28"/>
        </w:rPr>
        <w:fldChar w:fldCharType="separate"/>
      </w:r>
      <w:r>
        <w:rPr>
          <w:sz w:val="28"/>
          <w:szCs w:val="28"/>
        </w:rPr>
        <w:t>41</w:t>
      </w:r>
      <w:r>
        <w:rPr>
          <w:sz w:val="28"/>
          <w:szCs w:val="28"/>
        </w:rPr>
        <w:fldChar w:fldCharType="end"/>
      </w:r>
      <w:r>
        <w:rPr>
          <w:sz w:val="28"/>
          <w:szCs w:val="28"/>
        </w:rPr>
        <w:fldChar w:fldCharType="end"/>
      </w:r>
    </w:p>
    <w:p>
      <w:pPr>
        <w:pStyle w:val="26"/>
        <w:tabs>
          <w:tab w:val="right" w:leader="dot" w:pos="8786"/>
          <w:tab w:val="clear" w:pos="1260"/>
          <w:tab w:val="clear" w:pos="9060"/>
        </w:tabs>
        <w:rPr>
          <w:sz w:val="28"/>
          <w:szCs w:val="28"/>
        </w:rPr>
      </w:pPr>
      <w:r>
        <w:fldChar w:fldCharType="begin"/>
      </w:r>
      <w:r>
        <w:instrText xml:space="preserve"> HYPERLINK \l "_Toc29808" </w:instrText>
      </w:r>
      <w:r>
        <w:fldChar w:fldCharType="separate"/>
      </w:r>
      <w:r>
        <w:rPr>
          <w:rFonts w:hint="eastAsia"/>
          <w:sz w:val="28"/>
          <w:szCs w:val="28"/>
        </w:rPr>
        <w:t>7.3 保障建设资金</w:t>
      </w:r>
      <w:r>
        <w:rPr>
          <w:sz w:val="28"/>
          <w:szCs w:val="28"/>
        </w:rPr>
        <w:tab/>
      </w:r>
      <w:r>
        <w:rPr>
          <w:sz w:val="28"/>
          <w:szCs w:val="28"/>
        </w:rPr>
        <w:fldChar w:fldCharType="begin"/>
      </w:r>
      <w:r>
        <w:rPr>
          <w:sz w:val="28"/>
          <w:szCs w:val="28"/>
        </w:rPr>
        <w:instrText xml:space="preserve"> PAGEREF _Toc29808 \h </w:instrText>
      </w:r>
      <w:r>
        <w:rPr>
          <w:sz w:val="28"/>
          <w:szCs w:val="28"/>
        </w:rPr>
        <w:fldChar w:fldCharType="separate"/>
      </w:r>
      <w:r>
        <w:rPr>
          <w:sz w:val="28"/>
          <w:szCs w:val="28"/>
        </w:rPr>
        <w:t>41</w:t>
      </w:r>
      <w:r>
        <w:rPr>
          <w:sz w:val="28"/>
          <w:szCs w:val="28"/>
        </w:rPr>
        <w:fldChar w:fldCharType="end"/>
      </w:r>
      <w:r>
        <w:rPr>
          <w:sz w:val="28"/>
          <w:szCs w:val="28"/>
        </w:rPr>
        <w:fldChar w:fldCharType="end"/>
      </w:r>
    </w:p>
    <w:p>
      <w:pPr>
        <w:pStyle w:val="26"/>
        <w:tabs>
          <w:tab w:val="right" w:leader="dot" w:pos="8786"/>
          <w:tab w:val="clear" w:pos="1260"/>
          <w:tab w:val="clear" w:pos="9060"/>
        </w:tabs>
        <w:rPr>
          <w:sz w:val="28"/>
          <w:szCs w:val="28"/>
        </w:rPr>
      </w:pPr>
      <w:r>
        <w:fldChar w:fldCharType="begin"/>
      </w:r>
      <w:r>
        <w:instrText xml:space="preserve"> HYPERLINK \l "_Toc2350" </w:instrText>
      </w:r>
      <w:r>
        <w:fldChar w:fldCharType="separate"/>
      </w:r>
      <w:r>
        <w:rPr>
          <w:rFonts w:hint="eastAsia"/>
          <w:sz w:val="28"/>
          <w:szCs w:val="28"/>
        </w:rPr>
        <w:t>7.4 确保土地供给</w:t>
      </w:r>
      <w:r>
        <w:rPr>
          <w:sz w:val="28"/>
          <w:szCs w:val="28"/>
        </w:rPr>
        <w:tab/>
      </w:r>
      <w:r>
        <w:rPr>
          <w:sz w:val="28"/>
          <w:szCs w:val="28"/>
        </w:rPr>
        <w:fldChar w:fldCharType="begin"/>
      </w:r>
      <w:r>
        <w:rPr>
          <w:sz w:val="28"/>
          <w:szCs w:val="28"/>
        </w:rPr>
        <w:instrText xml:space="preserve"> PAGEREF _Toc2350 \h </w:instrText>
      </w:r>
      <w:r>
        <w:rPr>
          <w:sz w:val="28"/>
          <w:szCs w:val="28"/>
        </w:rPr>
        <w:fldChar w:fldCharType="separate"/>
      </w:r>
      <w:r>
        <w:rPr>
          <w:sz w:val="28"/>
          <w:szCs w:val="28"/>
        </w:rPr>
        <w:t>42</w:t>
      </w:r>
      <w:r>
        <w:rPr>
          <w:sz w:val="28"/>
          <w:szCs w:val="28"/>
        </w:rPr>
        <w:fldChar w:fldCharType="end"/>
      </w:r>
      <w:r>
        <w:rPr>
          <w:sz w:val="28"/>
          <w:szCs w:val="28"/>
        </w:rPr>
        <w:fldChar w:fldCharType="end"/>
      </w:r>
    </w:p>
    <w:p>
      <w:pPr>
        <w:pStyle w:val="26"/>
        <w:tabs>
          <w:tab w:val="right" w:leader="dot" w:pos="8786"/>
          <w:tab w:val="clear" w:pos="1260"/>
          <w:tab w:val="clear" w:pos="9060"/>
        </w:tabs>
        <w:rPr>
          <w:sz w:val="28"/>
          <w:szCs w:val="28"/>
        </w:rPr>
      </w:pPr>
      <w:r>
        <w:fldChar w:fldCharType="begin"/>
      </w:r>
      <w:r>
        <w:instrText xml:space="preserve"> HYPERLINK \l "_Toc14309" </w:instrText>
      </w:r>
      <w:r>
        <w:fldChar w:fldCharType="separate"/>
      </w:r>
      <w:r>
        <w:rPr>
          <w:rFonts w:hint="eastAsia"/>
          <w:sz w:val="28"/>
          <w:szCs w:val="28"/>
        </w:rPr>
        <w:t>7.5 强化项目推进</w:t>
      </w:r>
      <w:r>
        <w:rPr>
          <w:sz w:val="28"/>
          <w:szCs w:val="28"/>
        </w:rPr>
        <w:tab/>
      </w:r>
      <w:r>
        <w:rPr>
          <w:sz w:val="28"/>
          <w:szCs w:val="28"/>
        </w:rPr>
        <w:fldChar w:fldCharType="begin"/>
      </w:r>
      <w:r>
        <w:rPr>
          <w:sz w:val="28"/>
          <w:szCs w:val="28"/>
        </w:rPr>
        <w:instrText xml:space="preserve"> PAGEREF _Toc14309 \h </w:instrText>
      </w:r>
      <w:r>
        <w:rPr>
          <w:sz w:val="28"/>
          <w:szCs w:val="28"/>
        </w:rPr>
        <w:fldChar w:fldCharType="separate"/>
      </w:r>
      <w:r>
        <w:rPr>
          <w:sz w:val="28"/>
          <w:szCs w:val="28"/>
        </w:rPr>
        <w:t>42</w:t>
      </w:r>
      <w:r>
        <w:rPr>
          <w:sz w:val="28"/>
          <w:szCs w:val="28"/>
        </w:rPr>
        <w:fldChar w:fldCharType="end"/>
      </w:r>
      <w:r>
        <w:rPr>
          <w:sz w:val="28"/>
          <w:szCs w:val="28"/>
        </w:rPr>
        <w:fldChar w:fldCharType="end"/>
      </w:r>
    </w:p>
    <w:p>
      <w:pPr>
        <w:pStyle w:val="26"/>
        <w:tabs>
          <w:tab w:val="right" w:leader="dot" w:pos="8786"/>
          <w:tab w:val="clear" w:pos="1260"/>
          <w:tab w:val="clear" w:pos="9060"/>
        </w:tabs>
        <w:rPr>
          <w:sz w:val="28"/>
          <w:szCs w:val="28"/>
        </w:rPr>
      </w:pPr>
      <w:r>
        <w:fldChar w:fldCharType="begin"/>
      </w:r>
      <w:r>
        <w:instrText xml:space="preserve"> HYPERLINK \l "_Toc12185" </w:instrText>
      </w:r>
      <w:r>
        <w:fldChar w:fldCharType="separate"/>
      </w:r>
      <w:r>
        <w:rPr>
          <w:rFonts w:hint="eastAsia"/>
          <w:sz w:val="28"/>
          <w:szCs w:val="28"/>
        </w:rPr>
        <w:t>7.6 深入宣传引导</w:t>
      </w:r>
      <w:r>
        <w:rPr>
          <w:sz w:val="28"/>
          <w:szCs w:val="28"/>
        </w:rPr>
        <w:tab/>
      </w:r>
      <w:r>
        <w:rPr>
          <w:sz w:val="28"/>
          <w:szCs w:val="28"/>
        </w:rPr>
        <w:fldChar w:fldCharType="begin"/>
      </w:r>
      <w:r>
        <w:rPr>
          <w:sz w:val="28"/>
          <w:szCs w:val="28"/>
        </w:rPr>
        <w:instrText xml:space="preserve"> PAGEREF _Toc12185 \h </w:instrText>
      </w:r>
      <w:r>
        <w:rPr>
          <w:sz w:val="28"/>
          <w:szCs w:val="28"/>
        </w:rPr>
        <w:fldChar w:fldCharType="separate"/>
      </w:r>
      <w:r>
        <w:rPr>
          <w:sz w:val="28"/>
          <w:szCs w:val="28"/>
        </w:rPr>
        <w:t>42</w:t>
      </w:r>
      <w:r>
        <w:rPr>
          <w:sz w:val="28"/>
          <w:szCs w:val="28"/>
        </w:rPr>
        <w:fldChar w:fldCharType="end"/>
      </w:r>
      <w:r>
        <w:rPr>
          <w:sz w:val="28"/>
          <w:szCs w:val="28"/>
        </w:rPr>
        <w:fldChar w:fldCharType="end"/>
      </w:r>
    </w:p>
    <w:p>
      <w:pPr>
        <w:pStyle w:val="22"/>
        <w:tabs>
          <w:tab w:val="right" w:leader="dot" w:pos="8786"/>
        </w:tabs>
        <w:rPr>
          <w:sz w:val="28"/>
          <w:szCs w:val="28"/>
        </w:rPr>
      </w:pPr>
      <w:r>
        <w:fldChar w:fldCharType="begin"/>
      </w:r>
      <w:r>
        <w:instrText xml:space="preserve"> HYPERLINK \l "_Toc7398" </w:instrText>
      </w:r>
      <w:r>
        <w:fldChar w:fldCharType="separate"/>
      </w:r>
      <w:r>
        <w:rPr>
          <w:rFonts w:hint="eastAsia"/>
          <w:sz w:val="28"/>
          <w:szCs w:val="28"/>
        </w:rPr>
        <w:t>8 附表</w:t>
      </w:r>
      <w:r>
        <w:rPr>
          <w:sz w:val="28"/>
          <w:szCs w:val="28"/>
        </w:rPr>
        <w:tab/>
      </w:r>
      <w:r>
        <w:rPr>
          <w:sz w:val="28"/>
          <w:szCs w:val="28"/>
        </w:rPr>
        <w:fldChar w:fldCharType="begin"/>
      </w:r>
      <w:r>
        <w:rPr>
          <w:sz w:val="28"/>
          <w:szCs w:val="28"/>
        </w:rPr>
        <w:instrText xml:space="preserve"> PAGEREF _Toc7398 \h </w:instrText>
      </w:r>
      <w:r>
        <w:rPr>
          <w:sz w:val="28"/>
          <w:szCs w:val="28"/>
        </w:rPr>
        <w:fldChar w:fldCharType="separate"/>
      </w:r>
      <w:r>
        <w:rPr>
          <w:sz w:val="28"/>
          <w:szCs w:val="28"/>
        </w:rPr>
        <w:t>44</w:t>
      </w:r>
      <w:r>
        <w:rPr>
          <w:sz w:val="28"/>
          <w:szCs w:val="28"/>
        </w:rPr>
        <w:fldChar w:fldCharType="end"/>
      </w:r>
      <w:r>
        <w:rPr>
          <w:sz w:val="28"/>
          <w:szCs w:val="28"/>
        </w:rPr>
        <w:fldChar w:fldCharType="end"/>
      </w:r>
    </w:p>
    <w:p>
      <w:pPr>
        <w:pStyle w:val="26"/>
        <w:tabs>
          <w:tab w:val="right" w:leader="dot" w:pos="8786"/>
          <w:tab w:val="clear" w:pos="1260"/>
          <w:tab w:val="clear" w:pos="9060"/>
        </w:tabs>
        <w:rPr>
          <w:sz w:val="28"/>
          <w:szCs w:val="28"/>
        </w:rPr>
      </w:pPr>
      <w:r>
        <w:fldChar w:fldCharType="begin"/>
      </w:r>
      <w:r>
        <w:instrText xml:space="preserve"> HYPERLINK \l "_Toc30705" </w:instrText>
      </w:r>
      <w:r>
        <w:fldChar w:fldCharType="separate"/>
      </w:r>
      <w:r>
        <w:rPr>
          <w:rFonts w:hint="eastAsia"/>
          <w:sz w:val="28"/>
          <w:szCs w:val="28"/>
        </w:rPr>
        <w:t>8.1 规划项目总表</w:t>
      </w:r>
      <w:r>
        <w:rPr>
          <w:sz w:val="28"/>
          <w:szCs w:val="28"/>
        </w:rPr>
        <w:tab/>
      </w:r>
      <w:r>
        <w:rPr>
          <w:sz w:val="28"/>
          <w:szCs w:val="28"/>
        </w:rPr>
        <w:fldChar w:fldCharType="begin"/>
      </w:r>
      <w:r>
        <w:rPr>
          <w:sz w:val="28"/>
          <w:szCs w:val="28"/>
        </w:rPr>
        <w:instrText xml:space="preserve"> PAGEREF _Toc30705 \h </w:instrText>
      </w:r>
      <w:r>
        <w:rPr>
          <w:sz w:val="28"/>
          <w:szCs w:val="28"/>
        </w:rPr>
        <w:fldChar w:fldCharType="separate"/>
      </w:r>
      <w:r>
        <w:rPr>
          <w:sz w:val="28"/>
          <w:szCs w:val="28"/>
        </w:rPr>
        <w:t>44</w:t>
      </w:r>
      <w:r>
        <w:rPr>
          <w:sz w:val="28"/>
          <w:szCs w:val="28"/>
        </w:rPr>
        <w:fldChar w:fldCharType="end"/>
      </w:r>
      <w:r>
        <w:rPr>
          <w:sz w:val="28"/>
          <w:szCs w:val="28"/>
        </w:rPr>
        <w:fldChar w:fldCharType="end"/>
      </w:r>
    </w:p>
    <w:p>
      <w:pPr>
        <w:rPr>
          <w:sz w:val="28"/>
          <w:szCs w:val="28"/>
        </w:rPr>
      </w:pPr>
      <w:r>
        <w:rPr>
          <w:sz w:val="28"/>
          <w:szCs w:val="28"/>
        </w:rPr>
        <w:fldChar w:fldCharType="end"/>
      </w:r>
    </w:p>
    <w:p>
      <w:pPr>
        <w:rPr>
          <w:sz w:val="28"/>
          <w:szCs w:val="28"/>
        </w:rPr>
        <w:sectPr>
          <w:footerReference r:id="rId9" w:type="default"/>
          <w:type w:val="nextColumn"/>
          <w:pgSz w:w="11906" w:h="16838"/>
          <w:pgMar w:top="1871" w:right="1418" w:bottom="1440" w:left="1418" w:header="1247" w:footer="1191" w:gutter="284"/>
          <w:pgNumType w:fmt="lowerRoman" w:start="1"/>
          <w:cols w:space="425" w:num="1"/>
          <w:docGrid w:type="linesAndChars" w:linePitch="312" w:charSpace="0"/>
        </w:sectPr>
      </w:pPr>
    </w:p>
    <w:p>
      <w:pPr>
        <w:pStyle w:val="2"/>
      </w:pPr>
      <w:bookmarkStart w:id="0" w:name="_Toc5641"/>
      <w:bookmarkStart w:id="1" w:name="_Toc78791584"/>
      <w:r>
        <w:rPr>
          <w:rFonts w:hint="eastAsia"/>
        </w:rPr>
        <w:t>基本情况</w:t>
      </w:r>
      <w:bookmarkEnd w:id="0"/>
      <w:bookmarkEnd w:id="1"/>
    </w:p>
    <w:p>
      <w:pPr>
        <w:pStyle w:val="3"/>
        <w:ind w:firstLine="560"/>
      </w:pPr>
    </w:p>
    <w:p>
      <w:pPr>
        <w:pStyle w:val="4"/>
      </w:pPr>
      <w:bookmarkStart w:id="2" w:name="_Toc30920"/>
      <w:bookmarkStart w:id="3" w:name="_Toc78791585"/>
      <w:r>
        <w:rPr>
          <w:rFonts w:hint="eastAsia"/>
        </w:rPr>
        <w:t>自然地理概况</w:t>
      </w:r>
      <w:bookmarkEnd w:id="2"/>
      <w:bookmarkEnd w:id="3"/>
    </w:p>
    <w:p>
      <w:pPr>
        <w:pStyle w:val="5"/>
      </w:pPr>
      <w:r>
        <w:rPr>
          <w:rFonts w:hint="eastAsia"/>
        </w:rPr>
        <w:t>地理位置</w:t>
      </w:r>
    </w:p>
    <w:p>
      <w:pPr>
        <w:pStyle w:val="3"/>
        <w:ind w:firstLine="560"/>
      </w:pPr>
      <w:r>
        <w:rPr>
          <w:rFonts w:hint="eastAsia"/>
        </w:rPr>
        <w:t>赫山区位于湖南省中部偏北，洞庭南缘，资江尾闾，其东北临湘阴、望城，南靠宁乡，西抵桃江，北靠资阳，地理坐标为东经112°11′~112°43′，北纬28°16′~28°53′。南北长</w:t>
      </w:r>
      <w:r>
        <w:t>49km</w:t>
      </w:r>
      <w:r>
        <w:rPr>
          <w:rFonts w:hint="eastAsia"/>
        </w:rPr>
        <w:t>，东西宽</w:t>
      </w:r>
      <w:r>
        <w:t>52km</w:t>
      </w:r>
      <w:r>
        <w:rPr>
          <w:rFonts w:hint="eastAsia"/>
        </w:rPr>
        <w:t>。赫山区内石长铁路、长张高速、</w:t>
      </w:r>
      <w:r>
        <w:t>319</w:t>
      </w:r>
      <w:r>
        <w:rPr>
          <w:rFonts w:hint="eastAsia"/>
        </w:rPr>
        <w:t>国道、银城大道、新河大道和长益高速复线交叉对接长沙。</w:t>
      </w:r>
    </w:p>
    <w:p>
      <w:pPr>
        <w:pStyle w:val="119"/>
      </w:pPr>
      <w:r>
        <w:drawing>
          <wp:inline distT="0" distB="0" distL="0" distR="0">
            <wp:extent cx="5759450" cy="3651885"/>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cstate="print"/>
                    <a:stretch>
                      <a:fillRect/>
                    </a:stretch>
                  </pic:blipFill>
                  <pic:spPr>
                    <a:xfrm>
                      <a:off x="0" y="0"/>
                      <a:ext cx="5759450" cy="3651885"/>
                    </a:xfrm>
                    <a:prstGeom prst="rect">
                      <a:avLst/>
                    </a:prstGeom>
                  </pic:spPr>
                </pic:pic>
              </a:graphicData>
            </a:graphic>
          </wp:inline>
        </w:drawing>
      </w:r>
      <w:r>
        <w:t xml:space="preserve"> </w:t>
      </w:r>
    </w:p>
    <w:p>
      <w:pPr>
        <w:pStyle w:val="47"/>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1</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w:t>
      </w:r>
      <w:r>
        <w:fldChar w:fldCharType="end"/>
      </w:r>
      <w:r>
        <w:rPr>
          <w:rFonts w:hint="eastAsia"/>
        </w:rPr>
        <w:tab/>
      </w:r>
      <w:r>
        <w:rPr>
          <w:rFonts w:hint="eastAsia"/>
        </w:rPr>
        <w:t>赫山区地理位置示意图</w:t>
      </w:r>
    </w:p>
    <w:p>
      <w:pPr>
        <w:pStyle w:val="5"/>
      </w:pPr>
      <w:r>
        <w:rPr>
          <w:rFonts w:hint="eastAsia"/>
        </w:rPr>
        <w:t>地形地貌</w:t>
      </w:r>
    </w:p>
    <w:p>
      <w:pPr>
        <w:pStyle w:val="3"/>
        <w:ind w:firstLine="560"/>
      </w:pPr>
      <w:r>
        <w:rPr>
          <w:rFonts w:hint="eastAsia"/>
        </w:rPr>
        <w:t>赫山区位于雪峰山隆起与洞庭湖凹陷交接处，西南山丘起伏，东北江湖交错。地势自西南向东北，呈三级阶梯状倾斜递降，地面高程大部分在海拔100m以下。区境以平原为主，山、丘、岗地貌齐全，具有“一分丘山两分岗，五分平原两水乡”的特点。雪峰山余脉在区境西南部402km²范围内呈钳形集结，突起为高地，地势起伏较大，切割深度50—150m，有18座海拔300m以上的山峰；中部地面起伏平缓，丘岗与平原相间并列，地表切割微弱；东北部为滨湖平原，平坦开阔，耕地连片，河湖广布，土壤肥沃，为全区主要农产品基地。</w:t>
      </w:r>
    </w:p>
    <w:p>
      <w:pPr>
        <w:pStyle w:val="119"/>
      </w:pPr>
      <w:r>
        <w:drawing>
          <wp:inline distT="0" distB="0" distL="0" distR="0">
            <wp:extent cx="5761355" cy="42005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761355" cy="4200525"/>
                    </a:xfrm>
                    <a:prstGeom prst="rect">
                      <a:avLst/>
                    </a:prstGeom>
                    <a:noFill/>
                  </pic:spPr>
                </pic:pic>
              </a:graphicData>
            </a:graphic>
          </wp:inline>
        </w:drawing>
      </w:r>
      <w:r>
        <w:t xml:space="preserve"> </w:t>
      </w:r>
    </w:p>
    <w:p>
      <w:pPr>
        <w:pStyle w:val="47"/>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1</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2</w:t>
      </w:r>
      <w:r>
        <w:fldChar w:fldCharType="end"/>
      </w:r>
      <w:r>
        <w:rPr>
          <w:rFonts w:hint="eastAsia"/>
        </w:rPr>
        <w:tab/>
      </w:r>
      <w:r>
        <w:rPr>
          <w:rFonts w:hint="eastAsia"/>
        </w:rPr>
        <w:tab/>
      </w:r>
      <w:r>
        <w:rPr>
          <w:rFonts w:hint="eastAsia"/>
        </w:rPr>
        <w:t>赫山区地势图</w:t>
      </w:r>
    </w:p>
    <w:p>
      <w:pPr>
        <w:pStyle w:val="5"/>
      </w:pPr>
      <w:r>
        <w:rPr>
          <w:rFonts w:hint="eastAsia"/>
        </w:rPr>
        <w:t>气象</w:t>
      </w:r>
    </w:p>
    <w:p>
      <w:pPr>
        <w:pStyle w:val="3"/>
        <w:ind w:firstLine="560"/>
      </w:pPr>
      <w:r>
        <w:rPr>
          <w:rFonts w:hint="eastAsia"/>
        </w:rPr>
        <w:t>赫山区属亚热带大陆性季风湿润气候区，具有气温总体较高、冬暖夏凉明显、降水偏丰、7月常多雨成灾、日照普遍偏少，春寒阴雨突出等特征。</w:t>
      </w:r>
    </w:p>
    <w:p>
      <w:pPr>
        <w:pStyle w:val="3"/>
        <w:ind w:firstLine="560"/>
      </w:pPr>
      <w:r>
        <w:rPr>
          <w:rFonts w:hint="eastAsia"/>
        </w:rPr>
        <w:t>根据益阳市气象站资料统计，年平均气温16.9℃，最冷月（1月）平均气温4.6℃，最热月（7月）平均气温28.7℃，历年极端最高气温39.7℃，极端最低气温-13.2℃。赫山区年平均降雨量1482.7mm，其中4～9月降雨量967.8mm，占全年降雨量的65.0%，最大年降雨量为2163.6mm（1998年），最小年降雨量为964.8mm（1979年）。年平均相对湿度81%，最小相对湿度16%。平均无霜期为268.3d，最长可达312d，最短227d。年平均日照时数1500.3h，占可照时数的34%。年平均风速2.2m/s，最多风向为NNW和静风；历年最大风速为20.0m/s（NNE、N）；多年平均汛期（5～9月）最大风速为12m/s。年平均蒸发量为1181.0mm。年雷暴日数43d。赫山区气象灾害繁多，暴雨洪涝、高温、干旱、低温冷害、冰雹、大风、霜冻、雷暴等，尤以旱涝为甚。</w:t>
      </w:r>
    </w:p>
    <w:p>
      <w:pPr>
        <w:pStyle w:val="5"/>
      </w:pPr>
      <w:r>
        <w:rPr>
          <w:rFonts w:hint="eastAsia"/>
        </w:rPr>
        <w:t>地质</w:t>
      </w:r>
    </w:p>
    <w:p>
      <w:pPr>
        <w:pStyle w:val="3"/>
        <w:ind w:firstLine="560"/>
      </w:pPr>
      <w:r>
        <w:rPr>
          <w:rFonts w:hint="eastAsia"/>
        </w:rPr>
        <w:t>赫山区地质条件较复杂，地处雪峰山余脉经湘中丘陵，向洞庭湖平原过渡的倾斜地带，地势南高北低，西部是雪峰山北段，山高坡陡，北部是洞庭湖区，地势低平。境内地层分布齐全，构造发育较完整，从元古界到第四系全新统的地层均有分布。大地构造处于杨子陆块和华夏陆块的俯冲碰撞闭合带，北为扬子陆块的雪峰弧形隆起带，南为华夏陆块的湘中凹陷区。</w:t>
      </w:r>
    </w:p>
    <w:p>
      <w:pPr>
        <w:pStyle w:val="3"/>
        <w:ind w:firstLine="560"/>
      </w:pPr>
      <w:r>
        <w:rPr>
          <w:rFonts w:hint="eastAsia"/>
        </w:rPr>
        <w:t>区内的地质构造相对简单，未发现明显的近期活动构造，属相对稳定地块。区境地层发育齐全，有板溪群，古生界震旦纪，寒武纪、奥陶纪、志留纪。根据《中国地震动参数区划图》（GB 18306-2015），赫山区基本地震动峰值加速度为0.05g，地震动反应谱特征周期为0.35s，相应的地震基本烈度为Ⅵ度。土质含砂量大，结构松散，孔隙度大，渗透性强，具有遇水崩解的特点，是赫山区的主要工程地质问题。</w:t>
      </w:r>
    </w:p>
    <w:p>
      <w:pPr>
        <w:pStyle w:val="5"/>
      </w:pPr>
      <w:r>
        <w:rPr>
          <w:rFonts w:hint="eastAsia"/>
        </w:rPr>
        <w:t>土壤与植被</w:t>
      </w:r>
    </w:p>
    <w:p>
      <w:pPr>
        <w:pStyle w:val="3"/>
        <w:ind w:firstLine="560"/>
      </w:pPr>
      <w:r>
        <w:rPr>
          <w:rFonts w:hint="eastAsia"/>
        </w:rPr>
        <w:t>赫山区内地层上部土壤主要为砂质土和粘性土，一般具有土层较厚和坡缓的特点，粘砂比例适中，耕作性能好，土壤中水气状况和有机质含量较高，土地肥沃，适宜于作物的生长。全区土壤有水稻土、菜园土、潮土、红壤、紫色土</w:t>
      </w:r>
      <w:r>
        <w:t>5</w:t>
      </w:r>
      <w:r>
        <w:rPr>
          <w:rFonts w:hint="eastAsia"/>
        </w:rPr>
        <w:t>个土类、</w:t>
      </w:r>
      <w:r>
        <w:t>12</w:t>
      </w:r>
      <w:r>
        <w:rPr>
          <w:rFonts w:hint="eastAsia"/>
        </w:rPr>
        <w:t>个亚类、</w:t>
      </w:r>
      <w:r>
        <w:t>42</w:t>
      </w:r>
      <w:r>
        <w:rPr>
          <w:rFonts w:hint="eastAsia"/>
        </w:rPr>
        <w:t>个土属、</w:t>
      </w:r>
      <w:r>
        <w:t>121</w:t>
      </w:r>
      <w:r>
        <w:rPr>
          <w:rFonts w:hint="eastAsia"/>
        </w:rPr>
        <w:t>个土种。</w:t>
      </w:r>
    </w:p>
    <w:p>
      <w:pPr>
        <w:pStyle w:val="3"/>
        <w:numPr>
          <w:ilvl w:val="255"/>
          <w:numId w:val="0"/>
        </w:numPr>
        <w:ind w:left="480" w:leftChars="200"/>
      </w:pPr>
      <w:r>
        <w:rPr>
          <w:rFonts w:hint="eastAsia"/>
        </w:rPr>
        <w:t>（1）水稻土：面积最广，除矿毒型土壤过酸以外，都为中性。</w:t>
      </w:r>
    </w:p>
    <w:p>
      <w:pPr>
        <w:pStyle w:val="3"/>
        <w:numPr>
          <w:ilvl w:val="255"/>
          <w:numId w:val="0"/>
        </w:numPr>
        <w:ind w:left="480" w:leftChars="200"/>
      </w:pPr>
      <w:r>
        <w:rPr>
          <w:rFonts w:hint="eastAsia"/>
        </w:rPr>
        <w:t>（2）菜园土：分布较少，中性偏碱。</w:t>
      </w:r>
    </w:p>
    <w:p>
      <w:pPr>
        <w:pStyle w:val="3"/>
        <w:numPr>
          <w:ilvl w:val="255"/>
          <w:numId w:val="0"/>
        </w:numPr>
        <w:ind w:left="480" w:leftChars="200"/>
      </w:pPr>
      <w:r>
        <w:rPr>
          <w:rFonts w:hint="eastAsia"/>
        </w:rPr>
        <w:t>（3）潮土：分布于东部及东北部平原、溪河平原，</w:t>
      </w:r>
      <w:r>
        <w:t>pH</w:t>
      </w:r>
      <w:r>
        <w:rPr>
          <w:rFonts w:hint="eastAsia"/>
        </w:rPr>
        <w:t>值多为中性或中性偏酸，肥力水平较高。</w:t>
      </w:r>
    </w:p>
    <w:p>
      <w:pPr>
        <w:pStyle w:val="3"/>
        <w:numPr>
          <w:ilvl w:val="255"/>
          <w:numId w:val="0"/>
        </w:numPr>
        <w:ind w:left="480" w:leftChars="200"/>
      </w:pPr>
      <w:r>
        <w:rPr>
          <w:rFonts w:hint="eastAsia"/>
        </w:rPr>
        <w:t>（4）红壤：分布于中南及西部，土壤全剖面呈酸性反映。</w:t>
      </w:r>
    </w:p>
    <w:p>
      <w:pPr>
        <w:pStyle w:val="3"/>
        <w:numPr>
          <w:ilvl w:val="255"/>
          <w:numId w:val="0"/>
        </w:numPr>
        <w:ind w:left="480" w:leftChars="200"/>
      </w:pPr>
      <w:r>
        <w:rPr>
          <w:rFonts w:hint="eastAsia"/>
        </w:rPr>
        <w:t>（5）紫色土：分布于衡龙桥一线，</w:t>
      </w:r>
      <w:r>
        <w:t>pH</w:t>
      </w:r>
      <w:r>
        <w:rPr>
          <w:rFonts w:hint="eastAsia"/>
        </w:rPr>
        <w:t>值一般在</w:t>
      </w:r>
      <w:r>
        <w:t>6</w:t>
      </w:r>
      <w:r>
        <w:rPr>
          <w:rFonts w:hint="eastAsia"/>
        </w:rPr>
        <w:t>～</w:t>
      </w:r>
      <w:r>
        <w:t>7</w:t>
      </w:r>
      <w:r>
        <w:rPr>
          <w:rFonts w:hint="eastAsia"/>
        </w:rPr>
        <w:t>之间。</w:t>
      </w:r>
    </w:p>
    <w:p>
      <w:pPr>
        <w:pStyle w:val="3"/>
        <w:ind w:firstLine="560"/>
      </w:pPr>
      <w:r>
        <w:rPr>
          <w:rFonts w:hint="eastAsia"/>
        </w:rPr>
        <w:t>区内主要种植水稻，且以双季稻为主；旱土多种植油菜、蔬菜、棉花等。在当今市场经济条件作用下，群众已由解决温饱向小康目标奋斗，开始自觉调整作物的种植结构。赫山区山丘区部分山林密茂，植被较好；湖区植被相对较差。</w:t>
      </w:r>
    </w:p>
    <w:p>
      <w:pPr>
        <w:pStyle w:val="4"/>
      </w:pPr>
      <w:bookmarkStart w:id="4" w:name="_Toc29737"/>
      <w:bookmarkStart w:id="5" w:name="_Toc78791586"/>
      <w:r>
        <w:rPr>
          <w:rFonts w:hint="eastAsia"/>
        </w:rPr>
        <w:t>河流水系概况</w:t>
      </w:r>
      <w:bookmarkEnd w:id="4"/>
      <w:bookmarkEnd w:id="5"/>
    </w:p>
    <w:p>
      <w:pPr>
        <w:pStyle w:val="3"/>
        <w:ind w:firstLine="560"/>
      </w:pPr>
      <w:r>
        <w:rPr>
          <w:rFonts w:hint="eastAsia"/>
        </w:rPr>
        <w:t>（1）主要河流</w:t>
      </w:r>
    </w:p>
    <w:p>
      <w:pPr>
        <w:pStyle w:val="3"/>
        <w:ind w:firstLine="560"/>
      </w:pPr>
      <w:r>
        <w:rPr>
          <w:rFonts w:hint="eastAsia"/>
        </w:rPr>
        <w:t>赫山区境内水系发达，流域面积</w:t>
      </w:r>
      <w:r>
        <w:t>200km</w:t>
      </w:r>
      <w:r>
        <w:rPr>
          <w:vertAlign w:val="superscript"/>
        </w:rPr>
        <w:t>2</w:t>
      </w:r>
      <w:r>
        <w:rPr>
          <w:rFonts w:hint="eastAsia"/>
        </w:rPr>
        <w:t>以上的河流共</w:t>
      </w:r>
      <w:r>
        <w:t>4</w:t>
      </w:r>
      <w:r>
        <w:rPr>
          <w:rFonts w:hint="eastAsia"/>
        </w:rPr>
        <w:t>条，为资水、志溪河、烂泥湖撇洪河、泉交河，流域面积</w:t>
      </w:r>
      <w:r>
        <w:t>50~200km</w:t>
      </w:r>
      <w:r>
        <w:rPr>
          <w:vertAlign w:val="superscript"/>
        </w:rPr>
        <w:t>2</w:t>
      </w:r>
      <w:r>
        <w:rPr>
          <w:rFonts w:hint="eastAsia"/>
        </w:rPr>
        <w:t>的河流共</w:t>
      </w:r>
      <w:r>
        <w:t>9</w:t>
      </w:r>
      <w:r>
        <w:rPr>
          <w:rFonts w:hint="eastAsia"/>
        </w:rPr>
        <w:t>条。多数河流自南或西南流向北及东北，呈树枝状分布，分属于资水、湘水及洞庭湖三大水系。</w:t>
      </w:r>
    </w:p>
    <w:p>
      <w:pPr>
        <w:pStyle w:val="3"/>
        <w:numPr>
          <w:ilvl w:val="255"/>
          <w:numId w:val="0"/>
        </w:numPr>
        <w:ind w:left="480" w:leftChars="200"/>
      </w:pPr>
      <w:r>
        <w:rPr>
          <w:rFonts w:hint="eastAsia"/>
        </w:rPr>
        <w:t>1)资水</w:t>
      </w:r>
    </w:p>
    <w:p>
      <w:pPr>
        <w:pStyle w:val="3"/>
        <w:ind w:firstLine="560"/>
      </w:pPr>
      <w:r>
        <w:rPr>
          <w:rFonts w:hint="eastAsia"/>
        </w:rPr>
        <w:t>资水上源有两支：一支夫夷水发源于广西资源县越城岭，另一支赧水发源于湖南省城步县黄马界（习惯上以西源赧水作为资水主源），赧水与南来的夫夷水在双江口汇合后始称资水。资水自双江口向北流，至邵阳市纳入邵水，然后经新邵县、冷水江市、新化县至烟溪，沿途纳石马江、大洋江、渠江；烟溪以下资水折向东流，经安化、桃江、赫山等县、市、区，沿途纳敷溪、泗澧河（沂水）、桃花江、志溪河，于甘溪港分两支汇入南洞庭湖。</w:t>
      </w:r>
    </w:p>
    <w:p>
      <w:pPr>
        <w:pStyle w:val="3"/>
        <w:ind w:firstLine="560"/>
      </w:pPr>
      <w:r>
        <w:rPr>
          <w:rFonts w:hint="eastAsia"/>
        </w:rPr>
        <w:t>资水流域总面积</w:t>
      </w:r>
      <w:r>
        <w:t>28538km</w:t>
      </w:r>
      <w:r>
        <w:rPr>
          <w:vertAlign w:val="superscript"/>
        </w:rPr>
        <w:t>2</w:t>
      </w:r>
      <w:r>
        <w:rPr>
          <w:rFonts w:hint="eastAsia"/>
        </w:rPr>
        <w:t>，河流全长（至甘溪港）</w:t>
      </w:r>
      <w:r>
        <w:t>653km</w:t>
      </w:r>
      <w:r>
        <w:rPr>
          <w:rFonts w:hint="eastAsia"/>
        </w:rPr>
        <w:t>，其中双江口以下干流段（双江口～甘溪港）长</w:t>
      </w:r>
      <w:r>
        <w:t>464km</w:t>
      </w:r>
      <w:r>
        <w:rPr>
          <w:rFonts w:hint="eastAsia"/>
        </w:rPr>
        <w:t>。武冈以上为河源段，平均坡降</w:t>
      </w:r>
      <w:r>
        <w:t>5</w:t>
      </w:r>
      <w:r>
        <w:rPr>
          <w:rFonts w:hint="eastAsia"/>
        </w:rPr>
        <w:t>‰；武冈～小庙头为上游，河长</w:t>
      </w:r>
      <w:r>
        <w:t>223km</w:t>
      </w:r>
      <w:r>
        <w:rPr>
          <w:rFonts w:hint="eastAsia"/>
        </w:rPr>
        <w:t>，平均坡降</w:t>
      </w:r>
      <w:r>
        <w:t>0.53</w:t>
      </w:r>
      <w:r>
        <w:rPr>
          <w:rFonts w:hint="eastAsia"/>
        </w:rPr>
        <w:t>‰；小庙头～马迹塘为中游，河长</w:t>
      </w:r>
      <w:r>
        <w:t>271km</w:t>
      </w:r>
      <w:r>
        <w:rPr>
          <w:rFonts w:hint="eastAsia"/>
        </w:rPr>
        <w:t>，平均坡降</w:t>
      </w:r>
      <w:r>
        <w:t>0.4</w:t>
      </w:r>
      <w:r>
        <w:rPr>
          <w:rFonts w:hint="eastAsia"/>
        </w:rPr>
        <w:t>‰；马迹塘～益阳为下游，河长</w:t>
      </w:r>
      <w:r>
        <w:t>95km</w:t>
      </w:r>
      <w:r>
        <w:rPr>
          <w:rFonts w:hint="eastAsia"/>
        </w:rPr>
        <w:t>，平均坡降</w:t>
      </w:r>
      <w:r>
        <w:t>0.3</w:t>
      </w:r>
      <w:r>
        <w:rPr>
          <w:rFonts w:hint="eastAsia"/>
        </w:rPr>
        <w:t>‰；益阳以下为冲积平原，与肥沃的滨湖平原连成一片。资水赫山区多年平均过境水量</w:t>
      </w:r>
      <w:r>
        <w:t>224</w:t>
      </w:r>
      <w:r>
        <w:rPr>
          <w:rFonts w:hint="eastAsia"/>
        </w:rPr>
        <w:t>亿</w:t>
      </w:r>
      <w:r>
        <w:t>m</w:t>
      </w:r>
      <w:r>
        <w:rPr>
          <w:vertAlign w:val="superscript"/>
        </w:rPr>
        <w:t>3</w:t>
      </w:r>
      <w:r>
        <w:rPr>
          <w:rFonts w:hint="eastAsia"/>
        </w:rPr>
        <w:t>。</w:t>
      </w:r>
    </w:p>
    <w:p>
      <w:pPr>
        <w:pStyle w:val="3"/>
        <w:numPr>
          <w:ilvl w:val="255"/>
          <w:numId w:val="0"/>
        </w:numPr>
        <w:ind w:left="480" w:leftChars="200"/>
      </w:pPr>
      <w:r>
        <w:rPr>
          <w:rFonts w:hint="eastAsia"/>
        </w:rPr>
        <w:t>2）志溪河</w:t>
      </w:r>
    </w:p>
    <w:p>
      <w:pPr>
        <w:pStyle w:val="3"/>
        <w:ind w:firstLine="560"/>
      </w:pPr>
      <w:r>
        <w:rPr>
          <w:rFonts w:hint="eastAsia"/>
        </w:rPr>
        <w:t>志溪河是资江的一级支流，位于资江下游南岸，志溪河发源地有两处：左源为桃江县灰山港镇雪峰山茶场天池，右源为宁乡县铁冲水库。流域总面积</w:t>
      </w:r>
      <w:r>
        <w:t>626km</w:t>
      </w:r>
      <w:r>
        <w:rPr>
          <w:vertAlign w:val="superscript"/>
        </w:rPr>
        <w:t>2</w:t>
      </w:r>
      <w:r>
        <w:rPr>
          <w:rFonts w:hint="eastAsia"/>
        </w:rPr>
        <w:t>（含宁乡境内</w:t>
      </w:r>
      <w:r>
        <w:t>15.7km</w:t>
      </w:r>
      <w:r>
        <w:rPr>
          <w:vertAlign w:val="superscript"/>
        </w:rPr>
        <w:t>2</w:t>
      </w:r>
      <w:r>
        <w:rPr>
          <w:rFonts w:hint="eastAsia"/>
        </w:rPr>
        <w:t>），干流长度</w:t>
      </w:r>
      <w:r>
        <w:t>68km</w:t>
      </w:r>
      <w:r>
        <w:rPr>
          <w:rFonts w:hint="eastAsia"/>
        </w:rPr>
        <w:t>（以左源为准），干流平均坡降</w:t>
      </w:r>
      <w:r>
        <w:t>1.7</w:t>
      </w:r>
      <w:r>
        <w:rPr>
          <w:rFonts w:hint="eastAsia"/>
        </w:rPr>
        <w:t>‰。志溪河流经桃江县灰山港镇、从金子滩进入赫山区境内，流经赫山区泥江口镇、新市渡镇、龙光桥街道、谢林港镇和会龙山街道，从南向北于李家洲汇入资江，其中：桃江县境内干流长</w:t>
      </w:r>
      <w:r>
        <w:t>28.9km</w:t>
      </w:r>
      <w:r>
        <w:rPr>
          <w:rFonts w:hint="eastAsia"/>
        </w:rPr>
        <w:t>，流域面积</w:t>
      </w:r>
      <w:r>
        <w:t>190.1km</w:t>
      </w:r>
      <w:r>
        <w:rPr>
          <w:vertAlign w:val="superscript"/>
        </w:rPr>
        <w:t>2</w:t>
      </w:r>
      <w:r>
        <w:rPr>
          <w:rFonts w:hint="eastAsia"/>
        </w:rPr>
        <w:t>，纵坡</w:t>
      </w:r>
      <w:r>
        <w:t>8.5</w:t>
      </w:r>
      <w:r>
        <w:rPr>
          <w:rFonts w:hint="eastAsia"/>
        </w:rPr>
        <w:t>‰；赫山区境内干流长度</w:t>
      </w:r>
      <w:r>
        <w:t>31.4km</w:t>
      </w:r>
      <w:r>
        <w:rPr>
          <w:rFonts w:hint="eastAsia"/>
        </w:rPr>
        <w:t>，流域面积</w:t>
      </w:r>
      <w:r>
        <w:t>351.2km</w:t>
      </w:r>
      <w:r>
        <w:rPr>
          <w:vertAlign w:val="superscript"/>
        </w:rPr>
        <w:t>2</w:t>
      </w:r>
      <w:r>
        <w:rPr>
          <w:rFonts w:hint="eastAsia"/>
        </w:rPr>
        <w:t>，纵坡</w:t>
      </w:r>
      <w:r>
        <w:t>1.6</w:t>
      </w:r>
      <w:r>
        <w:rPr>
          <w:rFonts w:hint="eastAsia"/>
        </w:rPr>
        <w:t>‰。志溪河多年平均年径流量</w:t>
      </w:r>
      <w:r>
        <w:t>6.5</w:t>
      </w:r>
      <w:r>
        <w:rPr>
          <w:rFonts w:hint="eastAsia"/>
        </w:rPr>
        <w:t>亿</w:t>
      </w:r>
      <w:r>
        <w:t>m</w:t>
      </w:r>
      <w:r>
        <w:rPr>
          <w:vertAlign w:val="superscript"/>
        </w:rPr>
        <w:t>3</w:t>
      </w:r>
      <w:r>
        <w:rPr>
          <w:rFonts w:hint="eastAsia"/>
        </w:rPr>
        <w:t>，多年平均流量</w:t>
      </w:r>
      <w:r>
        <w:t>20.6m</w:t>
      </w:r>
      <w:r>
        <w:rPr>
          <w:vertAlign w:val="superscript"/>
        </w:rPr>
        <w:t>3</w:t>
      </w:r>
      <w:r>
        <w:t>/s</w:t>
      </w:r>
      <w:r>
        <w:rPr>
          <w:rFonts w:hint="eastAsia"/>
        </w:rPr>
        <w:t>。</w:t>
      </w:r>
    </w:p>
    <w:p>
      <w:pPr>
        <w:pStyle w:val="3"/>
        <w:numPr>
          <w:ilvl w:val="255"/>
          <w:numId w:val="0"/>
        </w:numPr>
        <w:ind w:left="480" w:leftChars="200"/>
      </w:pPr>
      <w:r>
        <w:rPr>
          <w:rFonts w:hint="eastAsia"/>
        </w:rPr>
        <w:t>3）烂泥湖撇洪河</w:t>
      </w:r>
    </w:p>
    <w:p>
      <w:pPr>
        <w:pStyle w:val="3"/>
        <w:ind w:firstLine="560"/>
      </w:pPr>
      <w:r>
        <w:rPr>
          <w:rFonts w:hint="eastAsia"/>
        </w:rPr>
        <w:t>烂泥湖撇洪河为湘江一级支流，是原益阳县政府于</w:t>
      </w:r>
      <w:r>
        <w:t>1974</w:t>
      </w:r>
      <w:r>
        <w:rPr>
          <w:rFonts w:hint="eastAsia"/>
        </w:rPr>
        <w:t>年</w:t>
      </w:r>
      <w:r>
        <w:t>10</w:t>
      </w:r>
      <w:r>
        <w:rPr>
          <w:rFonts w:hint="eastAsia"/>
        </w:rPr>
        <w:t>月至</w:t>
      </w:r>
      <w:r>
        <w:t>1976</w:t>
      </w:r>
      <w:r>
        <w:rPr>
          <w:rFonts w:hint="eastAsia"/>
        </w:rPr>
        <w:t>年</w:t>
      </w:r>
      <w:r>
        <w:t>9</w:t>
      </w:r>
      <w:r>
        <w:rPr>
          <w:rFonts w:hint="eastAsia"/>
        </w:rPr>
        <w:t>月组织民工开挖的一条人工河，后经</w:t>
      </w:r>
      <w:r>
        <w:t>1995</w:t>
      </w:r>
      <w:r>
        <w:rPr>
          <w:rFonts w:hint="eastAsia"/>
        </w:rPr>
        <w:t>～</w:t>
      </w:r>
      <w:r>
        <w:t>1996</w:t>
      </w:r>
      <w:r>
        <w:rPr>
          <w:rFonts w:hint="eastAsia"/>
        </w:rPr>
        <w:t>年续建配套，使烂泥湖撇洪河的起点为龙光桥街道的光坝，过大路坪水闸后由乔口闸排入湘江。烂泥湖撇洪河流域面积</w:t>
      </w:r>
      <w:r>
        <w:t>710.5km</w:t>
      </w:r>
      <w:r>
        <w:rPr>
          <w:vertAlign w:val="superscript"/>
        </w:rPr>
        <w:t>2</w:t>
      </w:r>
      <w:r>
        <w:rPr>
          <w:rFonts w:hint="eastAsia"/>
        </w:rPr>
        <w:t>，干流全长</w:t>
      </w:r>
      <w:r>
        <w:t>41.68km</w:t>
      </w:r>
      <w:r>
        <w:rPr>
          <w:rFonts w:hint="eastAsia"/>
        </w:rPr>
        <w:t>，干流平均坡降</w:t>
      </w:r>
      <w:r>
        <w:t>0.17</w:t>
      </w:r>
      <w:r>
        <w:rPr>
          <w:rFonts w:hint="eastAsia"/>
        </w:rPr>
        <w:t>‰，赫山区境内支流共</w:t>
      </w:r>
      <w:r>
        <w:t>6</w:t>
      </w:r>
      <w:r>
        <w:rPr>
          <w:rFonts w:hint="eastAsia"/>
        </w:rPr>
        <w:t>条，分别为六十里长冲河，侍郎河，泉交河（左、右支流），谭家桥支河，宁家铺右支河。流域内多年平均降雨量</w:t>
      </w:r>
      <w:r>
        <w:t>1439.6mm</w:t>
      </w:r>
      <w:r>
        <w:rPr>
          <w:rFonts w:hint="eastAsia"/>
        </w:rPr>
        <w:t>，降雨具有明显的季节性，</w:t>
      </w:r>
      <w:r>
        <w:t>4</w:t>
      </w:r>
      <w:r>
        <w:rPr>
          <w:rFonts w:hint="eastAsia"/>
        </w:rPr>
        <w:t>～</w:t>
      </w:r>
      <w:r>
        <w:t>9</w:t>
      </w:r>
      <w:r>
        <w:rPr>
          <w:rFonts w:hint="eastAsia"/>
        </w:rPr>
        <w:t>月降雨</w:t>
      </w:r>
      <w:r>
        <w:t>967.8mm</w:t>
      </w:r>
      <w:r>
        <w:rPr>
          <w:rFonts w:hint="eastAsia"/>
        </w:rPr>
        <w:t>，占全年降雨量</w:t>
      </w:r>
      <w:r>
        <w:t>65%</w:t>
      </w:r>
      <w:r>
        <w:rPr>
          <w:rFonts w:hint="eastAsia"/>
        </w:rPr>
        <w:t>。多年平均产水量</w:t>
      </w:r>
      <w:r>
        <w:t>5.78</w:t>
      </w:r>
      <w:r>
        <w:rPr>
          <w:rFonts w:hint="eastAsia"/>
        </w:rPr>
        <w:t>亿</w:t>
      </w:r>
      <w:r>
        <w:t>m</w:t>
      </w:r>
      <w:r>
        <w:rPr>
          <w:vertAlign w:val="superscript"/>
        </w:rPr>
        <w:t>3</w:t>
      </w:r>
      <w:r>
        <w:rPr>
          <w:rFonts w:hint="eastAsia"/>
        </w:rPr>
        <w:t>，多年平均径流深</w:t>
      </w:r>
      <w:r>
        <w:t>838mm</w:t>
      </w:r>
      <w:r>
        <w:rPr>
          <w:rFonts w:hint="eastAsia"/>
        </w:rPr>
        <w:t>。</w:t>
      </w:r>
    </w:p>
    <w:p>
      <w:pPr>
        <w:pStyle w:val="3"/>
        <w:numPr>
          <w:ilvl w:val="255"/>
          <w:numId w:val="0"/>
        </w:numPr>
        <w:ind w:left="480" w:leftChars="200"/>
      </w:pPr>
      <w:r>
        <w:rPr>
          <w:rFonts w:hint="eastAsia"/>
        </w:rPr>
        <w:t>4）泉交河</w:t>
      </w:r>
    </w:p>
    <w:p>
      <w:pPr>
        <w:pStyle w:val="3"/>
        <w:ind w:firstLine="560"/>
      </w:pPr>
      <w:r>
        <w:rPr>
          <w:rFonts w:hint="eastAsia"/>
        </w:rPr>
        <w:t>泉交河发源于赫山区岳家桥镇仙圣岭，流经岳家桥、衡龙桥、沧水铺、泉交河等镇，由烂泥湖撇洪河流入湘江，流域面积</w:t>
      </w:r>
      <w:r>
        <w:t>221km</w:t>
      </w:r>
      <w:r>
        <w:rPr>
          <w:vertAlign w:val="superscript"/>
        </w:rPr>
        <w:t>2</w:t>
      </w:r>
      <w:r>
        <w:rPr>
          <w:rFonts w:hint="eastAsia"/>
        </w:rPr>
        <w:t>，干流全长</w:t>
      </w:r>
      <w:r>
        <w:t>46km</w:t>
      </w:r>
      <w:r>
        <w:rPr>
          <w:rFonts w:hint="eastAsia"/>
        </w:rPr>
        <w:t>，平均坡降</w:t>
      </w:r>
      <w:r>
        <w:t>1.26</w:t>
      </w:r>
      <w:r>
        <w:rPr>
          <w:rFonts w:hint="eastAsia"/>
        </w:rPr>
        <w:t>‰。泉交河流域降水充沛，多年平均产水量</w:t>
      </w:r>
      <w:r>
        <w:t>1.76</w:t>
      </w:r>
      <w:r>
        <w:rPr>
          <w:rFonts w:hint="eastAsia"/>
        </w:rPr>
        <w:t>亿</w:t>
      </w:r>
      <w:r>
        <w:t>m</w:t>
      </w:r>
      <w:r>
        <w:rPr>
          <w:vertAlign w:val="superscript"/>
        </w:rPr>
        <w:t>3</w:t>
      </w:r>
      <w:r>
        <w:rPr>
          <w:rFonts w:hint="eastAsia"/>
        </w:rPr>
        <w:t>。。</w:t>
      </w:r>
    </w:p>
    <w:p>
      <w:pPr>
        <w:pStyle w:val="3"/>
        <w:ind w:firstLine="560"/>
      </w:pPr>
      <w:r>
        <w:rPr>
          <w:rFonts w:hint="eastAsia"/>
        </w:rPr>
        <w:t>（2）主要湖泊</w:t>
      </w:r>
    </w:p>
    <w:p>
      <w:pPr>
        <w:pStyle w:val="3"/>
        <w:ind w:firstLine="560"/>
      </w:pPr>
      <w:r>
        <w:rPr>
          <w:rFonts w:hint="eastAsia"/>
        </w:rPr>
        <w:t>赫山区内湖泊主要是17个内湖，即防洪大堤垸内呈封闭状态的湖泊。</w:t>
      </w:r>
    </w:p>
    <w:p>
      <w:pPr>
        <w:pStyle w:val="3"/>
        <w:ind w:firstLine="560"/>
      </w:pPr>
      <w:r>
        <w:rPr>
          <w:rFonts w:hint="eastAsia"/>
        </w:rPr>
        <w:t>东烂泥湖为区内第一大内湖，位于赫山区东部欧江岔镇，面积1.23万亩，形态规则，湖底一般高程26m，西部过双庆闸与张芦渠相连，西北经芦花江闸与凤凰湖衔接，东侧与镜明河贯通；湖水从新泉寺闸入湘水，湖泊可调蓄水量770万m</w:t>
      </w:r>
      <w:r>
        <w:rPr>
          <w:rFonts w:hint="eastAsia"/>
          <w:vertAlign w:val="superscript"/>
        </w:rPr>
        <w:t>3</w:t>
      </w:r>
      <w:r>
        <w:rPr>
          <w:rFonts w:hint="eastAsia"/>
        </w:rPr>
        <w:t>。</w:t>
      </w:r>
    </w:p>
    <w:p>
      <w:pPr>
        <w:pStyle w:val="3"/>
        <w:ind w:firstLine="560"/>
      </w:pPr>
      <w:r>
        <w:rPr>
          <w:rFonts w:hint="eastAsia"/>
        </w:rPr>
        <w:t>鹿角湖是当时围垦凤凰湖后赫山区内第二大内湖，南起芦花江，北至西林港，呈长袋形，面积7340亩；湖汊较多，湖底一般高程26m，可调蓄水量313.70万m</w:t>
      </w:r>
      <w:r>
        <w:rPr>
          <w:rFonts w:hint="eastAsia"/>
          <w:vertAlign w:val="superscript"/>
        </w:rPr>
        <w:t>3</w:t>
      </w:r>
      <w:r>
        <w:rPr>
          <w:rFonts w:hint="eastAsia"/>
        </w:rPr>
        <w:t>；湖水从芦花江闸入东烂泥湖，再由新泉寺入湘江。</w:t>
      </w:r>
    </w:p>
    <w:p>
      <w:pPr>
        <w:pStyle w:val="119"/>
      </w:pPr>
      <w:r>
        <w:drawing>
          <wp:inline distT="0" distB="0" distL="0" distR="0">
            <wp:extent cx="5581650" cy="45396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600635" cy="4555373"/>
                    </a:xfrm>
                    <a:prstGeom prst="rect">
                      <a:avLst/>
                    </a:prstGeom>
                    <a:noFill/>
                  </pic:spPr>
                </pic:pic>
              </a:graphicData>
            </a:graphic>
          </wp:inline>
        </w:drawing>
      </w:r>
    </w:p>
    <w:p>
      <w:pPr>
        <w:pStyle w:val="47"/>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1</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3</w:t>
      </w:r>
      <w:r>
        <w:fldChar w:fldCharType="end"/>
      </w:r>
      <w:r>
        <w:tab/>
      </w:r>
      <w:r>
        <w:rPr>
          <w:rFonts w:hint="eastAsia"/>
        </w:rPr>
        <w:t>赫山区水系图</w:t>
      </w:r>
    </w:p>
    <w:p>
      <w:pPr>
        <w:pStyle w:val="4"/>
      </w:pPr>
      <w:bookmarkStart w:id="6" w:name="_Toc16601"/>
      <w:bookmarkStart w:id="7" w:name="_Toc78791587"/>
      <w:r>
        <w:rPr>
          <w:rFonts w:hint="eastAsia"/>
        </w:rPr>
        <w:t>社会经济概况</w:t>
      </w:r>
      <w:bookmarkEnd w:id="6"/>
      <w:bookmarkEnd w:id="7"/>
    </w:p>
    <w:p>
      <w:pPr>
        <w:pStyle w:val="3"/>
        <w:ind w:firstLine="560"/>
      </w:pPr>
      <w:r>
        <w:rPr>
          <w:rFonts w:hint="eastAsia"/>
        </w:rPr>
        <w:t>赫山区国土面积1279km²，辖1个乡、9个镇、6个街道，另设1个工业集中区（龙岭工业集中区）。</w:t>
      </w:r>
    </w:p>
    <w:p>
      <w:pPr>
        <w:pStyle w:val="3"/>
        <w:ind w:firstLine="560"/>
      </w:pPr>
      <w:r>
        <w:rPr>
          <w:rFonts w:hint="eastAsia"/>
        </w:rPr>
        <w:t>根据《赫山区2020年国民经济和社会发展统计公报》，2020年，全区实现地区生产总值408.35亿元，同比增长</w:t>
      </w:r>
      <w:r>
        <w:rPr>
          <w:rFonts w:hint="eastAsia"/>
          <w:lang w:val="en-US" w:eastAsia="zh-CN"/>
        </w:rPr>
        <w:t>4.0</w:t>
      </w:r>
      <w:r>
        <w:rPr>
          <w:rFonts w:hint="eastAsia"/>
        </w:rPr>
        <w:t>%。其中第一产业增加值48.28亿元，增长4.0%；第二产业增加值204.06亿元，增长4.9%；第三产业增加值156.01亿元，增长2.6%。三次产业结构比由上年10.7∶50.6∶38.7调整为11.8∶50.0∶38.2。城乡居民可支配收入34420元，比上年增长6.2%；城镇居民人均可支配收入41883元，增长5.2%；农村居民人均可支配收入22607元，增长9.4%。</w:t>
      </w:r>
    </w:p>
    <w:p>
      <w:pPr>
        <w:pStyle w:val="4"/>
      </w:pPr>
      <w:bookmarkStart w:id="8" w:name="_Toc78791588"/>
      <w:bookmarkStart w:id="9" w:name="_Toc24893"/>
      <w:r>
        <w:rPr>
          <w:rFonts w:hint="eastAsia"/>
        </w:rPr>
        <w:t>水利工程概况</w:t>
      </w:r>
      <w:bookmarkEnd w:id="8"/>
      <w:bookmarkEnd w:id="9"/>
    </w:p>
    <w:p>
      <w:pPr>
        <w:pStyle w:val="3"/>
        <w:ind w:firstLine="560"/>
      </w:pPr>
      <w:r>
        <w:rPr>
          <w:rFonts w:hint="eastAsia"/>
        </w:rPr>
        <w:t>建国以来，赫山区水利建设走过了曲折前进、逐步发展的道路。上世纪50年代初中期，以防洪为重点，修复旧垸、堵流并垸，加高培厚大堤，基本改变了历史上长期以来水系紊乱，堤防残破的局面，全区逐步形成了烂泥湖垸防洪大圈；50年代中后期，山丘区大力兴建中、小型水库，整治志溪河，湖区围挽新垸，开始建设电力排灌站；60年代，湖区普遍建设电力排灌站，继续培修大堤，进行垸内渠网建设，山丘区狠抓工程配套，逐步形成蓄、引、提灌溉体系；70年代中期，治理烂泥湖，平整土地，改造低产田，实现田园化，水利建设由单一治水，发展到田、土、山、林、路综合治理，建设旱涝保收、高产稳产农田。这几次兴修水利的高潮为赫山区水利建设奠定了基础，河道堤防、中小型水库、排水沟道、灌区建设、灌排泵站等一批工程运用而生，初步形成了防洪、排涝、灌溉等综合治理工程体系，大大增加了抗灾能力。</w:t>
      </w:r>
    </w:p>
    <w:p>
      <w:pPr>
        <w:pStyle w:val="3"/>
        <w:ind w:firstLine="560"/>
      </w:pPr>
      <w:r>
        <w:rPr>
          <w:rFonts w:hint="eastAsia"/>
        </w:rPr>
        <w:t>70年代后期，水利工作转轨变型，着重点转移到管理上，重点整修配套，建设农业商品粮生产基地；80年代，农村实行联产承包责任制后，小型农田水利设施遭到不同程度的破坏，工程老化失修，效益普遍降低，赫山区农业生产和农田水利建设处于徘徊状态。</w:t>
      </w:r>
    </w:p>
    <w:p>
      <w:pPr>
        <w:pStyle w:val="3"/>
        <w:ind w:firstLine="560"/>
      </w:pPr>
      <w:r>
        <w:rPr>
          <w:rFonts w:hint="eastAsia"/>
        </w:rPr>
        <w:t>党的十三届五中、六中全会后，逐步把稳定发展农业放在整个国民经济工作的首位，广大农民的务农积极性有所提高，特别是1989年国务院发布“关于大力开展农田水利基础建设的决定”后，农田水利建设开始出现转机，农业在升温，水利作为国民经济的基础产业地位也在上升，水利建设的徘徊局面得以结束。</w:t>
      </w:r>
    </w:p>
    <w:p>
      <w:pPr>
        <w:pStyle w:val="3"/>
        <w:ind w:firstLine="560"/>
      </w:pPr>
      <w:r>
        <w:rPr>
          <w:rFonts w:hint="eastAsia"/>
        </w:rPr>
        <w:t>2011年中央一号文件《关于加快水利改革发展的决定》指出，要把水利作为国家基础设施建设的优先领域，把农田水利作为农村基础设施建设的重点任务，突出加强农田水利等薄弱环节建设，全面加强水利基础设施建设，建立水利投入稳定增长机制，力争通过5年到10年努力，从根本上扭转水利建设明显滞后的局面。赫山区水利建设迅速升温，在规模投资、进度上达到历史上前所未有的空前程度，农村水利也在农业与农村现代化建设中得到了较快发展，取得令人瞩目的成就。</w:t>
      </w:r>
    </w:p>
    <w:p>
      <w:pPr>
        <w:pStyle w:val="3"/>
        <w:ind w:firstLine="560"/>
      </w:pPr>
      <w:r>
        <w:rPr>
          <w:rFonts w:hint="eastAsia"/>
        </w:rPr>
        <w:t>长期以来，赫山区为解决干旱缺水，投入了大量的人力物力和财力，采用“蓄、引、提、调”等综合措施，保证了水资源的有效供给，促进了社会经济的持续发展。</w:t>
      </w:r>
    </w:p>
    <w:p>
      <w:pPr>
        <w:pStyle w:val="3"/>
        <w:ind w:firstLine="560"/>
      </w:pPr>
      <w:r>
        <w:rPr>
          <w:rFonts w:hint="eastAsia"/>
        </w:rPr>
        <w:t>截至2019年底，赫山区已建成各类蓄引提水工程11897处：其中水库1</w:t>
      </w:r>
      <w:r>
        <w:t>72</w:t>
      </w:r>
      <w:r>
        <w:rPr>
          <w:rFonts w:hint="eastAsia"/>
        </w:rPr>
        <w:t>座，总库容9955万m</w:t>
      </w:r>
      <w:r>
        <w:rPr>
          <w:rFonts w:hint="eastAsia"/>
          <w:vertAlign w:val="superscript"/>
        </w:rPr>
        <w:t>3</w:t>
      </w:r>
      <w:r>
        <w:rPr>
          <w:rFonts w:hint="eastAsia"/>
        </w:rPr>
        <w:t>，兴利库容6976万m</w:t>
      </w:r>
      <w:r>
        <w:rPr>
          <w:rFonts w:hint="eastAsia"/>
          <w:vertAlign w:val="superscript"/>
        </w:rPr>
        <w:t>3</w:t>
      </w:r>
      <w:r>
        <w:rPr>
          <w:rFonts w:hint="eastAsia"/>
        </w:rPr>
        <w:t>，设计灌溉面积20.8521万亩，其中：中型水库</w:t>
      </w:r>
      <w:r>
        <w:t>2</w:t>
      </w:r>
      <w:r>
        <w:rPr>
          <w:rFonts w:hint="eastAsia"/>
        </w:rPr>
        <w:t>座（鱼形山水库、梓山村水库），水库总集雨面积46.4km</w:t>
      </w:r>
      <w:r>
        <w:rPr>
          <w:rFonts w:hint="eastAsia"/>
          <w:vertAlign w:val="superscript"/>
        </w:rPr>
        <w:t>2</w:t>
      </w:r>
      <w:r>
        <w:rPr>
          <w:rFonts w:hint="eastAsia"/>
        </w:rPr>
        <w:t>，总库容4470万m</w:t>
      </w:r>
      <w:r>
        <w:rPr>
          <w:rFonts w:hint="eastAsia"/>
          <w:vertAlign w:val="superscript"/>
        </w:rPr>
        <w:t>3</w:t>
      </w:r>
      <w:r>
        <w:rPr>
          <w:rFonts w:hint="eastAsia"/>
        </w:rPr>
        <w:t>，兴利库容3038万m</w:t>
      </w:r>
      <w:r>
        <w:rPr>
          <w:rFonts w:hint="eastAsia"/>
          <w:vertAlign w:val="superscript"/>
        </w:rPr>
        <w:t>3</w:t>
      </w:r>
      <w:r>
        <w:rPr>
          <w:rFonts w:hint="eastAsia"/>
        </w:rPr>
        <w:t>，设计灌溉面积6.2万亩；小（1）型水库22座，总库容3014万m</w:t>
      </w:r>
      <w:r>
        <w:rPr>
          <w:rFonts w:hint="eastAsia"/>
          <w:vertAlign w:val="superscript"/>
        </w:rPr>
        <w:t>3</w:t>
      </w:r>
      <w:r>
        <w:rPr>
          <w:rFonts w:hint="eastAsia"/>
        </w:rPr>
        <w:t>，兴利库容2169m</w:t>
      </w:r>
      <w:r>
        <w:rPr>
          <w:rFonts w:hint="eastAsia"/>
          <w:vertAlign w:val="superscript"/>
        </w:rPr>
        <w:t>3</w:t>
      </w:r>
      <w:r>
        <w:rPr>
          <w:rFonts w:hint="eastAsia"/>
        </w:rPr>
        <w:t>，设计灌溉面积7.91万亩；小（2）型水库1</w:t>
      </w:r>
      <w:r>
        <w:t>48</w:t>
      </w:r>
      <w:r>
        <w:rPr>
          <w:rFonts w:hint="eastAsia"/>
        </w:rPr>
        <w:t>座，总库容2471万m</w:t>
      </w:r>
      <w:r>
        <w:rPr>
          <w:rFonts w:hint="eastAsia"/>
          <w:vertAlign w:val="superscript"/>
        </w:rPr>
        <w:t>3</w:t>
      </w:r>
      <w:r>
        <w:rPr>
          <w:rFonts w:hint="eastAsia"/>
        </w:rPr>
        <w:t>，兴利库容1769万m</w:t>
      </w:r>
      <w:r>
        <w:rPr>
          <w:rFonts w:hint="eastAsia"/>
          <w:vertAlign w:val="superscript"/>
        </w:rPr>
        <w:t>3</w:t>
      </w:r>
      <w:r>
        <w:rPr>
          <w:rFonts w:hint="eastAsia"/>
        </w:rPr>
        <w:t>，设计灌溉面积8.94万亩；山塘10580座，总库容8721万m</w:t>
      </w:r>
      <w:r>
        <w:rPr>
          <w:rFonts w:hint="eastAsia"/>
          <w:vertAlign w:val="superscript"/>
        </w:rPr>
        <w:t>3</w:t>
      </w:r>
      <w:r>
        <w:rPr>
          <w:rFonts w:hint="eastAsia"/>
        </w:rPr>
        <w:t>，正常库容8559万m</w:t>
      </w:r>
      <w:r>
        <w:rPr>
          <w:rFonts w:hint="eastAsia"/>
          <w:vertAlign w:val="superscript"/>
        </w:rPr>
        <w:t>3</w:t>
      </w:r>
      <w:r>
        <w:rPr>
          <w:rFonts w:hint="eastAsia"/>
        </w:rPr>
        <w:t>；引水河坝（涵闸）432处，设计引水流量123.79m</w:t>
      </w:r>
      <w:r>
        <w:rPr>
          <w:rFonts w:hint="eastAsia"/>
          <w:vertAlign w:val="superscript"/>
        </w:rPr>
        <w:t>3</w:t>
      </w:r>
      <w:r>
        <w:rPr>
          <w:rFonts w:hint="eastAsia"/>
        </w:rPr>
        <w:t>/s，多年平均引水量14104万m</w:t>
      </w:r>
      <w:r>
        <w:rPr>
          <w:rFonts w:hint="eastAsia"/>
          <w:vertAlign w:val="superscript"/>
        </w:rPr>
        <w:t>3</w:t>
      </w:r>
      <w:r>
        <w:rPr>
          <w:rFonts w:hint="eastAsia"/>
        </w:rPr>
        <w:t>；灌溉泵站（含灌排结合泵站）711处合计745台总装机容量15581kW，设计提水流量134.3m</w:t>
      </w:r>
      <w:r>
        <w:rPr>
          <w:rFonts w:hint="eastAsia"/>
          <w:vertAlign w:val="superscript"/>
        </w:rPr>
        <w:t>3</w:t>
      </w:r>
      <w:r>
        <w:rPr>
          <w:rFonts w:hint="eastAsia"/>
        </w:rPr>
        <w:t>/s，多年平均提水量7799万m</w:t>
      </w:r>
      <w:r>
        <w:rPr>
          <w:rFonts w:hint="eastAsia"/>
          <w:vertAlign w:val="superscript"/>
        </w:rPr>
        <w:t>3</w:t>
      </w:r>
      <w:r>
        <w:rPr>
          <w:rFonts w:hint="eastAsia"/>
        </w:rPr>
        <w:t>。全区共有排涝泵站159处合计301台总装机容量40041kW，设计排水流量265.1m</w:t>
      </w:r>
      <w:r>
        <w:rPr>
          <w:rFonts w:hint="eastAsia"/>
          <w:vertAlign w:val="superscript"/>
        </w:rPr>
        <w:t>3</w:t>
      </w:r>
      <w:r>
        <w:rPr>
          <w:rFonts w:hint="eastAsia"/>
        </w:rPr>
        <w:t>/s；水电站12处合计30台总装机容量6800kW。</w:t>
      </w:r>
    </w:p>
    <w:p>
      <w:pPr>
        <w:pStyle w:val="3"/>
        <w:ind w:firstLine="560"/>
      </w:pPr>
      <w:r>
        <w:rPr>
          <w:rFonts w:hint="eastAsia"/>
        </w:rPr>
        <w:t>赫山区共有水闸108处，其中大（2）型水闸6处、中型水闸43处、小（1）型水闸25处、小（2）型水闸34处，总过闸流量18897.6m</w:t>
      </w:r>
      <w:r>
        <w:rPr>
          <w:rFonts w:hint="eastAsia"/>
          <w:vertAlign w:val="superscript"/>
        </w:rPr>
        <w:t>3</w:t>
      </w:r>
      <w:r>
        <w:rPr>
          <w:rFonts w:hint="eastAsia"/>
        </w:rPr>
        <w:t>/s。</w:t>
      </w:r>
    </w:p>
    <w:p>
      <w:pPr>
        <w:pStyle w:val="3"/>
        <w:ind w:firstLine="560"/>
      </w:pPr>
      <w:r>
        <w:rPr>
          <w:rFonts w:hint="eastAsia"/>
        </w:rPr>
        <w:t>全区共有骨干渠道总长2049.3km，其中已衬砌401.7km，未衬砌（土渠）1647.6km，配套渠系建筑物8528座；田间渠道总长8847.0km，其中已衬砌1512.1km，未衬砌（土渠）7334.8km，配套渠系建筑物126376座。</w:t>
      </w:r>
    </w:p>
    <w:p>
      <w:pPr>
        <w:pStyle w:val="4"/>
      </w:pPr>
      <w:bookmarkStart w:id="10" w:name="_Toc78791589"/>
      <w:bookmarkStart w:id="11" w:name="_Toc25574"/>
      <w:r>
        <w:rPr>
          <w:rFonts w:hint="eastAsia"/>
        </w:rPr>
        <w:t>自然灾害情况</w:t>
      </w:r>
      <w:bookmarkEnd w:id="10"/>
      <w:bookmarkEnd w:id="11"/>
    </w:p>
    <w:p>
      <w:pPr>
        <w:pStyle w:val="3"/>
        <w:ind w:firstLine="560"/>
      </w:pPr>
      <w:r>
        <w:rPr>
          <w:rFonts w:hint="eastAsia"/>
        </w:rPr>
        <w:t>赫山区是一个自然灾害多发地区，主要有洪涝、暴雨、干旱、寒潮、</w:t>
      </w:r>
      <w:r>
        <w:t>5</w:t>
      </w:r>
      <w:r>
        <w:rPr>
          <w:rFonts w:hint="eastAsia"/>
        </w:rPr>
        <w:t>月低温、干热风、寒露风、冰冻，尤以旱涝为甚。</w:t>
      </w:r>
    </w:p>
    <w:p>
      <w:pPr>
        <w:pStyle w:val="3"/>
        <w:ind w:firstLine="560"/>
      </w:pPr>
      <w:r>
        <w:rPr>
          <w:rFonts w:hint="eastAsia"/>
        </w:rPr>
        <w:t>洪涝和暴雨一般出现在</w:t>
      </w:r>
      <w:r>
        <w:t>7</w:t>
      </w:r>
      <w:r>
        <w:rPr>
          <w:rFonts w:hint="eastAsia"/>
        </w:rPr>
        <w:t>月份，近年来时间有所延长，从</w:t>
      </w:r>
      <w:r>
        <w:t>6</w:t>
      </w:r>
      <w:r>
        <w:rPr>
          <w:rFonts w:hint="eastAsia"/>
        </w:rPr>
        <w:t>月下旬到</w:t>
      </w:r>
      <w:r>
        <w:t>8</w:t>
      </w:r>
      <w:r>
        <w:rPr>
          <w:rFonts w:hint="eastAsia"/>
        </w:rPr>
        <w:t>月底，甚至</w:t>
      </w:r>
      <w:r>
        <w:t>9</w:t>
      </w:r>
      <w:r>
        <w:rPr>
          <w:rFonts w:hint="eastAsia"/>
        </w:rPr>
        <w:t>月上旬，其危害较为严重。干旱一般出现在夏秋两季，有时出现在春季，影响早稻田翻耕、晚稻栽插和秋冬作物的播种。寒潮主要出现在春季，影响秋冬作物的抽穗、拔节和开花结实，以及春播作物的播种和育苗。</w:t>
      </w:r>
      <w:r>
        <w:t>5</w:t>
      </w:r>
      <w:r>
        <w:rPr>
          <w:rFonts w:hint="eastAsia"/>
        </w:rPr>
        <w:t>月低温主要导致粮棉烂种死苗和僵苗不发，影响油菜收获。干热风主要出现在夏季，影响早稻的抽穗扬花和灌浆，以及柑桔开花。寒露风出现在</w:t>
      </w:r>
      <w:r>
        <w:t>9</w:t>
      </w:r>
      <w:r>
        <w:rPr>
          <w:rFonts w:hint="eastAsia"/>
        </w:rPr>
        <w:t>月中下旬，对棉花生产产生影响。</w:t>
      </w:r>
    </w:p>
    <w:p>
      <w:pPr>
        <w:pStyle w:val="3"/>
        <w:ind w:firstLine="560"/>
      </w:pPr>
      <w:r>
        <w:rPr>
          <w:rFonts w:hint="eastAsia"/>
        </w:rPr>
        <w:t>“十三五”期间，赫山区的洪涝灾害依然严重。2016年、2017年，赫山区连续遭受了特大洪水袭击，两年来资江一线大堤出现管涌、跌窝、大堤渗漏等险情107处，烂泥湖撇洪河堤防出现漫堤、滑坡、渗漏等险情69处，内湖内河渍堤出险153处，其中重大险情3处，特别是2017年“7·3”资江大堤小河口羊角闸段特大管涌，险些造成溃垸，严重威胁人民生命财产安全。</w:t>
      </w:r>
    </w:p>
    <w:p>
      <w:pPr>
        <w:pStyle w:val="3"/>
        <w:ind w:firstLine="560"/>
      </w:pPr>
    </w:p>
    <w:p>
      <w:pPr>
        <w:pStyle w:val="3"/>
        <w:ind w:firstLine="560"/>
        <w:sectPr>
          <w:footerReference r:id="rId10" w:type="default"/>
          <w:type w:val="nextColumn"/>
          <w:pgSz w:w="11906" w:h="16838"/>
          <w:pgMar w:top="1871" w:right="1418" w:bottom="1440" w:left="1418" w:header="1247" w:footer="1191" w:gutter="284"/>
          <w:pgNumType w:start="1"/>
          <w:cols w:space="425" w:num="1"/>
          <w:docGrid w:type="linesAndChars" w:linePitch="312" w:charSpace="0"/>
        </w:sectPr>
      </w:pPr>
    </w:p>
    <w:p>
      <w:pPr>
        <w:pStyle w:val="2"/>
      </w:pPr>
      <w:bookmarkStart w:id="12" w:name="_Toc2785"/>
      <w:bookmarkStart w:id="13" w:name="_Toc78791590"/>
      <w:r>
        <w:rPr>
          <w:rFonts w:hint="eastAsia"/>
        </w:rPr>
        <w:t>水安全保障现状与问题分析</w:t>
      </w:r>
      <w:bookmarkEnd w:id="12"/>
      <w:bookmarkEnd w:id="13"/>
    </w:p>
    <w:p>
      <w:pPr>
        <w:pStyle w:val="3"/>
        <w:ind w:firstLine="560"/>
      </w:pPr>
    </w:p>
    <w:p>
      <w:pPr>
        <w:pStyle w:val="4"/>
      </w:pPr>
      <w:bookmarkStart w:id="14" w:name="_Toc14786"/>
      <w:bookmarkStart w:id="15" w:name="_Toc78791591"/>
      <w:r>
        <w:rPr>
          <w:rFonts w:hint="eastAsia"/>
        </w:rPr>
        <w:t>“十三五”水利发展的主要成就及任务完成情况</w:t>
      </w:r>
      <w:bookmarkEnd w:id="14"/>
      <w:bookmarkEnd w:id="15"/>
    </w:p>
    <w:p>
      <w:pPr>
        <w:pStyle w:val="3"/>
        <w:ind w:firstLine="560"/>
      </w:pPr>
      <w:r>
        <w:rPr>
          <w:rFonts w:hint="eastAsia"/>
        </w:rPr>
        <w:t>“十三五”期间，我区共完成水利建设投资近18亿元，扎实推进了堤防加固、重点涝区治理、水库和水闸除险加固、水生态环境整治与修复（中小河流治理、沟渠塘坝清淤增蓄）、中型灌区续建配套工程和农饮安全巩固提升等六个方面水利建设。这些工程的建设与完善，夯实了我区防洪保安基础，农饮安全得到巩固和提升，农业灌溉设施进一步完善，水生态环境得到改善。</w:t>
      </w:r>
    </w:p>
    <w:p>
      <w:pPr>
        <w:pStyle w:val="3"/>
        <w:ind w:firstLine="560"/>
      </w:pPr>
      <w:r>
        <w:rPr>
          <w:rFonts w:hint="eastAsia"/>
        </w:rPr>
        <w:t>“十三五”期间，水资源管理“三条红线”控制目标为2020年水资源开发利用用水总量控制指标为7.2</w:t>
      </w:r>
      <w:r>
        <w:t>12</w:t>
      </w:r>
      <w:r>
        <w:rPr>
          <w:rFonts w:hint="eastAsia"/>
        </w:rPr>
        <w:t>亿m</w:t>
      </w:r>
      <w:r>
        <w:rPr>
          <w:vertAlign w:val="superscript"/>
        </w:rPr>
        <w:t>3</w:t>
      </w:r>
      <w:r>
        <w:rPr>
          <w:rFonts w:hint="eastAsia"/>
        </w:rPr>
        <w:t>，万元工业增加值用水量控制指标</w:t>
      </w:r>
      <w:r>
        <w:t>106.4</w:t>
      </w:r>
      <w:r>
        <w:rPr>
          <w:rFonts w:hint="eastAsia"/>
        </w:rPr>
        <w:t>m</w:t>
      </w:r>
      <w:r>
        <w:rPr>
          <w:vertAlign w:val="superscript"/>
        </w:rPr>
        <w:t>3</w:t>
      </w:r>
      <w:r>
        <w:rPr>
          <w:rFonts w:hint="eastAsia"/>
        </w:rPr>
        <w:t>/万元，农田灌溉水有效利用系数控制指标0.5</w:t>
      </w:r>
      <w:r>
        <w:t>3</w:t>
      </w:r>
      <w:r>
        <w:rPr>
          <w:rFonts w:hint="eastAsia"/>
        </w:rPr>
        <w:t>9。20</w:t>
      </w:r>
      <w:r>
        <w:t>20</w:t>
      </w:r>
      <w:r>
        <w:rPr>
          <w:rFonts w:hint="eastAsia"/>
        </w:rPr>
        <w:t>年全区用水总量为3.</w:t>
      </w:r>
      <w:r>
        <w:t>0331</w:t>
      </w:r>
      <w:r>
        <w:rPr>
          <w:rFonts w:hint="eastAsia"/>
        </w:rPr>
        <w:t>亿m</w:t>
      </w:r>
      <w:r>
        <w:rPr>
          <w:vertAlign w:val="superscript"/>
        </w:rPr>
        <w:t>3</w:t>
      </w:r>
      <w:r>
        <w:rPr>
          <w:rFonts w:hint="eastAsia"/>
        </w:rPr>
        <w:t>，万元工业增加值用水量2</w:t>
      </w:r>
      <w:r>
        <w:t>5.01</w:t>
      </w:r>
      <w:r>
        <w:rPr>
          <w:rFonts w:hint="eastAsia"/>
        </w:rPr>
        <w:t>m</w:t>
      </w:r>
      <w:r>
        <w:rPr>
          <w:vertAlign w:val="superscript"/>
        </w:rPr>
        <w:t>3</w:t>
      </w:r>
      <w:r>
        <w:rPr>
          <w:rFonts w:hint="eastAsia"/>
        </w:rPr>
        <w:t>/万元，农田灌溉水有效利用系数达到0.5</w:t>
      </w:r>
      <w:r>
        <w:t>63</w:t>
      </w:r>
      <w:r>
        <w:rPr>
          <w:rFonts w:hint="eastAsia"/>
        </w:rPr>
        <w:t>，2020年全面实现目标。农村饮水安全覆盖率达到100%，解决10.41万人饮水安全问题（其中贫困人口2.839万人），农村供水人口达到5</w:t>
      </w:r>
      <w:r>
        <w:t>3</w:t>
      </w:r>
      <w:r>
        <w:rPr>
          <w:rFonts w:hint="eastAsia"/>
        </w:rPr>
        <w:t>.99万人，农村自来水普及率达到9</w:t>
      </w:r>
      <w:r>
        <w:t>2</w:t>
      </w:r>
      <w:r>
        <w:rPr>
          <w:rFonts w:hint="eastAsia"/>
        </w:rPr>
        <w:t>%，水质达标率达到</w:t>
      </w:r>
      <w:r>
        <w:t>95.6</w:t>
      </w:r>
      <w:r>
        <w:rPr>
          <w:rFonts w:hint="eastAsia"/>
        </w:rPr>
        <w:t>%。</w:t>
      </w:r>
    </w:p>
    <w:p>
      <w:pPr>
        <w:pStyle w:val="3"/>
        <w:ind w:firstLine="560"/>
      </w:pPr>
      <w:r>
        <w:rPr>
          <w:rFonts w:hint="eastAsia"/>
        </w:rPr>
        <w:t>1、水利建设成效显著</w:t>
      </w:r>
    </w:p>
    <w:p>
      <w:pPr>
        <w:pStyle w:val="3"/>
        <w:ind w:firstLine="560"/>
      </w:pPr>
      <w:r>
        <w:rPr>
          <w:rFonts w:hint="eastAsia"/>
        </w:rPr>
        <w:t>“十三五”期间，我区水利建设成效显著，主要完成任务如下：</w:t>
      </w:r>
    </w:p>
    <w:p>
      <w:pPr>
        <w:pStyle w:val="3"/>
        <w:numPr>
          <w:ilvl w:val="255"/>
          <w:numId w:val="0"/>
        </w:numPr>
        <w:ind w:left="480" w:leftChars="200"/>
      </w:pPr>
      <w:r>
        <w:rPr>
          <w:rFonts w:hint="eastAsia"/>
        </w:rPr>
        <w:t>（1）堤防工程建设</w:t>
      </w:r>
    </w:p>
    <w:p>
      <w:pPr>
        <w:pStyle w:val="3"/>
        <w:ind w:firstLine="560"/>
      </w:pPr>
      <w:r>
        <w:rPr>
          <w:rFonts w:hint="eastAsia"/>
        </w:rPr>
        <w:t>完成永申垸堤防灌浆6.2km，压浸平台8处0.7km，改造建筑物12处，防汛公路硬化</w:t>
      </w:r>
      <w:r>
        <w:t>110.6</w:t>
      </w:r>
      <w:r>
        <w:rPr>
          <w:rFonts w:hint="eastAsia"/>
        </w:rPr>
        <w:t>km；完成烂泥湖垸资江一线防洪大堤完成防渗墙7.6km，压把井封堵1189口，险段处置32处；完成内湖内河渍堤防渗灌浆37.1km。</w:t>
      </w:r>
    </w:p>
    <w:p>
      <w:pPr>
        <w:pStyle w:val="3"/>
        <w:numPr>
          <w:ilvl w:val="255"/>
          <w:numId w:val="0"/>
        </w:numPr>
        <w:ind w:left="480" w:leftChars="200"/>
      </w:pPr>
      <w:r>
        <w:rPr>
          <w:rFonts w:hint="eastAsia"/>
        </w:rPr>
        <w:t>（2）重点涝区治理</w:t>
      </w:r>
    </w:p>
    <w:p>
      <w:pPr>
        <w:pStyle w:val="3"/>
        <w:ind w:firstLine="560"/>
      </w:pPr>
      <w:r>
        <w:rPr>
          <w:rFonts w:hint="eastAsia"/>
        </w:rPr>
        <w:t>新建了鹿角湖和奎星塔两座中型泵站，启动了烂泥湖涝区近期治理项目，完成窑头湖泵站新建和65座泵站更新改造，完成撇洪河渠整治39.48km、排涝渠整治26.56km和23座涵闸改造等。</w:t>
      </w:r>
    </w:p>
    <w:p>
      <w:pPr>
        <w:pStyle w:val="3"/>
        <w:numPr>
          <w:ilvl w:val="255"/>
          <w:numId w:val="0"/>
        </w:numPr>
        <w:ind w:left="480" w:leftChars="200"/>
      </w:pPr>
      <w:r>
        <w:rPr>
          <w:rFonts w:hint="eastAsia"/>
        </w:rPr>
        <w:t>（3）水库（含骨干口塘）、水闸工程</w:t>
      </w:r>
    </w:p>
    <w:p>
      <w:pPr>
        <w:pStyle w:val="3"/>
        <w:ind w:firstLine="560"/>
      </w:pPr>
      <w:r>
        <w:rPr>
          <w:rFonts w:hint="eastAsia"/>
        </w:rPr>
        <w:t>完成全区159座上型号水库除险加固，完成骨干山塘处险14口，完成大路坪节制闸除险加固。</w:t>
      </w:r>
    </w:p>
    <w:p>
      <w:pPr>
        <w:pStyle w:val="3"/>
        <w:numPr>
          <w:ilvl w:val="255"/>
          <w:numId w:val="0"/>
        </w:numPr>
        <w:ind w:left="480" w:leftChars="200"/>
      </w:pPr>
      <w:r>
        <w:rPr>
          <w:rFonts w:hint="eastAsia"/>
        </w:rPr>
        <w:t>（4）水生态环境整治与修复工程</w:t>
      </w:r>
    </w:p>
    <w:p>
      <w:pPr>
        <w:pStyle w:val="3"/>
        <w:ind w:firstLine="560"/>
      </w:pPr>
      <w:r>
        <w:rPr>
          <w:rFonts w:hint="eastAsia"/>
        </w:rPr>
        <w:t>实施了中小河流重点县及水系连通9个项目区建设和烂泥湖撇洪河二期治理工程，完成河道整治410.33km；开展洞庭湖沟渠塘坝清淤疏浚，共完成沟渠疏浚523条1401.06km，塘坝101处；完成衡龙桥生态清洁小流域项目，综合治理水土流失面积23.5km</w:t>
      </w:r>
      <w:r>
        <w:rPr>
          <w:vertAlign w:val="superscript"/>
        </w:rPr>
        <w:t>2</w:t>
      </w:r>
      <w:r>
        <w:rPr>
          <w:rFonts w:hint="eastAsia"/>
        </w:rPr>
        <w:t>。</w:t>
      </w:r>
    </w:p>
    <w:p>
      <w:pPr>
        <w:pStyle w:val="3"/>
        <w:numPr>
          <w:ilvl w:val="255"/>
          <w:numId w:val="0"/>
        </w:numPr>
        <w:ind w:left="560"/>
      </w:pPr>
      <w:r>
        <w:rPr>
          <w:rFonts w:hint="eastAsia"/>
        </w:rPr>
        <w:t>（5）灌溉工程建设</w:t>
      </w:r>
    </w:p>
    <w:p>
      <w:pPr>
        <w:pStyle w:val="3"/>
        <w:ind w:firstLine="560"/>
      </w:pPr>
      <w:r>
        <w:rPr>
          <w:rFonts w:hint="eastAsia"/>
        </w:rPr>
        <w:t>兰溪河灌区和新河灌区两处中型灌区续建配套，完成22.58km渠道衬砌及配套渠系建筑物改造；小农水项目县工程完成2000亩高效节水配套，山塘24口、5处河坝改造建设等。</w:t>
      </w:r>
    </w:p>
    <w:p>
      <w:pPr>
        <w:pStyle w:val="3"/>
        <w:numPr>
          <w:ilvl w:val="255"/>
          <w:numId w:val="0"/>
        </w:numPr>
        <w:ind w:left="560"/>
      </w:pPr>
      <w:r>
        <w:rPr>
          <w:rFonts w:hint="eastAsia"/>
        </w:rPr>
        <w:t>（6）农饮安全巩固提升</w:t>
      </w:r>
    </w:p>
    <w:p>
      <w:pPr>
        <w:pStyle w:val="3"/>
        <w:ind w:firstLine="560"/>
      </w:pPr>
      <w:r>
        <w:rPr>
          <w:rFonts w:hint="eastAsia"/>
        </w:rPr>
        <w:t>共完成77处农饮工程提质改造，新建2处供水工程，解决10.41万人饮水安全问题（其中贫困人口2.839万人），农村供水人口达到5</w:t>
      </w:r>
      <w:r>
        <w:t>3</w:t>
      </w:r>
      <w:r>
        <w:rPr>
          <w:rFonts w:hint="eastAsia"/>
        </w:rPr>
        <w:t>.99万人，农村自来水普及率达到9</w:t>
      </w:r>
      <w:r>
        <w:t>2</w:t>
      </w:r>
      <w:r>
        <w:rPr>
          <w:rFonts w:hint="eastAsia"/>
        </w:rPr>
        <w:t>%，水质达标率达到</w:t>
      </w:r>
      <w:r>
        <w:t>95.6</w:t>
      </w:r>
      <w:r>
        <w:rPr>
          <w:rFonts w:hint="eastAsia"/>
        </w:rPr>
        <w:t>%。这些工程建设与完善，夯实了我区防洪保安基础，农饮安全得到巩固和提升，农业灌溉设施进一步完善，水生态环境得到改善。</w:t>
      </w:r>
    </w:p>
    <w:p>
      <w:pPr>
        <w:pStyle w:val="3"/>
        <w:ind w:firstLine="560"/>
      </w:pPr>
      <w:r>
        <w:rPr>
          <w:rFonts w:hint="eastAsia"/>
        </w:rPr>
        <w:t>2、水务管理迈上新台阶</w:t>
      </w:r>
    </w:p>
    <w:p>
      <w:pPr>
        <w:pStyle w:val="3"/>
        <w:ind w:firstLine="560"/>
      </w:pPr>
      <w:r>
        <w:rPr>
          <w:rFonts w:hint="eastAsia"/>
        </w:rPr>
        <w:t>（1）严格水资源管理</w:t>
      </w:r>
    </w:p>
    <w:p>
      <w:pPr>
        <w:pStyle w:val="3"/>
        <w:ind w:firstLine="560"/>
      </w:pPr>
      <w:r>
        <w:rPr>
          <w:rFonts w:hint="eastAsia"/>
        </w:rPr>
        <w:t>切实履行全区水资源管理职能，实行最严格水资源管理制度工作的部署和要求，严守用水总量、用水效率、水功能区限制纳污“三条红线”控制指标，目标全面实现（“十三五”期间水资源管理“三条红线”控制目标：水资源开发利用用水总量控制指标为7.266亿m</w:t>
      </w:r>
      <w:r>
        <w:rPr>
          <w:vertAlign w:val="superscript"/>
        </w:rPr>
        <w:t>3</w:t>
      </w:r>
      <w:r>
        <w:rPr>
          <w:rFonts w:hint="eastAsia"/>
        </w:rPr>
        <w:t>，20</w:t>
      </w:r>
      <w:r>
        <w:t>20</w:t>
      </w:r>
      <w:r>
        <w:rPr>
          <w:rFonts w:hint="eastAsia"/>
        </w:rPr>
        <w:t>年用水总量为3.</w:t>
      </w:r>
      <w:r>
        <w:t>0331</w:t>
      </w:r>
      <w:r>
        <w:rPr>
          <w:rFonts w:hint="eastAsia"/>
        </w:rPr>
        <w:t>亿m</w:t>
      </w:r>
      <w:r>
        <w:rPr>
          <w:vertAlign w:val="superscript"/>
        </w:rPr>
        <w:t>3</w:t>
      </w:r>
      <w:r>
        <w:rPr>
          <w:rFonts w:hint="eastAsia"/>
        </w:rPr>
        <w:t>；万元工业增加值用水量控制指标91m</w:t>
      </w:r>
      <w:r>
        <w:rPr>
          <w:vertAlign w:val="superscript"/>
        </w:rPr>
        <w:t>3</w:t>
      </w:r>
      <w:r>
        <w:rPr>
          <w:rFonts w:hint="eastAsia"/>
        </w:rPr>
        <w:t>/万元，20</w:t>
      </w:r>
      <w:r>
        <w:t>20</w:t>
      </w:r>
      <w:r>
        <w:rPr>
          <w:rFonts w:hint="eastAsia"/>
        </w:rPr>
        <w:t>年2</w:t>
      </w:r>
      <w:r>
        <w:t>5.01</w:t>
      </w:r>
      <w:r>
        <w:rPr>
          <w:rFonts w:hint="eastAsia"/>
        </w:rPr>
        <w:t>m</w:t>
      </w:r>
      <w:r>
        <w:rPr>
          <w:vertAlign w:val="superscript"/>
        </w:rPr>
        <w:t>3</w:t>
      </w:r>
      <w:r>
        <w:rPr>
          <w:rFonts w:hint="eastAsia"/>
        </w:rPr>
        <w:t>/万元；万元GDP用水量控制指标131.2m</w:t>
      </w:r>
      <w:r>
        <w:rPr>
          <w:vertAlign w:val="superscript"/>
        </w:rPr>
        <w:t>3</w:t>
      </w:r>
      <w:r>
        <w:rPr>
          <w:rFonts w:hint="eastAsia"/>
        </w:rPr>
        <w:t>，20</w:t>
      </w:r>
      <w:r>
        <w:t>20</w:t>
      </w:r>
      <w:r>
        <w:rPr>
          <w:rFonts w:hint="eastAsia"/>
        </w:rPr>
        <w:t>年</w:t>
      </w:r>
      <w:r>
        <w:t>73.42</w:t>
      </w:r>
      <w:r>
        <w:rPr>
          <w:rFonts w:hint="eastAsia"/>
        </w:rPr>
        <w:t>m</w:t>
      </w:r>
      <w:r>
        <w:rPr>
          <w:vertAlign w:val="superscript"/>
        </w:rPr>
        <w:t>3</w:t>
      </w:r>
      <w:r>
        <w:rPr>
          <w:rFonts w:hint="eastAsia"/>
        </w:rPr>
        <w:t>；农田灌溉水有效利用系数控制指标0.549，20</w:t>
      </w:r>
      <w:r>
        <w:t>20</w:t>
      </w:r>
      <w:r>
        <w:rPr>
          <w:rFonts w:hint="eastAsia"/>
        </w:rPr>
        <w:t>年达到0.5</w:t>
      </w:r>
      <w:r>
        <w:t>63</w:t>
      </w:r>
      <w:r>
        <w:rPr>
          <w:rFonts w:hint="eastAsia"/>
        </w:rPr>
        <w:t>）。</w:t>
      </w:r>
    </w:p>
    <w:p>
      <w:pPr>
        <w:pStyle w:val="3"/>
        <w:ind w:firstLine="560"/>
      </w:pPr>
      <w:r>
        <w:rPr>
          <w:rFonts w:hint="eastAsia"/>
        </w:rPr>
        <w:t>（2）加强依法行政</w:t>
      </w:r>
    </w:p>
    <w:p>
      <w:pPr>
        <w:pStyle w:val="3"/>
        <w:ind w:firstLine="560"/>
      </w:pPr>
      <w:r>
        <w:rPr>
          <w:rFonts w:hint="eastAsia"/>
        </w:rPr>
        <w:t>深入开展水法宣传；强力推进河湖四乱整治，对39处“四乱”问题全部销号；依法查处水事违法问题，处理水事违法案件105件；严厉打击河道非法采砂行为，基本实施资江盗采清零、非法洗砂场清零。规范行政审批，依法审批水土保持方案81例，审批和办理取水许可58件。</w:t>
      </w:r>
    </w:p>
    <w:p>
      <w:pPr>
        <w:pStyle w:val="4"/>
      </w:pPr>
      <w:bookmarkStart w:id="16" w:name="_Toc28565"/>
      <w:bookmarkStart w:id="17" w:name="_Toc78791592"/>
      <w:r>
        <w:rPr>
          <w:rFonts w:hint="eastAsia"/>
        </w:rPr>
        <w:t>“十四五”水安全保障面临的主要问题</w:t>
      </w:r>
      <w:bookmarkEnd w:id="16"/>
      <w:bookmarkEnd w:id="17"/>
    </w:p>
    <w:p>
      <w:pPr>
        <w:pStyle w:val="3"/>
        <w:ind w:firstLine="560"/>
      </w:pPr>
      <w:r>
        <w:rPr>
          <w:rFonts w:hint="eastAsia"/>
        </w:rPr>
        <w:t>尽管“十三五”期间取得了较大成绩，但由于历史欠账多，投入不足等多种原因，“十四五”期间仍面临较多问题。</w:t>
      </w:r>
    </w:p>
    <w:p>
      <w:pPr>
        <w:pStyle w:val="3"/>
        <w:numPr>
          <w:ilvl w:val="255"/>
          <w:numId w:val="0"/>
        </w:numPr>
        <w:ind w:left="560"/>
      </w:pPr>
      <w:r>
        <w:rPr>
          <w:rFonts w:hint="eastAsia"/>
        </w:rPr>
        <w:t>（1）防洪大堤标准低，不能满足防御较大洪水的要求。</w:t>
      </w:r>
    </w:p>
    <w:p>
      <w:pPr>
        <w:pStyle w:val="3"/>
        <w:ind w:firstLine="560"/>
      </w:pPr>
      <w:r>
        <w:rPr>
          <w:rFonts w:hint="eastAsia"/>
        </w:rPr>
        <w:t>我区烂泥湖垸资江一线大堤尽管经过洞庭湖一、二期治理，加大了防洪工程力度。但从2003年开始基本没有投入资金进行整治，由于柘溪泄洪、泥沙淤积，江湖关系发生了重大改变，导致我区防洪形势发生变化，加上堤防经过2016、2017年超设计水位运行，新的险工和隐患很多，特别是2017年“7·3”资江大堤小河口羊角闸段特大管涌，险些造成溃垸，严重威胁垸内人民生命财产安全。此外，永申垸和新安垸两个一般垸堤防建设因国家没有投入，全靠当地群众自筹资金，其建设标准远未达到堤防的设计标准。一旦出现较大洪水，重点垸仍将会出现重大险情，一般垸可能发生溃垸。若1954年型洪水重现，湖区人民群众的生命财产安全仍然受到严重威胁。</w:t>
      </w:r>
    </w:p>
    <w:p>
      <w:pPr>
        <w:pStyle w:val="3"/>
        <w:numPr>
          <w:ilvl w:val="255"/>
          <w:numId w:val="0"/>
        </w:numPr>
        <w:ind w:left="560"/>
      </w:pPr>
      <w:r>
        <w:rPr>
          <w:rFonts w:hint="eastAsia"/>
        </w:rPr>
        <w:t>（2）湖区排涝设备老化、效益衰减，内涝灾害仍然频繁。</w:t>
      </w:r>
    </w:p>
    <w:p>
      <w:pPr>
        <w:pStyle w:val="3"/>
        <w:ind w:firstLine="560"/>
      </w:pPr>
      <w:r>
        <w:rPr>
          <w:rFonts w:hint="eastAsia"/>
        </w:rPr>
        <w:t>赫山区共有55kW以上中小型泵站115处259台43096kW，经过实施新河、小河口、大丰三大泵站更新改造和烂泥湖涝区治理项目后，还有40处56台8409kW没有进行更新改造，还有14个一般涝区没有治理，各泵站普遍存在建设标准低，建筑物因年久失修破损严重，机电及金结设备严重老化、锈蚀，配套渠系垮塌淤积，管理设施薄弱等方面的问题，致使部分易涝区排涝能力仅3～5年一遇，涝灾仍然频繁，急需继续进行泵站更新改造和涝区治理。</w:t>
      </w:r>
    </w:p>
    <w:p>
      <w:pPr>
        <w:pStyle w:val="3"/>
        <w:numPr>
          <w:ilvl w:val="255"/>
          <w:numId w:val="0"/>
        </w:numPr>
        <w:ind w:left="560"/>
      </w:pPr>
      <w:r>
        <w:rPr>
          <w:rFonts w:hint="eastAsia"/>
        </w:rPr>
        <w:t>（3）山丘区防洪抗旱能力弱，不能满足社会经济发展要求。</w:t>
      </w:r>
    </w:p>
    <w:p>
      <w:pPr>
        <w:pStyle w:val="3"/>
        <w:ind w:firstLine="560"/>
      </w:pPr>
      <w:r>
        <w:rPr>
          <w:rFonts w:hint="eastAsia"/>
        </w:rPr>
        <w:t>我区已建成中型水库</w:t>
      </w:r>
      <w:r>
        <w:t>2</w:t>
      </w:r>
      <w:r>
        <w:rPr>
          <w:rFonts w:hint="eastAsia"/>
        </w:rPr>
        <w:t>处，小（1）型水库</w:t>
      </w:r>
      <w:r>
        <w:t>22</w:t>
      </w:r>
      <w:r>
        <w:rPr>
          <w:rFonts w:hint="eastAsia"/>
        </w:rPr>
        <w:t>处、小（2）型水库</w:t>
      </w:r>
      <w:r>
        <w:t>148</w:t>
      </w:r>
      <w:r>
        <w:rPr>
          <w:rFonts w:hint="eastAsia"/>
        </w:rPr>
        <w:t>处，大中型水闸49处。这些水库、水闸大多建于20世纪50—60年代，由于建设年代久远，日常管理和维修经费不足，大部分工程老化失修，长期带病运行。虽然中小型水库虽然都经过了除险加固，也已启动了大型水闸除险加固，但由于受资金限制等原因，病险水库未得到根本治理，目前仍有34座水库存大坝坝身渗漏、溢洪道、泄洪渠冲毁等险情，84座小型水库31.7公里防汛通道未硬化；有2处大型和11处中型水闸存在闸基渗漏、设备老化、翼墙垮塌等病险没有除险加固，不能正常发挥其设计效益，不能满足防洪抗旱需要。同时，山丘区防洪工程建设薄弱，山洪灾害经常发生，严重威胁山丘区人民的生命财产安全，制约了山区经济社会发展。</w:t>
      </w:r>
    </w:p>
    <w:p>
      <w:pPr>
        <w:pStyle w:val="3"/>
        <w:numPr>
          <w:ilvl w:val="255"/>
          <w:numId w:val="0"/>
        </w:numPr>
        <w:ind w:left="560"/>
      </w:pPr>
      <w:r>
        <w:rPr>
          <w:rFonts w:hint="eastAsia"/>
        </w:rPr>
        <w:t>（4）农村饮水工程管网覆盖不全，饮水安全存在隐患。</w:t>
      </w:r>
    </w:p>
    <w:p>
      <w:pPr>
        <w:pStyle w:val="3"/>
        <w:ind w:firstLine="560"/>
      </w:pPr>
      <w:r>
        <w:rPr>
          <w:rFonts w:hint="eastAsia"/>
        </w:rPr>
        <w:t>目前，我区农村饮水工程管网覆盖大部分只到了村没有进组，有的管网在铺设过程中由于受到国防光缆、高压电缆和公路边坡影响，无法按设计要求填埋到位，埋置深度不够，管网损坏严重。同时，饮水安全有隐患。一是水源井水量减少，有的甚至已经枯竭；二是个别集中供水工程水源水质重金属超标，处理难度大；三是水厂设施、设备老化，管网损坏，维修养护费用较高。</w:t>
      </w:r>
    </w:p>
    <w:p>
      <w:pPr>
        <w:pStyle w:val="3"/>
        <w:numPr>
          <w:ilvl w:val="255"/>
          <w:numId w:val="0"/>
        </w:numPr>
        <w:ind w:left="560"/>
      </w:pPr>
      <w:r>
        <w:rPr>
          <w:rFonts w:hint="eastAsia"/>
        </w:rPr>
        <w:t>（5）河湖水体污染严重，水生态环境功能退化。</w:t>
      </w:r>
    </w:p>
    <w:p>
      <w:pPr>
        <w:pStyle w:val="3"/>
        <w:ind w:firstLine="560"/>
      </w:pPr>
      <w:r>
        <w:rPr>
          <w:rFonts w:hint="eastAsia"/>
        </w:rPr>
        <w:t>河湖水体污染源点多面广，地方经济长期粗放型的发展模式，导致河湖水体、底泥污染，沟渠、塘坝淤塞严重，水体自净能力下隐，环境容量减小，亟需系统治理。</w:t>
      </w:r>
    </w:p>
    <w:p>
      <w:pPr>
        <w:pStyle w:val="3"/>
        <w:ind w:firstLine="560"/>
        <w:sectPr>
          <w:type w:val="nextColumn"/>
          <w:pgSz w:w="11906" w:h="16838"/>
          <w:pgMar w:top="1871" w:right="1418" w:bottom="1440" w:left="1418" w:header="1247" w:footer="1191" w:gutter="284"/>
          <w:cols w:space="425" w:num="1"/>
          <w:docGrid w:type="linesAndChars" w:linePitch="312" w:charSpace="0"/>
        </w:sectPr>
      </w:pPr>
    </w:p>
    <w:p>
      <w:pPr>
        <w:pStyle w:val="2"/>
      </w:pPr>
      <w:bookmarkStart w:id="18" w:name="_Toc78791593"/>
      <w:bookmarkStart w:id="19" w:name="_Toc15590"/>
      <w:r>
        <w:rPr>
          <w:rFonts w:hint="eastAsia"/>
        </w:rPr>
        <w:t>水安全保障总体思路</w:t>
      </w:r>
      <w:bookmarkEnd w:id="18"/>
      <w:bookmarkEnd w:id="19"/>
    </w:p>
    <w:p>
      <w:pPr>
        <w:pStyle w:val="3"/>
        <w:ind w:firstLine="560"/>
      </w:pPr>
    </w:p>
    <w:p>
      <w:pPr>
        <w:pStyle w:val="4"/>
      </w:pPr>
      <w:bookmarkStart w:id="20" w:name="_Toc9737"/>
      <w:bookmarkStart w:id="21" w:name="_Toc78791594"/>
      <w:r>
        <w:rPr>
          <w:rFonts w:hint="eastAsia"/>
        </w:rPr>
        <w:t>指导思想</w:t>
      </w:r>
      <w:bookmarkEnd w:id="20"/>
      <w:bookmarkEnd w:id="21"/>
    </w:p>
    <w:p>
      <w:pPr>
        <w:pStyle w:val="3"/>
        <w:ind w:firstLine="560"/>
      </w:pPr>
      <w:r>
        <w:rPr>
          <w:rFonts w:hint="eastAsia"/>
        </w:rPr>
        <w:t>要以习近平新时代中国特色社会主义思想为指导，落实“节水优先、空间均衡、系统治理、两手发力"的治水方针，围绕水利工程补短板、水利行业强监管的要求，以水资源承载能力为刚性约束，以划定涉水生态空间、优化水利基础设施空间布局、推进水生态系统保护修复为重点，以强化涉水空间管控和保护为抓手，加强与国土空间总体规划和相关规划的衔接和协调，突出规划编制的科学性、协调性、实用性和可操作性，为推进水利基础设施建设和涉水生态空间管控保护提供依据。</w:t>
      </w:r>
    </w:p>
    <w:p>
      <w:pPr>
        <w:pStyle w:val="4"/>
      </w:pPr>
      <w:bookmarkStart w:id="22" w:name="_Toc78791595"/>
      <w:bookmarkStart w:id="23" w:name="_Toc24334"/>
      <w:r>
        <w:rPr>
          <w:rFonts w:hint="eastAsia"/>
        </w:rPr>
        <w:t>基本原则</w:t>
      </w:r>
      <w:bookmarkEnd w:id="22"/>
      <w:bookmarkEnd w:id="23"/>
    </w:p>
    <w:p>
      <w:pPr>
        <w:pStyle w:val="3"/>
        <w:numPr>
          <w:ilvl w:val="1"/>
          <w:numId w:val="4"/>
        </w:numPr>
        <w:ind w:firstLineChars="0"/>
      </w:pPr>
      <w:r>
        <w:rPr>
          <w:rFonts w:hint="eastAsia"/>
        </w:rPr>
        <w:t>生态安全、强化监管</w:t>
      </w:r>
    </w:p>
    <w:p>
      <w:pPr>
        <w:pStyle w:val="3"/>
        <w:ind w:firstLine="560"/>
      </w:pPr>
      <w:r>
        <w:rPr>
          <w:rFonts w:hint="eastAsia"/>
        </w:rPr>
        <w:t>尊重自然、顺应自然、保护自然，坚持人与自然和谐，合理划定河湖水域岸线等涉水生态空间，明确生态功能定位，强化涉水生态空间分类管控要求，防止不合理开发建设活动对水生态系统损害。</w:t>
      </w:r>
    </w:p>
    <w:p>
      <w:pPr>
        <w:pStyle w:val="3"/>
        <w:numPr>
          <w:ilvl w:val="1"/>
          <w:numId w:val="4"/>
        </w:numPr>
        <w:ind w:firstLineChars="0"/>
      </w:pPr>
      <w:r>
        <w:rPr>
          <w:rFonts w:hint="eastAsia"/>
        </w:rPr>
        <w:t>空间均衡、协同发展</w:t>
      </w:r>
    </w:p>
    <w:p>
      <w:pPr>
        <w:pStyle w:val="3"/>
        <w:ind w:firstLine="560"/>
      </w:pPr>
      <w:r>
        <w:rPr>
          <w:rFonts w:hint="eastAsia"/>
        </w:rPr>
        <w:t>强化水资源承载能力刚性约束，把水资源作为先导性、控制性和约束性要素，以水而定、量水而行、因水制宜，促进人口经济与水资源承载能力相均衡。</w:t>
      </w:r>
    </w:p>
    <w:p>
      <w:pPr>
        <w:pStyle w:val="3"/>
        <w:numPr>
          <w:ilvl w:val="1"/>
          <w:numId w:val="4"/>
        </w:numPr>
        <w:ind w:firstLineChars="0"/>
      </w:pPr>
      <w:r>
        <w:rPr>
          <w:rFonts w:hint="eastAsia"/>
        </w:rPr>
        <w:t>系统治理、综合施策</w:t>
      </w:r>
    </w:p>
    <w:p>
      <w:pPr>
        <w:pStyle w:val="3"/>
        <w:ind w:firstLine="560"/>
      </w:pPr>
      <w:r>
        <w:rPr>
          <w:rFonts w:hint="eastAsia"/>
        </w:rPr>
        <w:t>树立山水林田湖草是一个生命共同体的系统思想，协调上下游、干支流、左右岸、地上地下、城市乡村，以流域为单元强化整体保护、系统修复、综合治理，统筹解决水灾害水资源水生态水环境问题。</w:t>
      </w:r>
    </w:p>
    <w:p>
      <w:pPr>
        <w:pStyle w:val="3"/>
        <w:numPr>
          <w:ilvl w:val="1"/>
          <w:numId w:val="4"/>
        </w:numPr>
        <w:ind w:firstLineChars="0"/>
      </w:pPr>
      <w:r>
        <w:rPr>
          <w:rFonts w:hint="eastAsia"/>
        </w:rPr>
        <w:t>确有需要、合理布局</w:t>
      </w:r>
    </w:p>
    <w:p>
      <w:pPr>
        <w:pStyle w:val="3"/>
        <w:ind w:firstLine="560"/>
      </w:pPr>
      <w:r>
        <w:rPr>
          <w:rFonts w:hint="eastAsia"/>
        </w:rPr>
        <w:t>统筹考虑经济社会发展新形势及生态文明建设新要求，以有效保障经济社会高质量发展和人民群众高品质生活为出发点，完善水利基础设施网络布局，增强水安全保障能力。</w:t>
      </w:r>
    </w:p>
    <w:p>
      <w:pPr>
        <w:pStyle w:val="3"/>
        <w:numPr>
          <w:ilvl w:val="1"/>
          <w:numId w:val="4"/>
        </w:numPr>
        <w:ind w:firstLineChars="0"/>
      </w:pPr>
      <w:r>
        <w:rPr>
          <w:rFonts w:hint="eastAsia"/>
        </w:rPr>
        <w:t>以人为本、保障民生</w:t>
      </w:r>
    </w:p>
    <w:p>
      <w:pPr>
        <w:pStyle w:val="3"/>
        <w:ind w:firstLine="560"/>
      </w:pPr>
      <w:r>
        <w:rPr>
          <w:rFonts w:hint="eastAsia"/>
        </w:rPr>
        <w:t>牢固树立以人民为中心的发展思想，着力解决人民群众最关心最直接的防洪、供水、灌溉、水生态等问题，不断提升水利公共服务均等化水平，提高人民群众幸福感、获得感和安全感。</w:t>
      </w:r>
    </w:p>
    <w:p>
      <w:pPr>
        <w:pStyle w:val="4"/>
      </w:pPr>
      <w:bookmarkStart w:id="24" w:name="_Toc78791596"/>
      <w:bookmarkStart w:id="25" w:name="_Toc24487"/>
      <w:r>
        <w:rPr>
          <w:rFonts w:hint="eastAsia"/>
        </w:rPr>
        <w:t>规划依据</w:t>
      </w:r>
      <w:bookmarkEnd w:id="24"/>
      <w:bookmarkEnd w:id="25"/>
    </w:p>
    <w:p>
      <w:pPr>
        <w:pStyle w:val="5"/>
      </w:pPr>
      <w:r>
        <w:rPr>
          <w:rFonts w:hint="eastAsia"/>
        </w:rPr>
        <w:t>法律法规</w:t>
      </w:r>
    </w:p>
    <w:p>
      <w:pPr>
        <w:pStyle w:val="3"/>
        <w:numPr>
          <w:ilvl w:val="0"/>
          <w:numId w:val="5"/>
        </w:numPr>
        <w:ind w:firstLineChars="0"/>
      </w:pPr>
      <w:r>
        <w:rPr>
          <w:rFonts w:hint="eastAsia"/>
        </w:rPr>
        <w:t>《中华人民共和国水法》</w:t>
      </w:r>
    </w:p>
    <w:p>
      <w:pPr>
        <w:pStyle w:val="3"/>
        <w:numPr>
          <w:ilvl w:val="0"/>
          <w:numId w:val="5"/>
        </w:numPr>
        <w:ind w:firstLineChars="0"/>
      </w:pPr>
      <w:r>
        <w:rPr>
          <w:rFonts w:hint="eastAsia"/>
        </w:rPr>
        <w:t>《中华人民共和国防洪法》</w:t>
      </w:r>
    </w:p>
    <w:p>
      <w:pPr>
        <w:pStyle w:val="3"/>
        <w:numPr>
          <w:ilvl w:val="0"/>
          <w:numId w:val="5"/>
        </w:numPr>
        <w:ind w:firstLineChars="0"/>
      </w:pPr>
      <w:r>
        <w:rPr>
          <w:rFonts w:hint="eastAsia"/>
        </w:rPr>
        <w:t>《中华人民共和国水污染防治法》</w:t>
      </w:r>
    </w:p>
    <w:p>
      <w:pPr>
        <w:pStyle w:val="3"/>
        <w:numPr>
          <w:ilvl w:val="0"/>
          <w:numId w:val="5"/>
        </w:numPr>
        <w:ind w:firstLineChars="0"/>
      </w:pPr>
      <w:r>
        <w:rPr>
          <w:rFonts w:hint="eastAsia"/>
        </w:rPr>
        <w:t>《中华人民共和国水土保持法》</w:t>
      </w:r>
    </w:p>
    <w:p>
      <w:pPr>
        <w:pStyle w:val="3"/>
        <w:numPr>
          <w:ilvl w:val="0"/>
          <w:numId w:val="5"/>
        </w:numPr>
        <w:ind w:firstLineChars="0"/>
      </w:pPr>
      <w:r>
        <w:rPr>
          <w:rFonts w:hint="eastAsia"/>
        </w:rPr>
        <w:t>《中华人民共和国长江保护法》</w:t>
      </w:r>
    </w:p>
    <w:p>
      <w:pPr>
        <w:pStyle w:val="3"/>
        <w:numPr>
          <w:ilvl w:val="0"/>
          <w:numId w:val="5"/>
        </w:numPr>
        <w:ind w:firstLineChars="0"/>
      </w:pPr>
      <w:r>
        <w:rPr>
          <w:rFonts w:hint="eastAsia"/>
        </w:rPr>
        <w:t>《中华人民共和国渔业法》</w:t>
      </w:r>
    </w:p>
    <w:p>
      <w:pPr>
        <w:pStyle w:val="3"/>
        <w:numPr>
          <w:ilvl w:val="0"/>
          <w:numId w:val="5"/>
        </w:numPr>
        <w:ind w:firstLineChars="0"/>
      </w:pPr>
      <w:r>
        <w:rPr>
          <w:rFonts w:hint="eastAsia"/>
        </w:rPr>
        <w:t>《中华人民共和国传染病防治法》</w:t>
      </w:r>
    </w:p>
    <w:p>
      <w:pPr>
        <w:pStyle w:val="3"/>
        <w:numPr>
          <w:ilvl w:val="0"/>
          <w:numId w:val="5"/>
        </w:numPr>
        <w:ind w:firstLineChars="0"/>
      </w:pPr>
      <w:r>
        <w:rPr>
          <w:rFonts w:hint="eastAsia"/>
        </w:rPr>
        <w:t>《中华人民共和国河道管理条例》</w:t>
      </w:r>
    </w:p>
    <w:p>
      <w:pPr>
        <w:pStyle w:val="3"/>
        <w:numPr>
          <w:ilvl w:val="0"/>
          <w:numId w:val="5"/>
        </w:numPr>
        <w:ind w:firstLineChars="0"/>
      </w:pPr>
      <w:r>
        <w:rPr>
          <w:rFonts w:hint="eastAsia"/>
        </w:rPr>
        <w:t>《生活饮用水卫生监督管理办法》</w:t>
      </w:r>
    </w:p>
    <w:p>
      <w:pPr>
        <w:pStyle w:val="5"/>
      </w:pPr>
      <w:r>
        <w:rPr>
          <w:rFonts w:hint="eastAsia"/>
        </w:rPr>
        <w:t>规程规范</w:t>
      </w:r>
    </w:p>
    <w:p>
      <w:pPr>
        <w:pStyle w:val="3"/>
        <w:numPr>
          <w:ilvl w:val="0"/>
          <w:numId w:val="6"/>
        </w:numPr>
        <w:ind w:firstLineChars="0"/>
      </w:pPr>
      <w:r>
        <w:rPr>
          <w:rFonts w:hint="eastAsia"/>
        </w:rPr>
        <w:t>《江河流域规划编制规程》（SL</w:t>
      </w:r>
      <w:r>
        <w:t>201-2015</w:t>
      </w:r>
      <w:r>
        <w:rPr>
          <w:rFonts w:hint="eastAsia"/>
        </w:rPr>
        <w:t>）</w:t>
      </w:r>
    </w:p>
    <w:p>
      <w:pPr>
        <w:pStyle w:val="3"/>
        <w:numPr>
          <w:ilvl w:val="0"/>
          <w:numId w:val="6"/>
        </w:numPr>
        <w:ind w:firstLineChars="0"/>
      </w:pPr>
      <w:r>
        <w:rPr>
          <w:rFonts w:hint="eastAsia"/>
        </w:rPr>
        <w:t>《水资源保护规划编制规程》（SL</w:t>
      </w:r>
      <w:r>
        <w:t>613-2013</w:t>
      </w:r>
      <w:r>
        <w:rPr>
          <w:rFonts w:hint="eastAsia"/>
        </w:rPr>
        <w:t>）</w:t>
      </w:r>
    </w:p>
    <w:p>
      <w:pPr>
        <w:pStyle w:val="3"/>
        <w:numPr>
          <w:ilvl w:val="0"/>
          <w:numId w:val="6"/>
        </w:numPr>
        <w:ind w:firstLineChars="0"/>
      </w:pPr>
      <w:r>
        <w:rPr>
          <w:rFonts w:hint="eastAsia"/>
        </w:rPr>
        <w:t>《防洪规划编制规程》（SL</w:t>
      </w:r>
      <w:r>
        <w:t>669-2014</w:t>
      </w:r>
      <w:r>
        <w:rPr>
          <w:rFonts w:hint="eastAsia"/>
        </w:rPr>
        <w:t>）</w:t>
      </w:r>
    </w:p>
    <w:p>
      <w:pPr>
        <w:pStyle w:val="3"/>
        <w:numPr>
          <w:ilvl w:val="0"/>
          <w:numId w:val="6"/>
        </w:numPr>
        <w:ind w:firstLineChars="0"/>
      </w:pPr>
      <w:r>
        <w:rPr>
          <w:rFonts w:hint="eastAsia"/>
        </w:rPr>
        <w:t>《区域供水规划导则》（SL</w:t>
      </w:r>
      <w:r>
        <w:t>726-2015</w:t>
      </w:r>
      <w:r>
        <w:rPr>
          <w:rFonts w:hint="eastAsia"/>
        </w:rPr>
        <w:t>）</w:t>
      </w:r>
    </w:p>
    <w:p>
      <w:pPr>
        <w:pStyle w:val="3"/>
        <w:numPr>
          <w:ilvl w:val="0"/>
          <w:numId w:val="6"/>
        </w:numPr>
        <w:ind w:firstLineChars="0"/>
      </w:pPr>
      <w:r>
        <w:rPr>
          <w:rFonts w:hint="eastAsia"/>
        </w:rPr>
        <w:t>《河湖生态保护与修复规划导则》（SL</w:t>
      </w:r>
      <w:r>
        <w:t>709-2015</w:t>
      </w:r>
      <w:r>
        <w:rPr>
          <w:rFonts w:hint="eastAsia"/>
        </w:rPr>
        <w:t>）</w:t>
      </w:r>
    </w:p>
    <w:p>
      <w:pPr>
        <w:pStyle w:val="3"/>
        <w:numPr>
          <w:ilvl w:val="0"/>
          <w:numId w:val="6"/>
        </w:numPr>
        <w:ind w:firstLineChars="0"/>
      </w:pPr>
      <w:r>
        <w:rPr>
          <w:rFonts w:hint="eastAsia"/>
        </w:rPr>
        <w:t>《农田水利规划导则》（SL</w:t>
      </w:r>
      <w:r>
        <w:t>462-2012</w:t>
      </w:r>
      <w:r>
        <w:rPr>
          <w:rFonts w:hint="eastAsia"/>
        </w:rPr>
        <w:t>）</w:t>
      </w:r>
    </w:p>
    <w:p>
      <w:pPr>
        <w:pStyle w:val="3"/>
        <w:numPr>
          <w:ilvl w:val="0"/>
          <w:numId w:val="6"/>
        </w:numPr>
        <w:ind w:firstLineChars="0"/>
      </w:pPr>
      <w:r>
        <w:rPr>
          <w:rFonts w:hint="eastAsia"/>
        </w:rPr>
        <w:t>《防洪标准》（GB</w:t>
      </w:r>
      <w:r>
        <w:t>50201</w:t>
      </w:r>
      <w:r>
        <w:rPr>
          <w:rFonts w:hint="eastAsia"/>
        </w:rPr>
        <w:t>-20</w:t>
      </w:r>
      <w:r>
        <w:t>14</w:t>
      </w:r>
      <w:r>
        <w:rPr>
          <w:rFonts w:hint="eastAsia"/>
        </w:rPr>
        <w:t>）</w:t>
      </w:r>
    </w:p>
    <w:p>
      <w:pPr>
        <w:pStyle w:val="3"/>
        <w:numPr>
          <w:ilvl w:val="0"/>
          <w:numId w:val="6"/>
        </w:numPr>
        <w:ind w:firstLineChars="0"/>
      </w:pPr>
      <w:r>
        <w:rPr>
          <w:rFonts w:hint="eastAsia"/>
        </w:rPr>
        <w:t>《治涝标准》（SL</w:t>
      </w:r>
      <w:r>
        <w:t>723-2016</w:t>
      </w:r>
      <w:r>
        <w:rPr>
          <w:rFonts w:hint="eastAsia"/>
        </w:rPr>
        <w:t>）</w:t>
      </w:r>
    </w:p>
    <w:p>
      <w:pPr>
        <w:pStyle w:val="3"/>
        <w:numPr>
          <w:ilvl w:val="0"/>
          <w:numId w:val="6"/>
        </w:numPr>
        <w:ind w:firstLineChars="0"/>
      </w:pPr>
      <w:r>
        <w:rPr>
          <w:rFonts w:hint="eastAsia"/>
        </w:rPr>
        <w:t>《灌区规划规范》（GB</w:t>
      </w:r>
      <w:r>
        <w:t>/</w:t>
      </w:r>
      <w:r>
        <w:rPr>
          <w:rFonts w:hint="eastAsia"/>
        </w:rPr>
        <w:t>T</w:t>
      </w:r>
      <w:r>
        <w:t>50509-2009</w:t>
      </w:r>
      <w:r>
        <w:rPr>
          <w:rFonts w:hint="eastAsia"/>
        </w:rPr>
        <w:t>）</w:t>
      </w:r>
    </w:p>
    <w:p>
      <w:pPr>
        <w:pStyle w:val="3"/>
        <w:numPr>
          <w:ilvl w:val="0"/>
          <w:numId w:val="6"/>
        </w:numPr>
        <w:ind w:firstLineChars="0"/>
      </w:pPr>
      <w:r>
        <w:rPr>
          <w:rFonts w:hint="eastAsia"/>
        </w:rPr>
        <w:t>《水利工程水利计算规范》（SL</w:t>
      </w:r>
      <w:r>
        <w:t>104-2015</w:t>
      </w:r>
      <w:r>
        <w:rPr>
          <w:rFonts w:hint="eastAsia"/>
        </w:rPr>
        <w:t>）</w:t>
      </w:r>
    </w:p>
    <w:p>
      <w:pPr>
        <w:pStyle w:val="3"/>
        <w:numPr>
          <w:ilvl w:val="0"/>
          <w:numId w:val="6"/>
        </w:numPr>
        <w:ind w:firstLineChars="0"/>
      </w:pPr>
      <w:r>
        <w:rPr>
          <w:rFonts w:hint="eastAsia"/>
        </w:rPr>
        <w:t>《水利水电工程设计洪水计算规范》（SL44-200</w:t>
      </w:r>
      <w:r>
        <w:t>6</w:t>
      </w:r>
      <w:r>
        <w:rPr>
          <w:rFonts w:hint="eastAsia"/>
        </w:rPr>
        <w:t>）</w:t>
      </w:r>
    </w:p>
    <w:p>
      <w:pPr>
        <w:pStyle w:val="3"/>
        <w:numPr>
          <w:ilvl w:val="0"/>
          <w:numId w:val="6"/>
        </w:numPr>
        <w:ind w:firstLineChars="0"/>
      </w:pPr>
      <w:r>
        <w:rPr>
          <w:rFonts w:hint="eastAsia"/>
        </w:rPr>
        <w:t>《江河流域规划环境影响评价规范》（SL45-</w:t>
      </w:r>
      <w:r>
        <w:t>2006</w:t>
      </w:r>
      <w:r>
        <w:rPr>
          <w:rFonts w:hint="eastAsia"/>
        </w:rPr>
        <w:t>）</w:t>
      </w:r>
    </w:p>
    <w:p>
      <w:pPr>
        <w:pStyle w:val="3"/>
        <w:numPr>
          <w:ilvl w:val="0"/>
          <w:numId w:val="6"/>
        </w:numPr>
        <w:ind w:firstLineChars="0"/>
      </w:pPr>
      <w:r>
        <w:rPr>
          <w:rFonts w:hint="eastAsia"/>
        </w:rPr>
        <w:t>《饮用水水源保护区划分技术规范》(HJT338—2018)</w:t>
      </w:r>
    </w:p>
    <w:p>
      <w:pPr>
        <w:pStyle w:val="5"/>
      </w:pPr>
      <w:r>
        <w:rPr>
          <w:rFonts w:hint="eastAsia"/>
        </w:rPr>
        <w:t>有关规划</w:t>
      </w:r>
    </w:p>
    <w:p>
      <w:pPr>
        <w:pStyle w:val="65"/>
        <w:numPr>
          <w:ilvl w:val="0"/>
          <w:numId w:val="7"/>
        </w:numPr>
        <w:ind w:firstLineChars="0"/>
        <w:rPr>
          <w:sz w:val="28"/>
        </w:rPr>
      </w:pPr>
      <w:r>
        <w:rPr>
          <w:rFonts w:hint="eastAsia"/>
          <w:sz w:val="28"/>
        </w:rPr>
        <w:t>《湖南省国民经济和社会发展第十四个五年规划和二〇三五年远景目标纲要》</w:t>
      </w:r>
    </w:p>
    <w:p>
      <w:pPr>
        <w:pStyle w:val="3"/>
        <w:numPr>
          <w:ilvl w:val="0"/>
          <w:numId w:val="7"/>
        </w:numPr>
        <w:ind w:firstLineChars="0"/>
      </w:pPr>
      <w:r>
        <w:rPr>
          <w:rFonts w:hint="eastAsia"/>
        </w:rPr>
        <w:t>《资水流域综合规划》</w:t>
      </w:r>
    </w:p>
    <w:p>
      <w:pPr>
        <w:pStyle w:val="3"/>
        <w:numPr>
          <w:ilvl w:val="0"/>
          <w:numId w:val="7"/>
        </w:numPr>
        <w:ind w:firstLineChars="0"/>
      </w:pPr>
      <w:r>
        <w:rPr>
          <w:rFonts w:hint="eastAsia"/>
        </w:rPr>
        <w:t>《湘江流域综合规划》</w:t>
      </w:r>
    </w:p>
    <w:p>
      <w:pPr>
        <w:pStyle w:val="3"/>
        <w:numPr>
          <w:ilvl w:val="0"/>
          <w:numId w:val="7"/>
        </w:numPr>
        <w:ind w:firstLineChars="0"/>
      </w:pPr>
      <w:r>
        <w:rPr>
          <w:rFonts w:hint="eastAsia"/>
        </w:rPr>
        <w:t>《益阳市水安全战略规划（2</w:t>
      </w:r>
      <w:r>
        <w:t>021</w:t>
      </w:r>
      <w:r>
        <w:rPr>
          <w:rFonts w:hint="eastAsia"/>
        </w:rPr>
        <w:t>~</w:t>
      </w:r>
      <w:r>
        <w:t>2035</w:t>
      </w:r>
      <w:r>
        <w:rPr>
          <w:rFonts w:hint="eastAsia"/>
        </w:rPr>
        <w:t>年）》</w:t>
      </w:r>
    </w:p>
    <w:p>
      <w:pPr>
        <w:pStyle w:val="3"/>
        <w:numPr>
          <w:ilvl w:val="0"/>
          <w:numId w:val="7"/>
        </w:numPr>
        <w:ind w:firstLineChars="0"/>
      </w:pPr>
      <w:r>
        <w:rPr>
          <w:rFonts w:hint="eastAsia"/>
        </w:rPr>
        <w:t>《赫山区国民经济和社会发展第十四个五年规划纲要》</w:t>
      </w:r>
    </w:p>
    <w:p>
      <w:pPr>
        <w:pStyle w:val="3"/>
        <w:numPr>
          <w:ilvl w:val="0"/>
          <w:numId w:val="7"/>
        </w:numPr>
        <w:ind w:firstLineChars="0"/>
      </w:pPr>
      <w:r>
        <w:rPr>
          <w:rFonts w:hint="eastAsia"/>
        </w:rPr>
        <w:t>《赫山区水资源保护规划》</w:t>
      </w:r>
    </w:p>
    <w:p>
      <w:pPr>
        <w:pStyle w:val="3"/>
        <w:numPr>
          <w:ilvl w:val="0"/>
          <w:numId w:val="7"/>
        </w:numPr>
        <w:ind w:firstLineChars="0"/>
      </w:pPr>
      <w:r>
        <w:rPr>
          <w:rFonts w:hint="eastAsia"/>
        </w:rPr>
        <w:t>《益阳市城市总体规划（2005-2020）》</w:t>
      </w:r>
    </w:p>
    <w:p>
      <w:pPr>
        <w:pStyle w:val="3"/>
        <w:numPr>
          <w:ilvl w:val="0"/>
          <w:numId w:val="7"/>
        </w:numPr>
        <w:ind w:firstLineChars="0"/>
      </w:pPr>
      <w:r>
        <w:rPr>
          <w:rFonts w:hint="eastAsia"/>
        </w:rPr>
        <w:t>《赫山区水利发展“十三五”规划》</w:t>
      </w:r>
    </w:p>
    <w:p>
      <w:pPr>
        <w:pStyle w:val="3"/>
        <w:numPr>
          <w:ilvl w:val="0"/>
          <w:numId w:val="7"/>
        </w:numPr>
        <w:ind w:firstLineChars="0"/>
      </w:pPr>
      <w:r>
        <w:rPr>
          <w:rFonts w:hint="eastAsia"/>
        </w:rPr>
        <w:t>《赫山区“十四五”农村供水保障规划》</w:t>
      </w:r>
    </w:p>
    <w:p>
      <w:pPr>
        <w:pStyle w:val="4"/>
      </w:pPr>
      <w:bookmarkStart w:id="26" w:name="_Toc78791597"/>
      <w:bookmarkStart w:id="27" w:name="_Toc21"/>
      <w:r>
        <w:rPr>
          <w:rFonts w:hint="eastAsia"/>
        </w:rPr>
        <w:t>规划范围</w:t>
      </w:r>
      <w:bookmarkEnd w:id="26"/>
      <w:bookmarkEnd w:id="27"/>
    </w:p>
    <w:p>
      <w:pPr>
        <w:pStyle w:val="3"/>
        <w:ind w:firstLine="560"/>
      </w:pPr>
      <w:r>
        <w:rPr>
          <w:rFonts w:hint="eastAsia"/>
        </w:rPr>
        <w:t>规划范围为赫山区全境。</w:t>
      </w:r>
    </w:p>
    <w:p>
      <w:pPr>
        <w:pStyle w:val="4"/>
      </w:pPr>
      <w:bookmarkStart w:id="28" w:name="_Toc2191"/>
      <w:bookmarkStart w:id="29" w:name="_Toc78791598"/>
      <w:r>
        <w:rPr>
          <w:rFonts w:hint="eastAsia"/>
        </w:rPr>
        <w:t>规划水平年</w:t>
      </w:r>
      <w:bookmarkEnd w:id="28"/>
      <w:bookmarkEnd w:id="29"/>
    </w:p>
    <w:p>
      <w:pPr>
        <w:pStyle w:val="3"/>
        <w:ind w:firstLine="560"/>
      </w:pPr>
      <w:r>
        <w:rPr>
          <w:rFonts w:hint="eastAsia"/>
        </w:rPr>
        <w:t>规划基准年为2</w:t>
      </w:r>
      <w:r>
        <w:t>019</w:t>
      </w:r>
      <w:r>
        <w:rPr>
          <w:rFonts w:hint="eastAsia"/>
        </w:rPr>
        <w:t>年，规划水平年为2</w:t>
      </w:r>
      <w:r>
        <w:t>025</w:t>
      </w:r>
      <w:r>
        <w:rPr>
          <w:rFonts w:hint="eastAsia"/>
        </w:rPr>
        <w:t>年。</w:t>
      </w:r>
    </w:p>
    <w:p>
      <w:pPr>
        <w:pStyle w:val="4"/>
      </w:pPr>
      <w:bookmarkStart w:id="30" w:name="_Toc132"/>
      <w:bookmarkStart w:id="31" w:name="_Toc78791599"/>
      <w:r>
        <w:rPr>
          <w:rFonts w:hint="eastAsia"/>
        </w:rPr>
        <w:t>规划目标</w:t>
      </w:r>
      <w:bookmarkEnd w:id="30"/>
      <w:bookmarkEnd w:id="31"/>
    </w:p>
    <w:p>
      <w:pPr>
        <w:pStyle w:val="3"/>
        <w:ind w:firstLine="560"/>
      </w:pPr>
      <w:r>
        <w:rPr>
          <w:rFonts w:hint="eastAsia"/>
        </w:rPr>
        <w:t>赫山区“十四五”水安全保障的总体目标是：到2025年，通过加强水利建设、提升水利管理、深化水利改革，基本实现资源节约、环境友好、饮水放心、用水便捷、亲水宜居、洪旱无虞，水安全综合保障能力显著增强，建成与经济社会发展相适应的水安全保障体系。</w:t>
      </w:r>
    </w:p>
    <w:p>
      <w:pPr>
        <w:pStyle w:val="3"/>
        <w:ind w:firstLine="560"/>
      </w:pPr>
      <w:r>
        <w:rPr>
          <w:rFonts w:hint="eastAsia"/>
        </w:rPr>
        <w:t>具体发展目标为：</w:t>
      </w:r>
    </w:p>
    <w:p>
      <w:pPr>
        <w:pStyle w:val="3"/>
        <w:numPr>
          <w:ilvl w:val="0"/>
          <w:numId w:val="8"/>
        </w:numPr>
        <w:ind w:firstLineChars="0"/>
      </w:pPr>
      <w:r>
        <w:rPr>
          <w:rFonts w:hint="eastAsia"/>
        </w:rPr>
        <w:t>重点地区防洪排涝全面补短</w:t>
      </w:r>
    </w:p>
    <w:p>
      <w:pPr>
        <w:pStyle w:val="3"/>
        <w:ind w:firstLine="560"/>
      </w:pPr>
      <w:r>
        <w:rPr>
          <w:rFonts w:hint="eastAsia"/>
        </w:rPr>
        <w:t>防洪安全立足“消隐患、补弱项”，江河湖泊防洪减灾体系进一步完善。至2025年，烂泥湖垸达到国家规定的防洪治涝标准，永申垸和新安垸防洪能力明显提高，中小河流和主要支流防洪能力进一步提高，五级以上乡村防洪堤防工程达标率50%以上，山洪灾害防治能力显著加强，消除现有病险水库安全隐患，重点易涝区排涝标准达到10年一遇。</w:t>
      </w:r>
    </w:p>
    <w:p>
      <w:pPr>
        <w:pStyle w:val="3"/>
        <w:numPr>
          <w:ilvl w:val="0"/>
          <w:numId w:val="8"/>
        </w:numPr>
        <w:ind w:firstLineChars="0"/>
      </w:pPr>
      <w:r>
        <w:rPr>
          <w:rFonts w:hint="eastAsia"/>
        </w:rPr>
        <w:t>城乡供水保障体系全面完善</w:t>
      </w:r>
    </w:p>
    <w:p>
      <w:pPr>
        <w:pStyle w:val="3"/>
        <w:ind w:firstLine="560"/>
      </w:pPr>
      <w:r>
        <w:rPr>
          <w:rFonts w:hint="eastAsia"/>
        </w:rPr>
        <w:t>饮水安全立足“供好水、缩差距”，优质水源提供居民生活饮用水的能力得到有效发挥，水源地保护力度进一步加大，城乡供水一体化覆盖率显著提升。</w:t>
      </w:r>
    </w:p>
    <w:p>
      <w:pPr>
        <w:pStyle w:val="3"/>
        <w:ind w:firstLine="560"/>
      </w:pPr>
      <w:r>
        <w:rPr>
          <w:rFonts w:hint="eastAsia"/>
        </w:rPr>
        <w:t>至2025年，全区农村集中供水率达到93%，农村自来水普及率93%，千人以上工程水源保护区（范围）划定率达到100%，规模化工程供水人口覆盖比例达到76.0%，自然村通水率达到96%。</w:t>
      </w:r>
    </w:p>
    <w:p>
      <w:pPr>
        <w:pStyle w:val="3"/>
        <w:numPr>
          <w:ilvl w:val="0"/>
          <w:numId w:val="8"/>
        </w:numPr>
        <w:ind w:firstLineChars="0"/>
      </w:pPr>
      <w:r>
        <w:rPr>
          <w:rFonts w:hint="eastAsia"/>
        </w:rPr>
        <w:t>节水型社会建设全面推进</w:t>
      </w:r>
    </w:p>
    <w:p>
      <w:pPr>
        <w:pStyle w:val="3"/>
        <w:ind w:firstLine="560"/>
      </w:pPr>
      <w:r>
        <w:rPr>
          <w:rFonts w:hint="eastAsia"/>
        </w:rPr>
        <w:t>用水安全立足“推节水、构骨干”，节水型社会建设加快推进，供水保障能力和水资源调济互补能力逐步提升，灌区现代化水平显著提高，农田水利基础设施条件有效改善。新建烂泥湖垸大型灌区，基本完成中型灌区续建配套与节水改造任务。至2025年，水资源开发利用红线控制指标用水总量为7.374亿m</w:t>
      </w:r>
      <w:r>
        <w:rPr>
          <w:rFonts w:hint="eastAsia"/>
          <w:vertAlign w:val="superscript"/>
        </w:rPr>
        <w:t>3</w:t>
      </w:r>
      <w:r>
        <w:rPr>
          <w:rFonts w:hint="eastAsia"/>
        </w:rPr>
        <w:t>；万元工业增加值用水量控制指标为74.5m</w:t>
      </w:r>
      <w:r>
        <w:rPr>
          <w:rFonts w:hint="eastAsia"/>
          <w:vertAlign w:val="superscript"/>
        </w:rPr>
        <w:t>3</w:t>
      </w:r>
      <w:r>
        <w:rPr>
          <w:rFonts w:hint="eastAsia"/>
        </w:rPr>
        <w:t>/万元；农田灌溉水有效利用系数提高到0.579。</w:t>
      </w:r>
    </w:p>
    <w:p>
      <w:pPr>
        <w:pStyle w:val="3"/>
        <w:numPr>
          <w:ilvl w:val="0"/>
          <w:numId w:val="8"/>
        </w:numPr>
        <w:ind w:firstLineChars="0"/>
      </w:pPr>
      <w:r>
        <w:rPr>
          <w:rFonts w:hint="eastAsia"/>
        </w:rPr>
        <w:t>河湖水域生态环境全面改善</w:t>
      </w:r>
    </w:p>
    <w:p>
      <w:pPr>
        <w:pStyle w:val="3"/>
        <w:ind w:firstLine="560"/>
      </w:pPr>
      <w:r>
        <w:rPr>
          <w:rFonts w:hint="eastAsia"/>
        </w:rPr>
        <w:t>河湖生态安全立足“抓保护、促修复”，涉水空间管控制度基本建立，河湖生态空间得到有效保护，河湖生态环境水量基本保障，重要河湖水域岸线监管率达到80%，江河湖库水系连通性逐步提高，水生态系统功能逐步恢复，水土流失得到有效治理，新增水土流失综合治理面积15km</w:t>
      </w:r>
      <w:r>
        <w:rPr>
          <w:vertAlign w:val="superscript"/>
        </w:rPr>
        <w:t>2</w:t>
      </w:r>
      <w:r>
        <w:rPr>
          <w:rFonts w:hint="eastAsia"/>
        </w:rPr>
        <w:t>，水土保持率达到87%以上，水环境状况明显改善。</w:t>
      </w:r>
    </w:p>
    <w:p>
      <w:pPr>
        <w:pStyle w:val="3"/>
        <w:numPr>
          <w:ilvl w:val="0"/>
          <w:numId w:val="8"/>
        </w:numPr>
        <w:ind w:firstLineChars="0"/>
      </w:pPr>
      <w:r>
        <w:rPr>
          <w:rFonts w:hint="eastAsia"/>
        </w:rPr>
        <w:t>水利信息化智慧网全面覆盖</w:t>
      </w:r>
    </w:p>
    <w:p>
      <w:pPr>
        <w:pStyle w:val="3"/>
        <w:ind w:firstLine="560"/>
      </w:pPr>
      <w:r>
        <w:rPr>
          <w:rFonts w:hint="eastAsia"/>
        </w:rPr>
        <w:t>推动信息技术与水利发展全面融合，提升水利信息化对转变政府职能、加强行业监管和提升社会公共服务的支撑能力。进一步完善水利信息数据库，推进水利政务信息化，加强信息资源整合共享，加快完善水利信息基础设施，逐步构建“智慧水网”，提高防汛抗旱指挥调度、水资源调控和水利管理的信息化水平，以水利信息化促进水利现代化。</w:t>
      </w:r>
    </w:p>
    <w:p>
      <w:pPr>
        <w:pStyle w:val="3"/>
        <w:numPr>
          <w:ilvl w:val="0"/>
          <w:numId w:val="8"/>
        </w:numPr>
        <w:ind w:firstLineChars="0"/>
      </w:pPr>
      <w:r>
        <w:rPr>
          <w:rFonts w:hint="eastAsia"/>
        </w:rPr>
        <w:t>水利行业监管能力全面提升</w:t>
      </w:r>
    </w:p>
    <w:p>
      <w:pPr>
        <w:pStyle w:val="3"/>
        <w:ind w:firstLine="560"/>
      </w:pPr>
      <w:r>
        <w:rPr>
          <w:rFonts w:hint="eastAsia"/>
        </w:rPr>
        <w:t>基本建立生态补偿、水权等制度以及联合执法等机制。水利投入稳定增长机制进一步完善，水权水价水市场改革全面实施，水利工程良性运行机制基本形成。最严格水资源管理制度深入实施，水资源监控体系基本完善。水生态文明制度体系逐步建立，水利行业监管全面加强，河湖长制全面见效，河湖水域空间用途管制逐步落实，水生态空间得到有效管控。有序推进河道砂石资源政府统一经营。进一步提高水利科技创新能力和人才队伍综合素质。</w:t>
      </w:r>
    </w:p>
    <w:p>
      <w:pPr>
        <w:pStyle w:val="3"/>
        <w:ind w:firstLine="560"/>
        <w:sectPr>
          <w:type w:val="nextColumn"/>
          <w:pgSz w:w="11906" w:h="16838"/>
          <w:pgMar w:top="1871" w:right="1418" w:bottom="1440" w:left="1418" w:header="1247" w:footer="1191" w:gutter="284"/>
          <w:cols w:space="425" w:num="1"/>
          <w:docGrid w:type="linesAndChars" w:linePitch="312" w:charSpace="0"/>
        </w:sectPr>
      </w:pPr>
    </w:p>
    <w:p>
      <w:pPr>
        <w:pStyle w:val="2"/>
      </w:pPr>
      <w:bookmarkStart w:id="32" w:name="_Toc14439"/>
      <w:bookmarkStart w:id="33" w:name="_Toc78791600"/>
      <w:r>
        <w:rPr>
          <w:rFonts w:hint="eastAsia"/>
        </w:rPr>
        <w:t>总体布局与规划建设内容</w:t>
      </w:r>
      <w:bookmarkEnd w:id="32"/>
      <w:bookmarkEnd w:id="33"/>
    </w:p>
    <w:p>
      <w:pPr>
        <w:pStyle w:val="3"/>
        <w:ind w:firstLine="560"/>
      </w:pPr>
    </w:p>
    <w:p>
      <w:pPr>
        <w:pStyle w:val="4"/>
      </w:pPr>
      <w:bookmarkStart w:id="34" w:name="_Toc30118"/>
      <w:bookmarkStart w:id="35" w:name="_Toc78791601"/>
      <w:r>
        <w:rPr>
          <w:rFonts w:hint="eastAsia"/>
        </w:rPr>
        <w:t>总体布局</w:t>
      </w:r>
      <w:bookmarkEnd w:id="34"/>
      <w:bookmarkEnd w:id="35"/>
    </w:p>
    <w:p>
      <w:pPr>
        <w:pStyle w:val="3"/>
        <w:ind w:firstLine="560"/>
      </w:pPr>
      <w:r>
        <w:rPr>
          <w:rFonts w:hint="eastAsia"/>
        </w:rPr>
        <w:t>“十四五”水安全保障规划中，总体布局共分为5大体系：防洪安全体系、饮水安全体系、用水安全体系、河湖生态安全体系、水治理能力提升体系。</w:t>
      </w:r>
    </w:p>
    <w:p>
      <w:pPr>
        <w:pStyle w:val="3"/>
        <w:ind w:firstLine="560"/>
      </w:pPr>
      <w:r>
        <w:rPr>
          <w:rFonts w:hint="eastAsia"/>
        </w:rPr>
        <w:t>防洪安全体系中，主要是消除工程（水库、水闸、堤防等）的防洪安全隐患、优化洪水出路、提升涝区及堤垸的防洪排涝能力、加强中小河流治理、加强山洪灾害防治。</w:t>
      </w:r>
    </w:p>
    <w:p>
      <w:pPr>
        <w:pStyle w:val="3"/>
        <w:ind w:firstLine="560"/>
      </w:pPr>
      <w:r>
        <w:rPr>
          <w:rFonts w:hint="eastAsia"/>
        </w:rPr>
        <w:t>饮水安全体系主要是推进城乡供水一体化，逐步建立同网、同质、同服务的城乡供水一体化体系，并对现有供水工程进行提质改造。</w:t>
      </w:r>
    </w:p>
    <w:p>
      <w:pPr>
        <w:pStyle w:val="3"/>
        <w:ind w:firstLine="560"/>
      </w:pPr>
      <w:r>
        <w:rPr>
          <w:rFonts w:hint="eastAsia"/>
        </w:rPr>
        <w:t>用水安全体系主要是开展大中型灌区续建配套、灌溉排涝泵站更新改造、新建灌溉水源工程、灌溉水库补水，为粮食安全打好坚实基础。</w:t>
      </w:r>
    </w:p>
    <w:p>
      <w:pPr>
        <w:pStyle w:val="3"/>
        <w:ind w:firstLine="560"/>
      </w:pPr>
      <w:r>
        <w:rPr>
          <w:rFonts w:hint="eastAsia"/>
        </w:rPr>
        <w:t>河湖生态安全体系主要是推进水系连通工程、水环境治理工程、清洁小流域建设工程、岸线保护与修复工程等。</w:t>
      </w:r>
    </w:p>
    <w:p>
      <w:pPr>
        <w:pStyle w:val="3"/>
        <w:ind w:firstLine="560"/>
      </w:pPr>
      <w:r>
        <w:rPr>
          <w:rFonts w:hint="eastAsia"/>
        </w:rPr>
        <w:t>水治理能力提升体系主要是县级防汛云平台及智慧水利建设、泵站智能运维系统建设、开展水库水质监测、进行水安全工程运管维护。</w:t>
      </w:r>
    </w:p>
    <w:p>
      <w:pPr>
        <w:pStyle w:val="4"/>
      </w:pPr>
      <w:bookmarkStart w:id="36" w:name="_Toc78791602"/>
      <w:bookmarkStart w:id="37" w:name="_Toc679"/>
      <w:r>
        <w:rPr>
          <w:rFonts w:hint="eastAsia"/>
        </w:rPr>
        <w:t>规划建设内容</w:t>
      </w:r>
      <w:bookmarkEnd w:id="36"/>
      <w:bookmarkEnd w:id="37"/>
    </w:p>
    <w:p>
      <w:pPr>
        <w:pStyle w:val="5"/>
      </w:pPr>
      <w:r>
        <w:rPr>
          <w:rFonts w:hint="eastAsia"/>
        </w:rPr>
        <w:t>防洪安全体系</w:t>
      </w:r>
    </w:p>
    <w:p>
      <w:pPr>
        <w:pStyle w:val="3"/>
        <w:numPr>
          <w:ilvl w:val="255"/>
          <w:numId w:val="0"/>
        </w:numPr>
        <w:ind w:left="560"/>
      </w:pPr>
      <w:r>
        <w:rPr>
          <w:rFonts w:hint="eastAsia"/>
        </w:rPr>
        <w:t>（1）消除水利工程防洪安全隐患</w:t>
      </w:r>
    </w:p>
    <w:p>
      <w:pPr>
        <w:pStyle w:val="3"/>
        <w:numPr>
          <w:ilvl w:val="0"/>
          <w:numId w:val="9"/>
        </w:numPr>
        <w:ind w:firstLineChars="0"/>
      </w:pPr>
      <w:r>
        <w:rPr>
          <w:rFonts w:hint="eastAsia"/>
        </w:rPr>
        <w:t>水库除险加固工程</w:t>
      </w:r>
    </w:p>
    <w:p>
      <w:pPr>
        <w:pStyle w:val="3"/>
        <w:ind w:firstLine="560"/>
      </w:pPr>
      <w:r>
        <w:rPr>
          <w:rFonts w:hint="eastAsia"/>
        </w:rPr>
        <w:t>根据2</w:t>
      </w:r>
      <w:r>
        <w:t>021</w:t>
      </w:r>
      <w:r>
        <w:rPr>
          <w:rFonts w:hint="eastAsia"/>
        </w:rPr>
        <w:t>年中央1号文的部署，到2</w:t>
      </w:r>
      <w:r>
        <w:t>025</w:t>
      </w:r>
      <w:r>
        <w:rPr>
          <w:rFonts w:hint="eastAsia"/>
        </w:rPr>
        <w:t>年要全部完成现有病险水库除险加固。</w:t>
      </w:r>
    </w:p>
    <w:p>
      <w:pPr>
        <w:pStyle w:val="3"/>
        <w:ind w:firstLine="560"/>
      </w:pPr>
      <w:r>
        <w:rPr>
          <w:rFonts w:hint="eastAsia"/>
        </w:rPr>
        <w:t>赫山区现有水库</w:t>
      </w:r>
      <w:r>
        <w:t>172</w:t>
      </w:r>
      <w:r>
        <w:rPr>
          <w:rFonts w:hint="eastAsia"/>
        </w:rPr>
        <w:t>座，其中病险水库</w:t>
      </w:r>
      <w:r>
        <w:t>17</w:t>
      </w:r>
      <w:r>
        <w:rPr>
          <w:rFonts w:hint="eastAsia"/>
        </w:rPr>
        <w:t>座，“十四五”期间拟全部完成除险加固。其中：中型水库</w:t>
      </w:r>
      <w:r>
        <w:t>1</w:t>
      </w:r>
      <w:r>
        <w:rPr>
          <w:rFonts w:hint="eastAsia"/>
        </w:rPr>
        <w:t>座，为鱼形山水库；小型水库</w:t>
      </w:r>
      <w:r>
        <w:t>16</w:t>
      </w:r>
      <w:r>
        <w:rPr>
          <w:rFonts w:hint="eastAsia"/>
        </w:rPr>
        <w:t>座，为打鱼坡、寒牛、石子塘、许家冲、大石洞、黑石塘、丝竹冲、铜钱湾、车塘、罗庵塘、石门村、罗家塘、荷叶塘、洞塘、石岭、洞山坝水库。</w:t>
      </w:r>
    </w:p>
    <w:p>
      <w:pPr>
        <w:pStyle w:val="3"/>
        <w:ind w:firstLine="560"/>
      </w:pPr>
      <w:r>
        <w:rPr>
          <w:rFonts w:hint="eastAsia"/>
        </w:rPr>
        <w:t>赫山区病险水库的主要问题包括：坝坡护砌较差，如护坡破损甚至无护坡；排水设施不完善，如排水棱体老化或破坏；坝基及坝身渗漏异常；溢洪道、输水涵管等构筑物结构老化；无消能设施等。</w:t>
      </w:r>
    </w:p>
    <w:p>
      <w:pPr>
        <w:pStyle w:val="3"/>
        <w:ind w:firstLine="560"/>
      </w:pPr>
      <w:r>
        <w:rPr>
          <w:rFonts w:hint="eastAsia"/>
        </w:rPr>
        <w:t>相应于病险水库存在的主要问题，水库除险加固工程建设内容主要有坝基坝体防渗、坝坡护砌、排水棱体改造、隧洞衬砌、溢洪道衬砌、新建消力池、新建管理用房和观测设施等。</w:t>
      </w:r>
    </w:p>
    <w:p>
      <w:pPr>
        <w:pStyle w:val="3"/>
        <w:numPr>
          <w:ilvl w:val="0"/>
          <w:numId w:val="9"/>
        </w:numPr>
        <w:ind w:firstLineChars="0"/>
      </w:pPr>
      <w:r>
        <w:rPr>
          <w:rFonts w:hint="eastAsia"/>
        </w:rPr>
        <w:t>大中型水闸除险加固工程</w:t>
      </w:r>
    </w:p>
    <w:p>
      <w:pPr>
        <w:pStyle w:val="3"/>
        <w:ind w:firstLine="560"/>
      </w:pPr>
      <w:r>
        <w:rPr>
          <w:rFonts w:hint="eastAsia"/>
        </w:rPr>
        <w:t>赫山区共有大型水闸6座，有安全隐患的共5座；中型水闸</w:t>
      </w:r>
      <w:r>
        <w:t>43</w:t>
      </w:r>
      <w:r>
        <w:rPr>
          <w:rFonts w:hint="eastAsia"/>
        </w:rPr>
        <w:t>座，有安全隐患的共</w:t>
      </w:r>
      <w:r>
        <w:t>36</w:t>
      </w:r>
      <w:r>
        <w:rPr>
          <w:rFonts w:hint="eastAsia"/>
        </w:rPr>
        <w:t>座。“十四五”期间，计划完成船形山、洋溪江、石笋、竹荆寺、北峰山等</w:t>
      </w:r>
      <w:r>
        <w:t>5</w:t>
      </w:r>
      <w:r>
        <w:rPr>
          <w:rFonts w:hint="eastAsia"/>
        </w:rPr>
        <w:t>座大型水闸以及芭蕉、泡子潭、岩子潭、石板滩、硪公石、华林河坝、岳家河坝、先锋河坝、赤江碑、谭家桥等1</w:t>
      </w:r>
      <w:r>
        <w:t>0</w:t>
      </w:r>
      <w:r>
        <w:rPr>
          <w:rFonts w:hint="eastAsia"/>
        </w:rPr>
        <w:t>座中型水闸除险加固。</w:t>
      </w:r>
    </w:p>
    <w:p>
      <w:pPr>
        <w:pStyle w:val="3"/>
        <w:ind w:firstLine="560"/>
      </w:pPr>
      <w:r>
        <w:rPr>
          <w:rFonts w:hint="eastAsia"/>
        </w:rPr>
        <w:t>病险水闸目前存在的主要问题包括：闸基渗漏、消能设施损坏、结构件老化、闸门启闭困难等。</w:t>
      </w:r>
    </w:p>
    <w:p>
      <w:pPr>
        <w:pStyle w:val="3"/>
        <w:ind w:firstLine="560"/>
      </w:pPr>
      <w:r>
        <w:rPr>
          <w:rFonts w:hint="eastAsia"/>
        </w:rPr>
        <w:t>相应水闸存在的主要问题，除险加固主要内容为：闸基防渗，消能设施加固，闸门、启闭设备更新等。</w:t>
      </w:r>
    </w:p>
    <w:p>
      <w:pPr>
        <w:pStyle w:val="3"/>
        <w:numPr>
          <w:ilvl w:val="0"/>
          <w:numId w:val="9"/>
        </w:numPr>
        <w:ind w:firstLineChars="0"/>
      </w:pPr>
      <w:r>
        <w:rPr>
          <w:rFonts w:hint="eastAsia"/>
        </w:rPr>
        <w:t>水库防汛通道建设</w:t>
      </w:r>
    </w:p>
    <w:p>
      <w:pPr>
        <w:pStyle w:val="3"/>
        <w:ind w:firstLine="560"/>
      </w:pPr>
      <w:r>
        <w:rPr>
          <w:rFonts w:hint="eastAsia"/>
        </w:rPr>
        <w:t>赫山区的水库，防汛通道尚有较多不完善，给防汛抢险带来较大隐患，规划对</w:t>
      </w:r>
      <w:r>
        <w:t>84</w:t>
      </w:r>
      <w:r>
        <w:rPr>
          <w:rFonts w:hint="eastAsia"/>
        </w:rPr>
        <w:t>座水库的防汛通道进行建设。</w:t>
      </w:r>
    </w:p>
    <w:p>
      <w:pPr>
        <w:pStyle w:val="3"/>
        <w:numPr>
          <w:ilvl w:val="255"/>
          <w:numId w:val="0"/>
        </w:numPr>
        <w:ind w:left="560"/>
      </w:pPr>
      <w:r>
        <w:rPr>
          <w:rFonts w:hint="eastAsia"/>
        </w:rPr>
        <w:t>（2）优化洪水出路</w:t>
      </w:r>
    </w:p>
    <w:p>
      <w:pPr>
        <w:pStyle w:val="3"/>
        <w:ind w:firstLine="560"/>
      </w:pPr>
      <w:r>
        <w:rPr>
          <w:rFonts w:hint="eastAsia"/>
        </w:rPr>
        <w:t>主要为烂泥湖撇洪河泄洪闸工程。</w:t>
      </w:r>
    </w:p>
    <w:p>
      <w:pPr>
        <w:pStyle w:val="3"/>
        <w:ind w:firstLine="560"/>
      </w:pPr>
      <w:r>
        <w:rPr>
          <w:rFonts w:hint="eastAsia"/>
        </w:rPr>
        <w:t>规划在水矶口（镜明河断头处）新建一座连通闸，连通镜明河与撇洪河，使水体能够更好地流动，水环境得到改善，洪水出路得到优化。</w:t>
      </w:r>
    </w:p>
    <w:p>
      <w:pPr>
        <w:pStyle w:val="3"/>
        <w:ind w:firstLine="560"/>
      </w:pPr>
      <w:r>
        <w:rPr>
          <w:rFonts w:hint="eastAsia"/>
        </w:rPr>
        <w:t>镜明河现状为断头河，未与烂泥湖撇洪河连通。烂泥湖撇洪河现状通过乔口闸入湘江，而乔口闸未设泵站，当湘江水位较高时，乔口闸关闭，撇洪河洪水无法排出。</w:t>
      </w:r>
    </w:p>
    <w:p>
      <w:pPr>
        <w:pStyle w:val="3"/>
        <w:ind w:firstLine="560"/>
      </w:pPr>
      <w:r>
        <w:rPr>
          <w:rFonts w:hint="eastAsia"/>
        </w:rPr>
        <w:t>2</w:t>
      </w:r>
      <w:r>
        <w:t>017</w:t>
      </w:r>
      <w:r>
        <w:rPr>
          <w:rFonts w:hint="eastAsia"/>
        </w:rPr>
        <w:t>年，由于湘江水位上涨，乔口闸关闭，导致撇洪河洪水无法排出，撇洪河全线告急，险些溃垸。</w:t>
      </w:r>
    </w:p>
    <w:p>
      <w:pPr>
        <w:pStyle w:val="3"/>
        <w:ind w:firstLine="560"/>
      </w:pPr>
      <w:r>
        <w:rPr>
          <w:rFonts w:hint="eastAsia"/>
        </w:rPr>
        <w:t>在水矶口新建撇洪河泄洪闸1座，泄洪流量按1</w:t>
      </w:r>
      <w:r>
        <w:t>00</w:t>
      </w:r>
      <w:r>
        <w:rPr>
          <w:rFonts w:hint="eastAsia"/>
        </w:rPr>
        <w:t>m</w:t>
      </w:r>
      <w:r>
        <w:rPr>
          <w:vertAlign w:val="superscript"/>
        </w:rPr>
        <w:t>3</w:t>
      </w:r>
      <w:r>
        <w:t>/</w:t>
      </w:r>
      <w:r>
        <w:rPr>
          <w:rFonts w:hint="eastAsia"/>
        </w:rPr>
        <w:t>s设计，并对镜明河1.</w:t>
      </w:r>
      <w:r>
        <w:t>2</w:t>
      </w:r>
      <w:r>
        <w:rPr>
          <w:rFonts w:hint="eastAsia"/>
        </w:rPr>
        <w:t>km堤防进行加高加固及配套设施建设。</w:t>
      </w:r>
    </w:p>
    <w:p>
      <w:pPr>
        <w:pStyle w:val="3"/>
        <w:numPr>
          <w:ilvl w:val="255"/>
          <w:numId w:val="0"/>
        </w:numPr>
        <w:ind w:left="560"/>
      </w:pPr>
      <w:r>
        <w:rPr>
          <w:rFonts w:hint="eastAsia"/>
        </w:rPr>
        <w:t>（3）提升堤垸防洪能力</w:t>
      </w:r>
    </w:p>
    <w:p>
      <w:pPr>
        <w:pStyle w:val="3"/>
        <w:ind w:left="560" w:firstLine="0" w:firstLineChars="0"/>
      </w:pPr>
      <w:r>
        <w:t>1</w:t>
      </w:r>
      <w:r>
        <w:rPr>
          <w:rFonts w:hint="eastAsia"/>
        </w:rPr>
        <w:t>）洞庭湖区重要堤防加固一期工程（烂泥湖垸）</w:t>
      </w:r>
    </w:p>
    <w:p>
      <w:pPr>
        <w:pStyle w:val="3"/>
        <w:ind w:firstLine="560"/>
      </w:pPr>
      <w:r>
        <w:rPr>
          <w:rFonts w:hint="eastAsia"/>
        </w:rPr>
        <w:t>对接上级规划，完成烂泥湖垸堤防达标建设。</w:t>
      </w:r>
    </w:p>
    <w:p>
      <w:pPr>
        <w:pStyle w:val="3"/>
        <w:ind w:firstLine="560"/>
      </w:pPr>
      <w:r>
        <w:rPr>
          <w:rFonts w:hint="eastAsia"/>
        </w:rPr>
        <w:t>主要建设内容为：堤身防渗22.488公里、堤基防渗20.094公里、护坡3.652公里、护脚7.816公里、穿堤建筑物改造8处、堤顶防汛道路3公里等</w:t>
      </w:r>
    </w:p>
    <w:p>
      <w:pPr>
        <w:pStyle w:val="3"/>
        <w:ind w:left="560" w:firstLine="0" w:firstLineChars="0"/>
      </w:pPr>
      <w:r>
        <w:t>2</w:t>
      </w:r>
      <w:r>
        <w:rPr>
          <w:rFonts w:hint="eastAsia"/>
        </w:rPr>
        <w:t>）烂泥湖垸防洪能力提升工程</w:t>
      </w:r>
    </w:p>
    <w:p>
      <w:pPr>
        <w:pStyle w:val="3"/>
        <w:ind w:firstLine="560"/>
      </w:pPr>
      <w:r>
        <w:rPr>
          <w:rFonts w:hint="eastAsia"/>
        </w:rPr>
        <w:t>对烂泥湖垸的堤防进行全面系统建设，提升烂泥湖垸的防洪能力。</w:t>
      </w:r>
    </w:p>
    <w:p>
      <w:pPr>
        <w:pStyle w:val="3"/>
        <w:ind w:firstLine="560"/>
      </w:pPr>
      <w:r>
        <w:rPr>
          <w:rFonts w:hint="eastAsia"/>
        </w:rPr>
        <w:t>主要建设内容为：烂泥湖垸28公里撇洪河干堤、42公里撇洪河支堤、106km内湖内河堤防处险加固，堤身、堤基防渗、护坡、护脚，水系连通建筑改造248处；东烂泥湖、鹿角湖、白萍湖、兰溪河、张芦渠、镜明河清淤扩容；烂泥湖撇洪河徐家坝支河、谭家桥支河、泉交河左、泉交河右支河、朱良桥支河新建堤防17.38公里，形成防洪闭合圈。</w:t>
      </w:r>
    </w:p>
    <w:p>
      <w:pPr>
        <w:pStyle w:val="3"/>
        <w:numPr>
          <w:ilvl w:val="255"/>
          <w:numId w:val="0"/>
        </w:numPr>
        <w:ind w:left="560"/>
      </w:pPr>
      <w:r>
        <w:rPr>
          <w:rFonts w:hint="eastAsia"/>
        </w:rPr>
        <w:t>3）一般堤垸堤防加固工程</w:t>
      </w:r>
    </w:p>
    <w:p>
      <w:pPr>
        <w:pStyle w:val="3"/>
        <w:ind w:firstLine="560"/>
      </w:pPr>
      <w:r>
        <w:rPr>
          <w:rFonts w:hint="eastAsia"/>
        </w:rPr>
        <w:t>对存在险情的堤防进行加固达标，涉及永申垸及新安垸2个堤垸，分别有堤防1</w:t>
      </w:r>
      <w:r>
        <w:t>5.856</w:t>
      </w:r>
      <w:r>
        <w:rPr>
          <w:rFonts w:hint="eastAsia"/>
        </w:rPr>
        <w:t>km、1km，主要建设内容为堤身加高培厚，堤身、堤基防渗，护坡、护脚，穿堤建筑物改造。</w:t>
      </w:r>
    </w:p>
    <w:p>
      <w:pPr>
        <w:pStyle w:val="3"/>
        <w:numPr>
          <w:ilvl w:val="255"/>
          <w:numId w:val="0"/>
        </w:numPr>
        <w:ind w:left="560"/>
      </w:pPr>
      <w:r>
        <w:rPr>
          <w:rFonts w:hint="eastAsia"/>
        </w:rPr>
        <w:t>（4）提升涝区排涝能力</w:t>
      </w:r>
    </w:p>
    <w:p>
      <w:pPr>
        <w:pStyle w:val="3"/>
        <w:ind w:firstLine="560"/>
      </w:pPr>
      <w:r>
        <w:rPr>
          <w:rFonts w:hint="eastAsia"/>
        </w:rPr>
        <w:t>主要包括泉交河、侍郎河等1</w:t>
      </w:r>
      <w:r>
        <w:t>4</w:t>
      </w:r>
      <w:r>
        <w:rPr>
          <w:rFonts w:hint="eastAsia"/>
        </w:rPr>
        <w:t>个重点涝区治理，治理涝区面积2</w:t>
      </w:r>
      <w:r>
        <w:t>12.84</w:t>
      </w:r>
      <w:r>
        <w:rPr>
          <w:rFonts w:hint="eastAsia"/>
        </w:rPr>
        <w:t>km</w:t>
      </w:r>
      <w:r>
        <w:rPr>
          <w:vertAlign w:val="superscript"/>
        </w:rPr>
        <w:t>2</w:t>
      </w:r>
      <w:r>
        <w:rPr>
          <w:rFonts w:hint="eastAsia"/>
        </w:rPr>
        <w:t>。涝区治理主要为承泄区整治、排水河沟治理、排涝涵闸改造、泵站更新改造等。其中更新改造泵站4</w:t>
      </w:r>
      <w:r>
        <w:t>0</w:t>
      </w:r>
      <w:r>
        <w:rPr>
          <w:rFonts w:hint="eastAsia"/>
        </w:rPr>
        <w:t>处5</w:t>
      </w:r>
      <w:r>
        <w:t>6</w:t>
      </w:r>
      <w:r>
        <w:rPr>
          <w:rFonts w:hint="eastAsia"/>
        </w:rPr>
        <w:t>台套，装机容量8</w:t>
      </w:r>
      <w:r>
        <w:t>409</w:t>
      </w:r>
      <w:r>
        <w:rPr>
          <w:rFonts w:hint="eastAsia"/>
        </w:rPr>
        <w:t>kW。</w:t>
      </w:r>
    </w:p>
    <w:p>
      <w:pPr>
        <w:pStyle w:val="3"/>
        <w:numPr>
          <w:ilvl w:val="255"/>
          <w:numId w:val="0"/>
        </w:numPr>
        <w:ind w:left="560"/>
      </w:pPr>
      <w:r>
        <w:rPr>
          <w:rFonts w:hint="eastAsia"/>
        </w:rPr>
        <w:t>（5）加强中小河流治理</w:t>
      </w:r>
    </w:p>
    <w:p>
      <w:pPr>
        <w:pStyle w:val="3"/>
        <w:ind w:firstLine="560"/>
      </w:pPr>
      <w:r>
        <w:rPr>
          <w:rFonts w:hint="eastAsia"/>
        </w:rPr>
        <w:t>加强中小河流治理，实现“河畅、堤固、水清、岸绿、景美”，主要为泉交河治理及撇洪河治理，治理长度分别为1</w:t>
      </w:r>
      <w:r>
        <w:t>6.98</w:t>
      </w:r>
      <w:r>
        <w:rPr>
          <w:rFonts w:hint="eastAsia"/>
        </w:rPr>
        <w:t>km、8</w:t>
      </w:r>
      <w:r>
        <w:t>.6</w:t>
      </w:r>
      <w:r>
        <w:rPr>
          <w:rFonts w:hint="eastAsia"/>
        </w:rPr>
        <w:t>km，建设内容主要为堤防、岸坡加固、清障等。</w:t>
      </w:r>
    </w:p>
    <w:p>
      <w:pPr>
        <w:pStyle w:val="3"/>
        <w:numPr>
          <w:ilvl w:val="255"/>
          <w:numId w:val="0"/>
        </w:numPr>
        <w:ind w:left="560"/>
      </w:pPr>
      <w:r>
        <w:rPr>
          <w:rFonts w:hint="eastAsia"/>
        </w:rPr>
        <w:t>（6）加强山洪灾害防治</w:t>
      </w:r>
    </w:p>
    <w:p>
      <w:pPr>
        <w:pStyle w:val="3"/>
        <w:ind w:firstLine="560"/>
      </w:pPr>
      <w:r>
        <w:rPr>
          <w:rFonts w:hint="eastAsia"/>
        </w:rPr>
        <w:t>赫山区山洪灾害频繁，几乎每年都有不同程度的山洪灾害发生，常造成大量财产损失。近年来，山洪灾害造成的危害与损失有加大的趋势，给赫山区人民带来深重的创伤，也给全区社会、经济发展及建设全面小康社会带来重要不利影响，山洪灾害已经成为当前防洪减灾中的突出问题。</w:t>
      </w:r>
    </w:p>
    <w:p>
      <w:pPr>
        <w:pStyle w:val="3"/>
        <w:ind w:firstLine="560"/>
      </w:pPr>
      <w:r>
        <w:rPr>
          <w:rFonts w:hint="eastAsia"/>
        </w:rPr>
        <w:t>山洪灾害防治主要为2</w:t>
      </w:r>
      <w:r>
        <w:t>6</w:t>
      </w:r>
      <w:r>
        <w:rPr>
          <w:rFonts w:hint="eastAsia"/>
        </w:rPr>
        <w:t>条山洪沟治理，治理总长度1</w:t>
      </w:r>
      <w:r>
        <w:t>28</w:t>
      </w:r>
      <w:r>
        <w:rPr>
          <w:rFonts w:hint="eastAsia"/>
        </w:rPr>
        <w:t>km，建设内容为清淤、护砌，以及山洪灾害监测和预警设备系统升级改造。</w:t>
      </w:r>
    </w:p>
    <w:p>
      <w:pPr>
        <w:pStyle w:val="3"/>
        <w:ind w:firstLine="560"/>
      </w:pPr>
      <w:r>
        <w:rPr>
          <w:rFonts w:hint="eastAsia"/>
        </w:rPr>
        <w:t>防洪安全体系规划项目表见</w:t>
      </w:r>
      <w:r>
        <w:fldChar w:fldCharType="begin"/>
      </w:r>
      <w:r>
        <w:instrText xml:space="preserve"> </w:instrText>
      </w:r>
      <w:r>
        <w:rPr>
          <w:rFonts w:hint="eastAsia"/>
        </w:rPr>
        <w:instrText xml:space="preserve">REF _Ref78557489 \h</w:instrText>
      </w:r>
      <w:r>
        <w:instrText xml:space="preserve"> </w:instrText>
      </w:r>
      <w:r>
        <w:fldChar w:fldCharType="separate"/>
      </w:r>
      <w:r>
        <w:rPr>
          <w:rFonts w:hint="eastAsia"/>
        </w:rPr>
        <w:t xml:space="preserve">表 </w:t>
      </w:r>
      <w:r>
        <w:t>4.2</w:t>
      </w:r>
      <w:r>
        <w:noBreakHyphen/>
      </w:r>
      <w:r>
        <w:t>1</w:t>
      </w:r>
      <w:r>
        <w:fldChar w:fldCharType="end"/>
      </w:r>
      <w:r>
        <w:rPr>
          <w:rFonts w:hint="eastAsia"/>
        </w:rPr>
        <w:t>。</w:t>
      </w:r>
    </w:p>
    <w:p>
      <w:pPr>
        <w:pStyle w:val="95"/>
        <w:spacing w:before="156" w:after="156"/>
        <w:ind w:firstLine="480"/>
      </w:pPr>
      <w:bookmarkStart w:id="38" w:name="_Ref78557489"/>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bookmarkEnd w:id="38"/>
      <w:r>
        <w:tab/>
      </w:r>
      <w:r>
        <w:rPr>
          <w:rFonts w:hint="eastAsia"/>
        </w:rPr>
        <w:t>防洪安全体系规划项目表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4"/>
        <w:gridCol w:w="2598"/>
        <w:gridCol w:w="5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52" w:type="pct"/>
            <w:vAlign w:val="center"/>
          </w:tcPr>
          <w:p>
            <w:pPr>
              <w:pStyle w:val="119"/>
              <w:rPr>
                <w:sz w:val="21"/>
                <w:szCs w:val="21"/>
              </w:rPr>
            </w:pPr>
            <w:r>
              <w:rPr>
                <w:rFonts w:hint="eastAsia"/>
                <w:sz w:val="21"/>
                <w:szCs w:val="21"/>
              </w:rPr>
              <w:t>序号</w:t>
            </w:r>
          </w:p>
        </w:tc>
        <w:tc>
          <w:tcPr>
            <w:tcW w:w="1443" w:type="pct"/>
            <w:vAlign w:val="center"/>
          </w:tcPr>
          <w:p>
            <w:pPr>
              <w:pStyle w:val="119"/>
              <w:rPr>
                <w:sz w:val="21"/>
                <w:szCs w:val="21"/>
              </w:rPr>
            </w:pPr>
            <w:r>
              <w:rPr>
                <w:rFonts w:hint="eastAsia"/>
                <w:sz w:val="21"/>
                <w:szCs w:val="21"/>
              </w:rPr>
              <w:t>项目</w:t>
            </w:r>
          </w:p>
        </w:tc>
        <w:tc>
          <w:tcPr>
            <w:tcW w:w="3005" w:type="pct"/>
            <w:vAlign w:val="center"/>
          </w:tcPr>
          <w:p>
            <w:pPr>
              <w:pStyle w:val="119"/>
              <w:rPr>
                <w:sz w:val="21"/>
                <w:szCs w:val="21"/>
              </w:rPr>
            </w:pPr>
            <w:r>
              <w:rPr>
                <w:rFonts w:hint="eastAsia"/>
                <w:sz w:val="21"/>
                <w:szCs w:val="21"/>
              </w:rPr>
              <w:t>主要建设内容和规模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vAlign w:val="center"/>
          </w:tcPr>
          <w:p>
            <w:pPr>
              <w:pStyle w:val="119"/>
              <w:rPr>
                <w:sz w:val="21"/>
                <w:szCs w:val="21"/>
              </w:rPr>
            </w:pPr>
            <w:r>
              <w:rPr>
                <w:rFonts w:hint="eastAsia"/>
                <w:sz w:val="21"/>
                <w:szCs w:val="21"/>
              </w:rPr>
              <w:t>1</w:t>
            </w:r>
          </w:p>
        </w:tc>
        <w:tc>
          <w:tcPr>
            <w:tcW w:w="1443" w:type="pct"/>
            <w:vAlign w:val="center"/>
          </w:tcPr>
          <w:p>
            <w:pPr>
              <w:pStyle w:val="119"/>
              <w:rPr>
                <w:sz w:val="21"/>
                <w:szCs w:val="21"/>
              </w:rPr>
            </w:pPr>
            <w:r>
              <w:rPr>
                <w:rFonts w:hint="eastAsia"/>
                <w:sz w:val="21"/>
                <w:szCs w:val="21"/>
              </w:rPr>
              <w:t>大中型水库除险加固</w:t>
            </w:r>
          </w:p>
        </w:tc>
        <w:tc>
          <w:tcPr>
            <w:tcW w:w="3005" w:type="pct"/>
            <w:vAlign w:val="center"/>
          </w:tcPr>
          <w:p>
            <w:pPr>
              <w:pStyle w:val="119"/>
              <w:rPr>
                <w:sz w:val="21"/>
                <w:szCs w:val="21"/>
              </w:rPr>
            </w:pPr>
            <w:r>
              <w:rPr>
                <w:rFonts w:hint="eastAsia"/>
                <w:sz w:val="21"/>
                <w:szCs w:val="21"/>
              </w:rPr>
              <w:t>鱼形山水库除险加固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vAlign w:val="center"/>
          </w:tcPr>
          <w:p>
            <w:pPr>
              <w:pStyle w:val="119"/>
              <w:rPr>
                <w:sz w:val="21"/>
                <w:szCs w:val="21"/>
              </w:rPr>
            </w:pPr>
            <w:r>
              <w:rPr>
                <w:rFonts w:hint="eastAsia"/>
                <w:sz w:val="21"/>
                <w:szCs w:val="21"/>
              </w:rPr>
              <w:t>2</w:t>
            </w:r>
          </w:p>
        </w:tc>
        <w:tc>
          <w:tcPr>
            <w:tcW w:w="1443" w:type="pct"/>
            <w:vAlign w:val="center"/>
          </w:tcPr>
          <w:p>
            <w:pPr>
              <w:pStyle w:val="119"/>
              <w:rPr>
                <w:sz w:val="21"/>
                <w:szCs w:val="21"/>
              </w:rPr>
            </w:pPr>
            <w:r>
              <w:rPr>
                <w:rFonts w:hint="eastAsia"/>
                <w:sz w:val="21"/>
                <w:szCs w:val="21"/>
              </w:rPr>
              <w:t>小型水库除险加固</w:t>
            </w:r>
          </w:p>
        </w:tc>
        <w:tc>
          <w:tcPr>
            <w:tcW w:w="3005" w:type="pct"/>
            <w:vAlign w:val="center"/>
          </w:tcPr>
          <w:p>
            <w:pPr>
              <w:pStyle w:val="119"/>
              <w:rPr>
                <w:sz w:val="21"/>
                <w:szCs w:val="21"/>
              </w:rPr>
            </w:pPr>
            <w:r>
              <w:rPr>
                <w:rFonts w:hint="eastAsia"/>
                <w:sz w:val="21"/>
                <w:szCs w:val="21"/>
              </w:rPr>
              <w:t>打鱼坡水库等1</w:t>
            </w:r>
            <w:r>
              <w:rPr>
                <w:sz w:val="21"/>
                <w:szCs w:val="21"/>
              </w:rPr>
              <w:t>6</w:t>
            </w:r>
            <w:r>
              <w:rPr>
                <w:rFonts w:hint="eastAsia"/>
                <w:sz w:val="21"/>
                <w:szCs w:val="21"/>
              </w:rPr>
              <w:t>座小型水库除险加固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vAlign w:val="center"/>
          </w:tcPr>
          <w:p>
            <w:pPr>
              <w:pStyle w:val="119"/>
              <w:rPr>
                <w:sz w:val="21"/>
                <w:szCs w:val="21"/>
              </w:rPr>
            </w:pPr>
            <w:r>
              <w:rPr>
                <w:rFonts w:hint="eastAsia"/>
                <w:sz w:val="21"/>
                <w:szCs w:val="21"/>
              </w:rPr>
              <w:t>3</w:t>
            </w:r>
          </w:p>
        </w:tc>
        <w:tc>
          <w:tcPr>
            <w:tcW w:w="1443" w:type="pct"/>
            <w:vAlign w:val="center"/>
          </w:tcPr>
          <w:p>
            <w:pPr>
              <w:pStyle w:val="119"/>
              <w:rPr>
                <w:sz w:val="21"/>
                <w:szCs w:val="21"/>
              </w:rPr>
            </w:pPr>
            <w:r>
              <w:rPr>
                <w:rFonts w:hint="eastAsia"/>
                <w:sz w:val="21"/>
                <w:szCs w:val="21"/>
              </w:rPr>
              <w:t>大中型水闸除险加固</w:t>
            </w:r>
          </w:p>
        </w:tc>
        <w:tc>
          <w:tcPr>
            <w:tcW w:w="3005" w:type="pct"/>
            <w:vAlign w:val="center"/>
          </w:tcPr>
          <w:p>
            <w:pPr>
              <w:pStyle w:val="119"/>
              <w:rPr>
                <w:sz w:val="21"/>
                <w:szCs w:val="21"/>
              </w:rPr>
            </w:pPr>
            <w:r>
              <w:rPr>
                <w:rFonts w:hint="eastAsia"/>
                <w:sz w:val="21"/>
                <w:szCs w:val="21"/>
              </w:rPr>
              <w:t>船形山水闸等5座大型水闸及芭蕉水闸等</w:t>
            </w:r>
            <w:r>
              <w:rPr>
                <w:sz w:val="21"/>
                <w:szCs w:val="21"/>
              </w:rPr>
              <w:t>10</w:t>
            </w:r>
            <w:r>
              <w:rPr>
                <w:rFonts w:hint="eastAsia"/>
                <w:sz w:val="21"/>
                <w:szCs w:val="21"/>
              </w:rPr>
              <w:t>座中型水闸除险加固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vAlign w:val="center"/>
          </w:tcPr>
          <w:p>
            <w:pPr>
              <w:pStyle w:val="119"/>
              <w:rPr>
                <w:sz w:val="21"/>
                <w:szCs w:val="21"/>
              </w:rPr>
            </w:pPr>
            <w:r>
              <w:rPr>
                <w:rFonts w:hint="eastAsia"/>
                <w:sz w:val="21"/>
                <w:szCs w:val="21"/>
              </w:rPr>
              <w:t>4</w:t>
            </w:r>
          </w:p>
        </w:tc>
        <w:tc>
          <w:tcPr>
            <w:tcW w:w="1443" w:type="pct"/>
            <w:vAlign w:val="center"/>
          </w:tcPr>
          <w:p>
            <w:pPr>
              <w:pStyle w:val="119"/>
              <w:rPr>
                <w:sz w:val="21"/>
                <w:szCs w:val="21"/>
              </w:rPr>
            </w:pPr>
            <w:r>
              <w:rPr>
                <w:rFonts w:hint="eastAsia"/>
                <w:sz w:val="21"/>
                <w:szCs w:val="21"/>
              </w:rPr>
              <w:t>堤垸堤防加固</w:t>
            </w:r>
          </w:p>
        </w:tc>
        <w:tc>
          <w:tcPr>
            <w:tcW w:w="3005" w:type="pct"/>
            <w:vAlign w:val="center"/>
          </w:tcPr>
          <w:p>
            <w:pPr>
              <w:pStyle w:val="119"/>
              <w:rPr>
                <w:sz w:val="21"/>
                <w:szCs w:val="21"/>
              </w:rPr>
            </w:pPr>
            <w:r>
              <w:rPr>
                <w:rFonts w:hint="eastAsia"/>
                <w:sz w:val="21"/>
                <w:szCs w:val="21"/>
              </w:rPr>
              <w:t>永申垸及新安垸2个堤垸堤防加固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vAlign w:val="center"/>
          </w:tcPr>
          <w:p>
            <w:pPr>
              <w:pStyle w:val="119"/>
              <w:rPr>
                <w:sz w:val="21"/>
                <w:szCs w:val="21"/>
              </w:rPr>
            </w:pPr>
            <w:r>
              <w:rPr>
                <w:rFonts w:hint="eastAsia"/>
                <w:sz w:val="21"/>
                <w:szCs w:val="21"/>
              </w:rPr>
              <w:t>5</w:t>
            </w:r>
          </w:p>
        </w:tc>
        <w:tc>
          <w:tcPr>
            <w:tcW w:w="1443" w:type="pct"/>
            <w:vAlign w:val="center"/>
          </w:tcPr>
          <w:p>
            <w:pPr>
              <w:pStyle w:val="119"/>
              <w:rPr>
                <w:sz w:val="21"/>
                <w:szCs w:val="21"/>
              </w:rPr>
            </w:pPr>
            <w:r>
              <w:rPr>
                <w:rFonts w:hint="eastAsia"/>
                <w:sz w:val="21"/>
                <w:szCs w:val="21"/>
              </w:rPr>
              <w:t>水库防汛通道建设</w:t>
            </w:r>
          </w:p>
        </w:tc>
        <w:tc>
          <w:tcPr>
            <w:tcW w:w="3005" w:type="pct"/>
            <w:vAlign w:val="center"/>
          </w:tcPr>
          <w:p>
            <w:pPr>
              <w:pStyle w:val="119"/>
              <w:rPr>
                <w:sz w:val="21"/>
                <w:szCs w:val="21"/>
              </w:rPr>
            </w:pPr>
            <w:r>
              <w:rPr>
                <w:rFonts w:hint="eastAsia"/>
                <w:sz w:val="21"/>
                <w:szCs w:val="21"/>
              </w:rPr>
              <w:t>8</w:t>
            </w:r>
            <w:r>
              <w:rPr>
                <w:sz w:val="21"/>
                <w:szCs w:val="21"/>
              </w:rPr>
              <w:t>4</w:t>
            </w:r>
            <w:r>
              <w:rPr>
                <w:rFonts w:hint="eastAsia"/>
                <w:sz w:val="21"/>
                <w:szCs w:val="21"/>
              </w:rPr>
              <w:t>座小型水库防汛通道建设，共计3</w:t>
            </w:r>
            <w:r>
              <w:rPr>
                <w:sz w:val="21"/>
                <w:szCs w:val="21"/>
              </w:rPr>
              <w:t>1.7</w:t>
            </w:r>
            <w:r>
              <w:rPr>
                <w:rFonts w:hint="eastAsia"/>
                <w:sz w:val="21"/>
                <w:szCs w:val="21"/>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vAlign w:val="center"/>
          </w:tcPr>
          <w:p>
            <w:pPr>
              <w:pStyle w:val="119"/>
              <w:rPr>
                <w:sz w:val="21"/>
                <w:szCs w:val="21"/>
              </w:rPr>
            </w:pPr>
            <w:r>
              <w:rPr>
                <w:rFonts w:hint="eastAsia"/>
                <w:sz w:val="21"/>
                <w:szCs w:val="21"/>
              </w:rPr>
              <w:t>6</w:t>
            </w:r>
          </w:p>
        </w:tc>
        <w:tc>
          <w:tcPr>
            <w:tcW w:w="1443" w:type="pct"/>
            <w:vAlign w:val="center"/>
          </w:tcPr>
          <w:p>
            <w:pPr>
              <w:pStyle w:val="119"/>
              <w:rPr>
                <w:sz w:val="21"/>
                <w:szCs w:val="21"/>
              </w:rPr>
            </w:pPr>
            <w:r>
              <w:rPr>
                <w:rFonts w:hint="eastAsia"/>
                <w:sz w:val="21"/>
                <w:szCs w:val="21"/>
              </w:rPr>
              <w:t>烂泥湖撇洪河泄洪闸新建</w:t>
            </w:r>
          </w:p>
        </w:tc>
        <w:tc>
          <w:tcPr>
            <w:tcW w:w="3005" w:type="pct"/>
            <w:vAlign w:val="center"/>
          </w:tcPr>
          <w:p>
            <w:pPr>
              <w:pStyle w:val="119"/>
              <w:rPr>
                <w:sz w:val="21"/>
                <w:szCs w:val="21"/>
              </w:rPr>
            </w:pPr>
            <w:r>
              <w:rPr>
                <w:rFonts w:hint="eastAsia"/>
                <w:sz w:val="21"/>
                <w:szCs w:val="21"/>
              </w:rPr>
              <w:t>新建水矶口泄洪闸，镜明河1.2km堤防加高加固及其他配套设施建设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vAlign w:val="center"/>
          </w:tcPr>
          <w:p>
            <w:pPr>
              <w:pStyle w:val="119"/>
              <w:rPr>
                <w:sz w:val="21"/>
                <w:szCs w:val="21"/>
              </w:rPr>
            </w:pPr>
            <w:r>
              <w:rPr>
                <w:rFonts w:hint="eastAsia"/>
                <w:sz w:val="21"/>
                <w:szCs w:val="21"/>
              </w:rPr>
              <w:t>7</w:t>
            </w:r>
          </w:p>
        </w:tc>
        <w:tc>
          <w:tcPr>
            <w:tcW w:w="1443" w:type="pct"/>
            <w:vAlign w:val="center"/>
          </w:tcPr>
          <w:p>
            <w:pPr>
              <w:pStyle w:val="119"/>
              <w:rPr>
                <w:sz w:val="21"/>
                <w:szCs w:val="21"/>
              </w:rPr>
            </w:pPr>
            <w:r>
              <w:rPr>
                <w:rFonts w:hint="eastAsia"/>
                <w:sz w:val="21"/>
                <w:szCs w:val="21"/>
              </w:rPr>
              <w:t>洞庭湖区重要堤防加固一期工程（烂泥湖垸）</w:t>
            </w:r>
          </w:p>
        </w:tc>
        <w:tc>
          <w:tcPr>
            <w:tcW w:w="3005" w:type="pct"/>
            <w:vAlign w:val="center"/>
          </w:tcPr>
          <w:p>
            <w:pPr>
              <w:pStyle w:val="119"/>
              <w:rPr>
                <w:sz w:val="21"/>
                <w:szCs w:val="21"/>
              </w:rPr>
            </w:pPr>
            <w:r>
              <w:rPr>
                <w:rFonts w:hint="eastAsia"/>
                <w:sz w:val="21"/>
                <w:szCs w:val="21"/>
              </w:rPr>
              <w:t>堤身防渗22.488公里、堤基防渗20.094公里、护坡3.652公里、护脚7.816公里、穿堤建筑物改造8处、堤顶防汛道路3公里等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vAlign w:val="center"/>
          </w:tcPr>
          <w:p>
            <w:pPr>
              <w:pStyle w:val="119"/>
              <w:rPr>
                <w:sz w:val="21"/>
                <w:szCs w:val="21"/>
              </w:rPr>
            </w:pPr>
            <w:r>
              <w:rPr>
                <w:rFonts w:hint="eastAsia"/>
                <w:sz w:val="21"/>
                <w:szCs w:val="21"/>
              </w:rPr>
              <w:t>8</w:t>
            </w:r>
          </w:p>
        </w:tc>
        <w:tc>
          <w:tcPr>
            <w:tcW w:w="1443" w:type="pct"/>
            <w:vAlign w:val="center"/>
          </w:tcPr>
          <w:p>
            <w:pPr>
              <w:pStyle w:val="119"/>
              <w:rPr>
                <w:sz w:val="21"/>
                <w:szCs w:val="21"/>
              </w:rPr>
            </w:pPr>
            <w:r>
              <w:rPr>
                <w:rFonts w:hint="eastAsia"/>
                <w:sz w:val="21"/>
                <w:szCs w:val="21"/>
              </w:rPr>
              <w:t>益阳市赫山区烂泥湖垸防洪除涝能力提升工程</w:t>
            </w:r>
          </w:p>
        </w:tc>
        <w:tc>
          <w:tcPr>
            <w:tcW w:w="3005" w:type="pct"/>
            <w:vAlign w:val="center"/>
          </w:tcPr>
          <w:p>
            <w:pPr>
              <w:pStyle w:val="119"/>
              <w:rPr>
                <w:sz w:val="21"/>
                <w:szCs w:val="21"/>
              </w:rPr>
            </w:pPr>
            <w:r>
              <w:rPr>
                <w:rFonts w:hint="eastAsia"/>
                <w:sz w:val="21"/>
                <w:szCs w:val="21"/>
              </w:rPr>
              <w:t>烂泥湖垸28公里撇洪河干堤、42公里撇洪河支堤、106km内湖内河堤防处险加固，堤身、堤基防渗、护坡、护脚，水系连通建筑改造248处；东烂泥湖、鹿角湖、白萍湖、兰溪河、张芦渠、镜明河清淤扩容；烂泥湖撇洪河徐家坝支河、谭家桥支河、泉交河左、泉交河右支河、朱良桥支河新建堤防17.38公里，形成防洪闭合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vAlign w:val="center"/>
          </w:tcPr>
          <w:p>
            <w:pPr>
              <w:pStyle w:val="119"/>
              <w:rPr>
                <w:sz w:val="21"/>
                <w:szCs w:val="21"/>
              </w:rPr>
            </w:pPr>
            <w:r>
              <w:rPr>
                <w:rFonts w:hint="eastAsia"/>
                <w:sz w:val="21"/>
                <w:szCs w:val="21"/>
              </w:rPr>
              <w:t>9</w:t>
            </w:r>
          </w:p>
        </w:tc>
        <w:tc>
          <w:tcPr>
            <w:tcW w:w="1443" w:type="pct"/>
            <w:vAlign w:val="center"/>
          </w:tcPr>
          <w:p>
            <w:pPr>
              <w:pStyle w:val="119"/>
              <w:rPr>
                <w:sz w:val="21"/>
                <w:szCs w:val="21"/>
              </w:rPr>
            </w:pPr>
            <w:r>
              <w:rPr>
                <w:rFonts w:hint="eastAsia"/>
                <w:sz w:val="21"/>
                <w:szCs w:val="21"/>
              </w:rPr>
              <w:t>中小河流治理</w:t>
            </w:r>
          </w:p>
        </w:tc>
        <w:tc>
          <w:tcPr>
            <w:tcW w:w="3005" w:type="pct"/>
            <w:vAlign w:val="center"/>
          </w:tcPr>
          <w:p>
            <w:pPr>
              <w:pStyle w:val="119"/>
              <w:rPr>
                <w:sz w:val="21"/>
                <w:szCs w:val="21"/>
              </w:rPr>
            </w:pPr>
            <w:r>
              <w:rPr>
                <w:rFonts w:hint="eastAsia"/>
                <w:sz w:val="21"/>
                <w:szCs w:val="21"/>
              </w:rPr>
              <w:t>泉交河及烂泥湖撇洪河2条河流综合治理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vAlign w:val="center"/>
          </w:tcPr>
          <w:p>
            <w:pPr>
              <w:pStyle w:val="119"/>
              <w:rPr>
                <w:sz w:val="21"/>
                <w:szCs w:val="21"/>
              </w:rPr>
            </w:pPr>
            <w:r>
              <w:rPr>
                <w:rFonts w:hint="eastAsia"/>
                <w:sz w:val="21"/>
                <w:szCs w:val="21"/>
              </w:rPr>
              <w:t>1</w:t>
            </w:r>
            <w:r>
              <w:rPr>
                <w:sz w:val="21"/>
                <w:szCs w:val="21"/>
              </w:rPr>
              <w:t>0</w:t>
            </w:r>
          </w:p>
        </w:tc>
        <w:tc>
          <w:tcPr>
            <w:tcW w:w="1443" w:type="pct"/>
            <w:vAlign w:val="center"/>
          </w:tcPr>
          <w:p>
            <w:pPr>
              <w:pStyle w:val="119"/>
              <w:rPr>
                <w:sz w:val="21"/>
                <w:szCs w:val="21"/>
              </w:rPr>
            </w:pPr>
            <w:r>
              <w:rPr>
                <w:rFonts w:hint="eastAsia"/>
                <w:sz w:val="21"/>
                <w:szCs w:val="21"/>
              </w:rPr>
              <w:t>山洪沟治理</w:t>
            </w:r>
          </w:p>
        </w:tc>
        <w:tc>
          <w:tcPr>
            <w:tcW w:w="3005" w:type="pct"/>
            <w:vAlign w:val="center"/>
          </w:tcPr>
          <w:p>
            <w:pPr>
              <w:pStyle w:val="119"/>
              <w:rPr>
                <w:sz w:val="21"/>
                <w:szCs w:val="21"/>
              </w:rPr>
            </w:pPr>
            <w:r>
              <w:rPr>
                <w:rFonts w:hint="eastAsia"/>
                <w:sz w:val="21"/>
                <w:szCs w:val="21"/>
              </w:rPr>
              <w:t>银河等2</w:t>
            </w:r>
            <w:r>
              <w:rPr>
                <w:sz w:val="21"/>
                <w:szCs w:val="21"/>
              </w:rPr>
              <w:t>6</w:t>
            </w:r>
            <w:r>
              <w:rPr>
                <w:rFonts w:hint="eastAsia"/>
                <w:sz w:val="21"/>
                <w:szCs w:val="21"/>
              </w:rPr>
              <w:t>条山洪沟治理，总长1</w:t>
            </w:r>
            <w:r>
              <w:rPr>
                <w:sz w:val="21"/>
                <w:szCs w:val="21"/>
              </w:rPr>
              <w:t>28</w:t>
            </w:r>
            <w:r>
              <w:rPr>
                <w:rFonts w:hint="eastAsia"/>
                <w:sz w:val="21"/>
                <w:szCs w:val="21"/>
              </w:rPr>
              <w:t>公里。</w:t>
            </w:r>
          </w:p>
        </w:tc>
      </w:tr>
    </w:tbl>
    <w:p>
      <w:pPr>
        <w:pStyle w:val="5"/>
      </w:pPr>
      <w:r>
        <w:rPr>
          <w:rFonts w:hint="eastAsia"/>
        </w:rPr>
        <w:t>饮水安全体系</w:t>
      </w:r>
    </w:p>
    <w:p>
      <w:pPr>
        <w:pStyle w:val="3"/>
        <w:ind w:firstLine="560"/>
      </w:pPr>
      <w:r>
        <w:rPr>
          <w:rFonts w:hint="eastAsia"/>
        </w:rPr>
        <w:t>饮水安全体系主要是城乡供水一体化工程及农村供水提质改造工程，主要建设内容为：接城市自来水工程，梯口增容，输水管网提质改造并延伸；11处千吨万人工程厂区改造，设备提质改造，输水管网延伸，设备提质改造，新增水质检测设备，增加取水深井备用水源；47处其他供水工程厂区改造，设备提质改造，输水管网延伸，设备提质改造，取水点改造或增加取水深井。</w:t>
      </w:r>
    </w:p>
    <w:p>
      <w:pPr>
        <w:pStyle w:val="3"/>
        <w:ind w:firstLine="560"/>
      </w:pPr>
      <w:r>
        <w:rPr>
          <w:rFonts w:hint="eastAsia"/>
        </w:rPr>
        <w:t>饮水安全体系规划项目表见</w:t>
      </w:r>
      <w:r>
        <w:fldChar w:fldCharType="begin"/>
      </w:r>
      <w:r>
        <w:instrText xml:space="preserve"> </w:instrText>
      </w:r>
      <w:r>
        <w:rPr>
          <w:rFonts w:hint="eastAsia"/>
        </w:rPr>
        <w:instrText xml:space="preserve">REF _Ref78557792 \h</w:instrText>
      </w:r>
      <w:r>
        <w:instrText xml:space="preserve"> </w:instrText>
      </w:r>
      <w:r>
        <w:fldChar w:fldCharType="separate"/>
      </w:r>
      <w:r>
        <w:rPr>
          <w:rFonts w:hint="eastAsia"/>
        </w:rPr>
        <w:t xml:space="preserve">表 </w:t>
      </w:r>
      <w:r>
        <w:t>4.2</w:t>
      </w:r>
      <w:r>
        <w:noBreakHyphen/>
      </w:r>
      <w:r>
        <w:t>2</w:t>
      </w:r>
      <w:r>
        <w:fldChar w:fldCharType="end"/>
      </w:r>
      <w:r>
        <w:rPr>
          <w:rFonts w:hint="eastAsia"/>
        </w:rPr>
        <w:t>。</w:t>
      </w:r>
    </w:p>
    <w:p>
      <w:pPr>
        <w:pStyle w:val="95"/>
        <w:spacing w:before="156" w:after="156"/>
        <w:ind w:firstLine="480"/>
      </w:pPr>
      <w:bookmarkStart w:id="39" w:name="_Ref78557792"/>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bookmarkEnd w:id="39"/>
      <w:r>
        <w:tab/>
      </w:r>
      <w:r>
        <w:rPr>
          <w:rFonts w:hint="eastAsia"/>
        </w:rPr>
        <w:t>饮水安全体系规划项目表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4"/>
        <w:gridCol w:w="2598"/>
        <w:gridCol w:w="5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vAlign w:val="center"/>
          </w:tcPr>
          <w:p>
            <w:pPr>
              <w:pStyle w:val="119"/>
              <w:rPr>
                <w:sz w:val="21"/>
                <w:szCs w:val="21"/>
              </w:rPr>
            </w:pPr>
            <w:r>
              <w:rPr>
                <w:rFonts w:hint="eastAsia"/>
                <w:sz w:val="21"/>
                <w:szCs w:val="21"/>
              </w:rPr>
              <w:t>序号</w:t>
            </w:r>
          </w:p>
        </w:tc>
        <w:tc>
          <w:tcPr>
            <w:tcW w:w="1443" w:type="pct"/>
            <w:vAlign w:val="center"/>
          </w:tcPr>
          <w:p>
            <w:pPr>
              <w:pStyle w:val="119"/>
              <w:rPr>
                <w:sz w:val="21"/>
                <w:szCs w:val="21"/>
              </w:rPr>
            </w:pPr>
            <w:r>
              <w:rPr>
                <w:rFonts w:hint="eastAsia"/>
                <w:sz w:val="21"/>
                <w:szCs w:val="21"/>
              </w:rPr>
              <w:t>项目</w:t>
            </w:r>
          </w:p>
        </w:tc>
        <w:tc>
          <w:tcPr>
            <w:tcW w:w="3005" w:type="pct"/>
            <w:vAlign w:val="center"/>
          </w:tcPr>
          <w:p>
            <w:pPr>
              <w:pStyle w:val="119"/>
              <w:rPr>
                <w:sz w:val="21"/>
                <w:szCs w:val="21"/>
              </w:rPr>
            </w:pPr>
            <w:r>
              <w:rPr>
                <w:rFonts w:hint="eastAsia"/>
                <w:sz w:val="21"/>
                <w:szCs w:val="21"/>
              </w:rPr>
              <w:t>主要建设内容和规模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vAlign w:val="center"/>
          </w:tcPr>
          <w:p>
            <w:pPr>
              <w:pStyle w:val="119"/>
              <w:rPr>
                <w:sz w:val="21"/>
                <w:szCs w:val="21"/>
              </w:rPr>
            </w:pPr>
            <w:r>
              <w:rPr>
                <w:rFonts w:hint="eastAsia"/>
                <w:sz w:val="21"/>
                <w:szCs w:val="21"/>
              </w:rPr>
              <w:t>1</w:t>
            </w:r>
          </w:p>
        </w:tc>
        <w:tc>
          <w:tcPr>
            <w:tcW w:w="1443" w:type="pct"/>
            <w:vAlign w:val="center"/>
          </w:tcPr>
          <w:p>
            <w:pPr>
              <w:pStyle w:val="119"/>
              <w:rPr>
                <w:sz w:val="21"/>
                <w:szCs w:val="21"/>
              </w:rPr>
            </w:pPr>
            <w:r>
              <w:rPr>
                <w:rFonts w:hint="eastAsia"/>
                <w:sz w:val="21"/>
                <w:szCs w:val="21"/>
              </w:rPr>
              <w:t>城乡供水一体化工程</w:t>
            </w:r>
          </w:p>
        </w:tc>
        <w:tc>
          <w:tcPr>
            <w:tcW w:w="3005" w:type="pct"/>
            <w:vAlign w:val="center"/>
          </w:tcPr>
          <w:p>
            <w:pPr>
              <w:pStyle w:val="119"/>
              <w:rPr>
                <w:sz w:val="21"/>
                <w:szCs w:val="21"/>
              </w:rPr>
            </w:pPr>
            <w:r>
              <w:rPr>
                <w:rFonts w:hint="eastAsia"/>
                <w:sz w:val="21"/>
                <w:szCs w:val="21"/>
              </w:rPr>
              <w:t>城市自来水管网延伸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vAlign w:val="center"/>
          </w:tcPr>
          <w:p>
            <w:pPr>
              <w:pStyle w:val="119"/>
              <w:rPr>
                <w:sz w:val="21"/>
                <w:szCs w:val="21"/>
              </w:rPr>
            </w:pPr>
            <w:r>
              <w:rPr>
                <w:rFonts w:hint="eastAsia"/>
                <w:sz w:val="21"/>
                <w:szCs w:val="21"/>
              </w:rPr>
              <w:t>2</w:t>
            </w:r>
          </w:p>
        </w:tc>
        <w:tc>
          <w:tcPr>
            <w:tcW w:w="1443" w:type="pct"/>
            <w:vAlign w:val="center"/>
          </w:tcPr>
          <w:p>
            <w:pPr>
              <w:pStyle w:val="119"/>
              <w:rPr>
                <w:sz w:val="21"/>
                <w:szCs w:val="21"/>
              </w:rPr>
            </w:pPr>
            <w:r>
              <w:rPr>
                <w:rFonts w:hint="eastAsia"/>
                <w:sz w:val="21"/>
                <w:szCs w:val="21"/>
              </w:rPr>
              <w:t>农村供水提质改造工程</w:t>
            </w:r>
          </w:p>
        </w:tc>
        <w:tc>
          <w:tcPr>
            <w:tcW w:w="3005" w:type="pct"/>
            <w:vAlign w:val="center"/>
          </w:tcPr>
          <w:p>
            <w:pPr>
              <w:pStyle w:val="119"/>
              <w:rPr>
                <w:sz w:val="21"/>
                <w:szCs w:val="21"/>
              </w:rPr>
            </w:pPr>
            <w:r>
              <w:rPr>
                <w:rFonts w:hint="eastAsia"/>
                <w:sz w:val="21"/>
                <w:szCs w:val="21"/>
              </w:rPr>
              <w:t>1</w:t>
            </w:r>
            <w:r>
              <w:rPr>
                <w:sz w:val="21"/>
                <w:szCs w:val="21"/>
              </w:rPr>
              <w:t>1</w:t>
            </w:r>
            <w:r>
              <w:rPr>
                <w:rFonts w:hint="eastAsia"/>
                <w:sz w:val="21"/>
                <w:szCs w:val="21"/>
              </w:rPr>
              <w:t>处规模化工程及4</w:t>
            </w:r>
            <w:r>
              <w:rPr>
                <w:sz w:val="21"/>
                <w:szCs w:val="21"/>
              </w:rPr>
              <w:t>7</w:t>
            </w:r>
            <w:r>
              <w:rPr>
                <w:rFonts w:hint="eastAsia"/>
                <w:sz w:val="21"/>
                <w:szCs w:val="21"/>
              </w:rPr>
              <w:t>处小型供水工程提质改造</w:t>
            </w:r>
          </w:p>
        </w:tc>
      </w:tr>
    </w:tbl>
    <w:p>
      <w:pPr>
        <w:pStyle w:val="5"/>
      </w:pPr>
      <w:r>
        <w:rPr>
          <w:rFonts w:hint="eastAsia"/>
        </w:rPr>
        <w:t>用水安全体系</w:t>
      </w:r>
    </w:p>
    <w:p>
      <w:pPr>
        <w:pStyle w:val="3"/>
        <w:ind w:firstLine="560"/>
      </w:pPr>
      <w:r>
        <w:rPr>
          <w:rFonts w:hint="eastAsia"/>
        </w:rPr>
        <w:t>用水安全体系共规划</w:t>
      </w:r>
      <w:r>
        <w:t>4</w:t>
      </w:r>
      <w:r>
        <w:rPr>
          <w:rFonts w:hint="eastAsia"/>
        </w:rPr>
        <w:t>个项目：</w:t>
      </w:r>
    </w:p>
    <w:p>
      <w:pPr>
        <w:pStyle w:val="3"/>
        <w:numPr>
          <w:ilvl w:val="255"/>
          <w:numId w:val="0"/>
        </w:numPr>
        <w:ind w:left="560"/>
      </w:pPr>
      <w:r>
        <w:rPr>
          <w:rFonts w:hint="eastAsia"/>
        </w:rPr>
        <w:t>（1）湖南省洞庭湖区大型灌区赫山区烂泥湖灌区建设工程</w:t>
      </w:r>
    </w:p>
    <w:p>
      <w:pPr>
        <w:pStyle w:val="3"/>
        <w:ind w:firstLine="560"/>
      </w:pPr>
      <w:r>
        <w:rPr>
          <w:rFonts w:hint="eastAsia"/>
        </w:rPr>
        <w:t>烂泥湖灌区设计灌溉面积38.81万亩，规划改造干、支渠108条460公里，新建或改造斗、农渠2948条1354公里，新建或改造机耕道106公里，生产路160公里，增设机耕桥48处，人行桥159座等。</w:t>
      </w:r>
    </w:p>
    <w:p>
      <w:pPr>
        <w:pStyle w:val="3"/>
        <w:numPr>
          <w:ilvl w:val="255"/>
          <w:numId w:val="0"/>
        </w:numPr>
        <w:ind w:left="560"/>
      </w:pPr>
      <w:r>
        <w:rPr>
          <w:rFonts w:hint="eastAsia"/>
        </w:rPr>
        <w:t>（2）赫山区中型灌区续建配套改造项目</w:t>
      </w:r>
    </w:p>
    <w:p>
      <w:pPr>
        <w:pStyle w:val="3"/>
        <w:ind w:firstLine="560" w:firstLineChars="0"/>
      </w:pPr>
      <w:r>
        <w:rPr>
          <w:rFonts w:hint="eastAsia"/>
        </w:rPr>
        <w:t>共涉及新河灌区、志溪河灌区、兰溪河灌区、鱼形山灌区等4处重点中型灌区续建改造，以及白濒湖灌区、长塘灌区、火田垸灌区、柳林江灌区、鹿角湖灌区、七里村灌区、石坝口中灌区、塘湾灌区、祥云河坝灌区、岳家坝水轮泵灌区、朱公塘灌区、珠波塘灌区、梓山村灌区等13处一般中型灌区续建配套改造。</w:t>
      </w:r>
    </w:p>
    <w:p>
      <w:pPr>
        <w:pStyle w:val="3"/>
        <w:numPr>
          <w:ilvl w:val="255"/>
          <w:numId w:val="0"/>
        </w:numPr>
        <w:ind w:left="560"/>
      </w:pPr>
      <w:r>
        <w:rPr>
          <w:rFonts w:hint="eastAsia"/>
        </w:rPr>
        <w:t>（3）益阳市赫山区引提调水工程</w:t>
      </w:r>
    </w:p>
    <w:p>
      <w:pPr>
        <w:pStyle w:val="3"/>
        <w:ind w:firstLine="560"/>
      </w:pPr>
      <w:r>
        <w:rPr>
          <w:rFonts w:hint="eastAsia"/>
        </w:rPr>
        <w:t>新建七里村水库、关山水库、祥云河坝、高家坝引水工程，朱公塘水库提水工程、金盆提灌工程及黄金河坝左支渠衬砌等7处引提调水工程。</w:t>
      </w:r>
    </w:p>
    <w:p>
      <w:pPr>
        <w:pStyle w:val="3"/>
        <w:numPr>
          <w:ilvl w:val="255"/>
          <w:numId w:val="0"/>
        </w:numPr>
        <w:ind w:left="560"/>
      </w:pPr>
      <w:r>
        <w:rPr>
          <w:rFonts w:hint="eastAsia"/>
        </w:rPr>
        <w:t>（4）益阳市鱼形山水库补水工程</w:t>
      </w:r>
    </w:p>
    <w:p>
      <w:pPr>
        <w:pStyle w:val="3"/>
        <w:ind w:firstLine="560"/>
      </w:pPr>
      <w:r>
        <w:rPr>
          <w:rFonts w:hint="eastAsia"/>
        </w:rPr>
        <w:t>新建引水渠23公里，增加外引面积15平方公里；新建7座提水泵站，7座河坝改造，左、中干渠和右干渠尾灌区改水等。</w:t>
      </w:r>
    </w:p>
    <w:p>
      <w:pPr>
        <w:pStyle w:val="3"/>
        <w:ind w:firstLine="560"/>
      </w:pPr>
      <w:r>
        <w:rPr>
          <w:rFonts w:hint="eastAsia"/>
        </w:rPr>
        <w:t>用水安全体系规划项目表见</w:t>
      </w:r>
      <w:r>
        <w:fldChar w:fldCharType="begin"/>
      </w:r>
      <w:r>
        <w:instrText xml:space="preserve"> </w:instrText>
      </w:r>
      <w:r>
        <w:rPr>
          <w:rFonts w:hint="eastAsia"/>
        </w:rPr>
        <w:instrText xml:space="preserve">REF _Ref78557807 \h</w:instrText>
      </w:r>
      <w:r>
        <w:instrText xml:space="preserve"> </w:instrText>
      </w:r>
      <w:r>
        <w:fldChar w:fldCharType="separate"/>
      </w:r>
      <w:r>
        <w:rPr>
          <w:rFonts w:hint="eastAsia"/>
        </w:rPr>
        <w:t xml:space="preserve">表 </w:t>
      </w:r>
      <w:r>
        <w:t>4.2</w:t>
      </w:r>
      <w:r>
        <w:noBreakHyphen/>
      </w:r>
      <w:r>
        <w:t>3</w:t>
      </w:r>
      <w:r>
        <w:fldChar w:fldCharType="end"/>
      </w:r>
      <w:r>
        <w:rPr>
          <w:rFonts w:hint="eastAsia"/>
        </w:rPr>
        <w:t>。</w:t>
      </w:r>
    </w:p>
    <w:p>
      <w:pPr>
        <w:pStyle w:val="95"/>
        <w:spacing w:before="156" w:after="156"/>
        <w:ind w:firstLine="480"/>
      </w:pPr>
      <w:bookmarkStart w:id="40" w:name="_Ref78557807"/>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bookmarkEnd w:id="40"/>
      <w:r>
        <w:tab/>
      </w:r>
      <w:r>
        <w:rPr>
          <w:rFonts w:hint="eastAsia"/>
        </w:rPr>
        <w:t>用水安全体系规划项目表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4"/>
        <w:gridCol w:w="2598"/>
        <w:gridCol w:w="5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vAlign w:val="center"/>
          </w:tcPr>
          <w:p>
            <w:pPr>
              <w:pStyle w:val="119"/>
              <w:rPr>
                <w:sz w:val="21"/>
                <w:szCs w:val="21"/>
              </w:rPr>
            </w:pPr>
            <w:r>
              <w:rPr>
                <w:rFonts w:hint="eastAsia"/>
                <w:sz w:val="21"/>
                <w:szCs w:val="21"/>
              </w:rPr>
              <w:t>序号</w:t>
            </w:r>
          </w:p>
        </w:tc>
        <w:tc>
          <w:tcPr>
            <w:tcW w:w="1443" w:type="pct"/>
            <w:vAlign w:val="center"/>
          </w:tcPr>
          <w:p>
            <w:pPr>
              <w:pStyle w:val="119"/>
              <w:rPr>
                <w:sz w:val="21"/>
                <w:szCs w:val="21"/>
              </w:rPr>
            </w:pPr>
            <w:r>
              <w:rPr>
                <w:rFonts w:hint="eastAsia"/>
                <w:sz w:val="21"/>
                <w:szCs w:val="21"/>
              </w:rPr>
              <w:t>项目</w:t>
            </w:r>
          </w:p>
        </w:tc>
        <w:tc>
          <w:tcPr>
            <w:tcW w:w="3005" w:type="pct"/>
            <w:vAlign w:val="center"/>
          </w:tcPr>
          <w:p>
            <w:pPr>
              <w:pStyle w:val="119"/>
              <w:rPr>
                <w:sz w:val="21"/>
                <w:szCs w:val="21"/>
              </w:rPr>
            </w:pPr>
            <w:r>
              <w:rPr>
                <w:rFonts w:hint="eastAsia"/>
                <w:sz w:val="21"/>
                <w:szCs w:val="21"/>
              </w:rPr>
              <w:t>主要建设内容和规模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vAlign w:val="center"/>
          </w:tcPr>
          <w:p>
            <w:pPr>
              <w:pStyle w:val="119"/>
              <w:rPr>
                <w:sz w:val="21"/>
                <w:szCs w:val="21"/>
              </w:rPr>
            </w:pPr>
            <w:r>
              <w:rPr>
                <w:rFonts w:hint="eastAsia"/>
                <w:sz w:val="21"/>
                <w:szCs w:val="21"/>
              </w:rPr>
              <w:t>1</w:t>
            </w:r>
          </w:p>
        </w:tc>
        <w:tc>
          <w:tcPr>
            <w:tcW w:w="1443" w:type="pct"/>
            <w:vAlign w:val="center"/>
          </w:tcPr>
          <w:p>
            <w:pPr>
              <w:pStyle w:val="119"/>
              <w:rPr>
                <w:sz w:val="21"/>
                <w:szCs w:val="21"/>
              </w:rPr>
            </w:pPr>
            <w:r>
              <w:rPr>
                <w:rFonts w:hint="eastAsia"/>
                <w:sz w:val="21"/>
                <w:szCs w:val="21"/>
              </w:rPr>
              <w:t>大型灌区建设工程</w:t>
            </w:r>
          </w:p>
        </w:tc>
        <w:tc>
          <w:tcPr>
            <w:tcW w:w="3005" w:type="pct"/>
            <w:vAlign w:val="center"/>
          </w:tcPr>
          <w:p>
            <w:pPr>
              <w:pStyle w:val="119"/>
              <w:rPr>
                <w:sz w:val="21"/>
                <w:szCs w:val="21"/>
              </w:rPr>
            </w:pPr>
            <w:r>
              <w:rPr>
                <w:rFonts w:hint="eastAsia"/>
                <w:sz w:val="21"/>
                <w:szCs w:val="21"/>
              </w:rPr>
              <w:t>新建烂泥湖灌区，设计灌溉面积3</w:t>
            </w:r>
            <w:r>
              <w:rPr>
                <w:sz w:val="21"/>
                <w:szCs w:val="21"/>
              </w:rPr>
              <w:t>8.81</w:t>
            </w:r>
            <w:r>
              <w:rPr>
                <w:rFonts w:hint="eastAsia"/>
                <w:sz w:val="21"/>
                <w:szCs w:val="21"/>
              </w:rPr>
              <w:t>万亩，主要为渠系及渠系建筑物建设。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vAlign w:val="center"/>
          </w:tcPr>
          <w:p>
            <w:pPr>
              <w:pStyle w:val="119"/>
              <w:rPr>
                <w:sz w:val="21"/>
                <w:szCs w:val="21"/>
              </w:rPr>
            </w:pPr>
            <w:r>
              <w:rPr>
                <w:rFonts w:hint="eastAsia"/>
                <w:sz w:val="21"/>
                <w:szCs w:val="21"/>
              </w:rPr>
              <w:t>2</w:t>
            </w:r>
          </w:p>
        </w:tc>
        <w:tc>
          <w:tcPr>
            <w:tcW w:w="1443" w:type="pct"/>
            <w:vAlign w:val="center"/>
          </w:tcPr>
          <w:p>
            <w:pPr>
              <w:pStyle w:val="119"/>
              <w:rPr>
                <w:sz w:val="21"/>
                <w:szCs w:val="21"/>
              </w:rPr>
            </w:pPr>
            <w:r>
              <w:rPr>
                <w:rFonts w:hint="eastAsia"/>
                <w:sz w:val="21"/>
                <w:szCs w:val="21"/>
              </w:rPr>
              <w:t>中型灌区续建配套工程</w:t>
            </w:r>
          </w:p>
        </w:tc>
        <w:tc>
          <w:tcPr>
            <w:tcW w:w="3005" w:type="pct"/>
            <w:vAlign w:val="center"/>
          </w:tcPr>
          <w:p>
            <w:pPr>
              <w:pStyle w:val="119"/>
              <w:rPr>
                <w:sz w:val="21"/>
                <w:szCs w:val="21"/>
              </w:rPr>
            </w:pPr>
            <w:r>
              <w:rPr>
                <w:rFonts w:hint="eastAsia"/>
                <w:sz w:val="21"/>
                <w:szCs w:val="21"/>
              </w:rPr>
              <w:t>新河灌区等4处重点中型灌区及</w:t>
            </w:r>
            <w:r>
              <w:rPr>
                <w:rFonts w:hint="eastAsia"/>
              </w:rPr>
              <w:t>白濒湖灌区等1</w:t>
            </w:r>
            <w:r>
              <w:t>3</w:t>
            </w:r>
            <w:r>
              <w:rPr>
                <w:rFonts w:hint="eastAsia"/>
              </w:rPr>
              <w:t>处一般中型灌区续建配套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vAlign w:val="center"/>
          </w:tcPr>
          <w:p>
            <w:pPr>
              <w:pStyle w:val="119"/>
              <w:rPr>
                <w:sz w:val="21"/>
                <w:szCs w:val="21"/>
              </w:rPr>
            </w:pPr>
            <w:r>
              <w:rPr>
                <w:rFonts w:hint="eastAsia"/>
                <w:sz w:val="21"/>
                <w:szCs w:val="21"/>
              </w:rPr>
              <w:t>3</w:t>
            </w:r>
          </w:p>
        </w:tc>
        <w:tc>
          <w:tcPr>
            <w:tcW w:w="1443" w:type="pct"/>
            <w:vAlign w:val="center"/>
          </w:tcPr>
          <w:p>
            <w:pPr>
              <w:pStyle w:val="119"/>
              <w:rPr>
                <w:sz w:val="21"/>
                <w:szCs w:val="21"/>
              </w:rPr>
            </w:pPr>
            <w:r>
              <w:rPr>
                <w:rFonts w:hint="eastAsia"/>
                <w:sz w:val="21"/>
                <w:szCs w:val="21"/>
              </w:rPr>
              <w:t>引提调水工程</w:t>
            </w:r>
          </w:p>
        </w:tc>
        <w:tc>
          <w:tcPr>
            <w:tcW w:w="3005" w:type="pct"/>
            <w:vAlign w:val="center"/>
          </w:tcPr>
          <w:p>
            <w:pPr>
              <w:pStyle w:val="119"/>
              <w:rPr>
                <w:sz w:val="21"/>
                <w:szCs w:val="21"/>
              </w:rPr>
            </w:pPr>
            <w:r>
              <w:rPr>
                <w:rFonts w:hint="eastAsia"/>
                <w:sz w:val="21"/>
                <w:szCs w:val="21"/>
              </w:rPr>
              <w:t>7处引调水工程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vAlign w:val="center"/>
          </w:tcPr>
          <w:p>
            <w:pPr>
              <w:pStyle w:val="119"/>
              <w:rPr>
                <w:sz w:val="21"/>
                <w:szCs w:val="21"/>
              </w:rPr>
            </w:pPr>
            <w:r>
              <w:rPr>
                <w:rFonts w:hint="eastAsia"/>
                <w:sz w:val="21"/>
                <w:szCs w:val="21"/>
              </w:rPr>
              <w:t>4</w:t>
            </w:r>
          </w:p>
        </w:tc>
        <w:tc>
          <w:tcPr>
            <w:tcW w:w="1443" w:type="pct"/>
            <w:vAlign w:val="center"/>
          </w:tcPr>
          <w:p>
            <w:pPr>
              <w:pStyle w:val="119"/>
              <w:rPr>
                <w:sz w:val="21"/>
                <w:szCs w:val="21"/>
              </w:rPr>
            </w:pPr>
            <w:r>
              <w:rPr>
                <w:rFonts w:hint="eastAsia"/>
                <w:sz w:val="21"/>
                <w:szCs w:val="21"/>
              </w:rPr>
              <w:t>水库补水工程</w:t>
            </w:r>
          </w:p>
        </w:tc>
        <w:tc>
          <w:tcPr>
            <w:tcW w:w="3005" w:type="pct"/>
            <w:vAlign w:val="center"/>
          </w:tcPr>
          <w:p>
            <w:pPr>
              <w:pStyle w:val="119"/>
              <w:rPr>
                <w:sz w:val="21"/>
                <w:szCs w:val="21"/>
              </w:rPr>
            </w:pPr>
            <w:r>
              <w:rPr>
                <w:rFonts w:hint="eastAsia"/>
                <w:sz w:val="21"/>
                <w:szCs w:val="21"/>
              </w:rPr>
              <w:t>新建引水渠2</w:t>
            </w:r>
            <w:r>
              <w:rPr>
                <w:sz w:val="21"/>
                <w:szCs w:val="21"/>
              </w:rPr>
              <w:t>3</w:t>
            </w:r>
            <w:r>
              <w:rPr>
                <w:rFonts w:hint="eastAsia"/>
                <w:sz w:val="21"/>
                <w:szCs w:val="21"/>
              </w:rPr>
              <w:t>公里；新建7座提水泵站；7座河坝改造</w:t>
            </w:r>
          </w:p>
        </w:tc>
      </w:tr>
    </w:tbl>
    <w:p>
      <w:pPr>
        <w:pStyle w:val="5"/>
      </w:pPr>
      <w:r>
        <w:rPr>
          <w:rFonts w:hint="eastAsia"/>
        </w:rPr>
        <w:t>河湖生态安全体系</w:t>
      </w:r>
    </w:p>
    <w:p>
      <w:pPr>
        <w:pStyle w:val="3"/>
        <w:ind w:firstLine="560"/>
      </w:pPr>
      <w:r>
        <w:rPr>
          <w:rFonts w:hint="eastAsia"/>
        </w:rPr>
        <w:t>（1）绿色生态岸线建设</w:t>
      </w:r>
    </w:p>
    <w:p>
      <w:pPr>
        <w:pStyle w:val="3"/>
        <w:ind w:firstLine="560"/>
      </w:pPr>
      <w:r>
        <w:rPr>
          <w:rFonts w:hint="eastAsia"/>
        </w:rPr>
        <w:t>包括东烂泥湖岸线保护与修复工程、鹿角湖岸线保护与修复工程。</w:t>
      </w:r>
    </w:p>
    <w:p>
      <w:pPr>
        <w:pStyle w:val="3"/>
        <w:ind w:firstLine="560"/>
      </w:pPr>
      <w:r>
        <w:rPr>
          <w:rFonts w:hint="eastAsia"/>
        </w:rPr>
        <w:t>东烂泥湖岸线保护与修复工程主要为对对东烂泥湖39.484公里湖岸进行清理、复绿，以及日常维护。</w:t>
      </w:r>
    </w:p>
    <w:p>
      <w:pPr>
        <w:pStyle w:val="3"/>
        <w:ind w:firstLine="560"/>
      </w:pPr>
      <w:r>
        <w:rPr>
          <w:rFonts w:hint="eastAsia"/>
        </w:rPr>
        <w:t>鹿角湖岸线保护与修复工程主要为对鹿角湖16.5公里湖岸进行清理、复绿，以及日常维护。</w:t>
      </w:r>
    </w:p>
    <w:p>
      <w:pPr>
        <w:pStyle w:val="3"/>
        <w:ind w:firstLine="560"/>
      </w:pPr>
      <w:r>
        <w:rPr>
          <w:rFonts w:hint="eastAsia"/>
        </w:rPr>
        <w:t>（2）洞庭湖生态安全建设</w:t>
      </w:r>
    </w:p>
    <w:p>
      <w:pPr>
        <w:pStyle w:val="3"/>
        <w:ind w:firstLine="560"/>
      </w:pPr>
      <w:r>
        <w:rPr>
          <w:rFonts w:hint="eastAsia"/>
        </w:rPr>
        <w:t>包括“三湖四河”水系连通工程、“两库一河”水系连通工程、赫山区绿色小水电建设。</w:t>
      </w:r>
    </w:p>
    <w:p>
      <w:pPr>
        <w:pStyle w:val="3"/>
        <w:ind w:firstLine="560"/>
      </w:pPr>
      <w:r>
        <w:rPr>
          <w:rFonts w:hint="eastAsia"/>
        </w:rPr>
        <w:t>“三湖四河”水系连通工程主要建设内容为：东烂泥湖、鹿角湖、白萍湖、兰溪河、张芦渠河、镜明河、烂泥湖撇洪河水系连通，新建主水道1条1.2公里，新建水系连通闸1处，水系沟渠疏浚整治359条1265公里，连通河湖6处，配套改造提水工程4处，改造建筑物146处，景观生态修复工程10处。</w:t>
      </w:r>
    </w:p>
    <w:p>
      <w:pPr>
        <w:pStyle w:val="3"/>
        <w:ind w:firstLine="560"/>
      </w:pPr>
      <w:r>
        <w:rPr>
          <w:rFonts w:hint="eastAsia"/>
        </w:rPr>
        <w:t>“两库一河”水系连通工程主要建设内容包括1、水系疏通工程：清溪河整治，猫村隧洞整治，4座河坝加固改造；2、岸坡整治工程：鱼形山右干渠益宁城际干道至陈家河坝段岸坡护砌3351m、河道清淤195m等；3、新建截污管网12.497公里，雨污分流工程管网2.027公里。</w:t>
      </w:r>
    </w:p>
    <w:p>
      <w:pPr>
        <w:pStyle w:val="3"/>
        <w:ind w:firstLine="560"/>
      </w:pPr>
      <w:r>
        <w:rPr>
          <w:rFonts w:hint="eastAsia"/>
        </w:rPr>
        <w:t>绿色小水电建设为大路坪水电站绿色小水电建设。</w:t>
      </w:r>
    </w:p>
    <w:p>
      <w:pPr>
        <w:pStyle w:val="3"/>
        <w:ind w:firstLine="560"/>
      </w:pPr>
      <w:r>
        <w:rPr>
          <w:rFonts w:hint="eastAsia"/>
        </w:rPr>
        <w:t>（3）构建河湖清水廊道</w:t>
      </w:r>
    </w:p>
    <w:p>
      <w:pPr>
        <w:pStyle w:val="3"/>
        <w:ind w:firstLine="560"/>
      </w:pPr>
      <w:r>
        <w:rPr>
          <w:rFonts w:hint="eastAsia"/>
        </w:rPr>
        <w:t>开展兰溪河流域水环境治理。治理兰溪河干流长度26.3公里，治理连通沟渠13条60.73公里，干流生态护坡31.76公里。</w:t>
      </w:r>
    </w:p>
    <w:p>
      <w:pPr>
        <w:pStyle w:val="3"/>
        <w:ind w:firstLine="560"/>
      </w:pPr>
      <w:r>
        <w:rPr>
          <w:rFonts w:hint="eastAsia"/>
        </w:rPr>
        <w:t>（4）生态宜居水美乡村建设</w:t>
      </w:r>
    </w:p>
    <w:p>
      <w:pPr>
        <w:pStyle w:val="3"/>
        <w:ind w:firstLine="560"/>
      </w:pPr>
      <w:r>
        <w:rPr>
          <w:rFonts w:hint="eastAsia"/>
        </w:rPr>
        <w:t>包括生态清洁小流域建设项目、农村水系综合整治工程、沟渠塘坝清淤衬砌工程、赫山区水美湘村示范村建设、赫山区烂泥湖撇洪河示范河及水利风景走廊建设。</w:t>
      </w:r>
    </w:p>
    <w:p>
      <w:pPr>
        <w:pStyle w:val="3"/>
        <w:ind w:firstLine="560"/>
      </w:pPr>
      <w:r>
        <w:rPr>
          <w:rFonts w:hint="eastAsia"/>
        </w:rPr>
        <w:t>生态清洁小流域建设项目包括沧水铺河、王田塅河、徐家坝支河等</w:t>
      </w:r>
      <w:r>
        <w:t>3</w:t>
      </w:r>
      <w:r>
        <w:rPr>
          <w:rFonts w:hint="eastAsia"/>
        </w:rPr>
        <w:t>处，治理面积8</w:t>
      </w:r>
      <w:r>
        <w:t>2.2</w:t>
      </w:r>
      <w:r>
        <w:rPr>
          <w:rFonts w:hint="eastAsia"/>
        </w:rPr>
        <w:t>km</w:t>
      </w:r>
      <w:r>
        <w:rPr>
          <w:vertAlign w:val="superscript"/>
        </w:rPr>
        <w:t>2</w:t>
      </w:r>
      <w:r>
        <w:rPr>
          <w:rFonts w:hint="eastAsia"/>
        </w:rPr>
        <w:t>。</w:t>
      </w:r>
    </w:p>
    <w:p>
      <w:pPr>
        <w:pStyle w:val="3"/>
        <w:ind w:firstLine="560"/>
      </w:pPr>
      <w:r>
        <w:rPr>
          <w:rFonts w:hint="eastAsia"/>
        </w:rPr>
        <w:t>农村水系综合整治工程主要对沧水铺河、侍郎河、张芦渠河、六十里长冲河、镜明河等5条河进行河道疏浚、岸坡整治及护坡护岸等。</w:t>
      </w:r>
    </w:p>
    <w:p>
      <w:pPr>
        <w:pStyle w:val="3"/>
        <w:ind w:firstLine="560"/>
      </w:pPr>
      <w:r>
        <w:rPr>
          <w:rFonts w:hint="eastAsia"/>
        </w:rPr>
        <w:t>沟渠塘坝清淤衬砌工程主要包括全区2</w:t>
      </w:r>
      <w:r>
        <w:t>076</w:t>
      </w:r>
      <w:r>
        <w:rPr>
          <w:rFonts w:hint="eastAsia"/>
        </w:rPr>
        <w:t>口骨干山塘的清淤及加固衬砌。</w:t>
      </w:r>
    </w:p>
    <w:p>
      <w:pPr>
        <w:pStyle w:val="3"/>
        <w:ind w:firstLine="560"/>
      </w:pPr>
      <w:r>
        <w:rPr>
          <w:rFonts w:hint="eastAsia"/>
        </w:rPr>
        <w:t>赫山区水美湘村示范村建设主要包括龙光桥街道天成垸村等1</w:t>
      </w:r>
      <w:r>
        <w:t>6</w:t>
      </w:r>
      <w:r>
        <w:rPr>
          <w:rFonts w:hint="eastAsia"/>
        </w:rPr>
        <w:t>个村进行水美湘村示范村建设。</w:t>
      </w:r>
    </w:p>
    <w:p>
      <w:pPr>
        <w:pStyle w:val="3"/>
        <w:ind w:firstLine="560"/>
      </w:pPr>
      <w:r>
        <w:rPr>
          <w:rFonts w:hint="eastAsia"/>
        </w:rPr>
        <w:t>赫山区烂泥湖撇洪河示范河及水利风景走廊建设，综合治理干流河长34公里，包括水工程、水生态整治，水景观建设等。</w:t>
      </w:r>
    </w:p>
    <w:p>
      <w:pPr>
        <w:pStyle w:val="5"/>
      </w:pPr>
      <w:r>
        <w:rPr>
          <w:rFonts w:hint="eastAsia"/>
        </w:rPr>
        <w:t>水治理能力提升体系</w:t>
      </w:r>
    </w:p>
    <w:p>
      <w:pPr>
        <w:pStyle w:val="3"/>
        <w:ind w:firstLine="560"/>
      </w:pPr>
      <w:r>
        <w:rPr>
          <w:rFonts w:hint="eastAsia"/>
        </w:rPr>
        <w:t>面向高质量发展需求，充分运用云计算、物联网、大数据、移动互联、人工智能等新一代信息技术，推动信息技术与水安全全面融合，助力智慧水网监测监管体系全面建成。</w:t>
      </w:r>
    </w:p>
    <w:p>
      <w:pPr>
        <w:pStyle w:val="3"/>
        <w:ind w:firstLine="560"/>
      </w:pPr>
      <w:r>
        <w:rPr>
          <w:rFonts w:hint="eastAsia"/>
        </w:rPr>
        <w:t>“十四五”期间，治理能力提升体系主要规划以下项目：</w:t>
      </w:r>
    </w:p>
    <w:p>
      <w:pPr>
        <w:pStyle w:val="3"/>
        <w:ind w:firstLine="560"/>
      </w:pPr>
      <w:r>
        <w:rPr>
          <w:rFonts w:hint="eastAsia"/>
        </w:rPr>
        <w:t>（1）赫山区智慧水利建设项目</w:t>
      </w:r>
    </w:p>
    <w:p>
      <w:pPr>
        <w:pStyle w:val="3"/>
        <w:ind w:firstLine="560"/>
      </w:pPr>
      <w:r>
        <w:rPr>
          <w:rFonts w:hint="eastAsia"/>
        </w:rPr>
        <w:t>县级软件平台在市级智慧水利平台上拓展升级，县级智慧数据中心，水利网络安全建设，智慧监测体系（包含河道湖泊、水库、山洪灾害防治等监测设施），泵站智能运维系统建设等。</w:t>
      </w:r>
    </w:p>
    <w:p>
      <w:pPr>
        <w:pStyle w:val="3"/>
        <w:ind w:firstLine="560"/>
      </w:pPr>
      <w:r>
        <w:rPr>
          <w:rFonts w:hint="eastAsia"/>
        </w:rPr>
        <w:t>（2）赫山区水安全工程运管维护</w:t>
      </w:r>
    </w:p>
    <w:p>
      <w:pPr>
        <w:pStyle w:val="3"/>
        <w:ind w:firstLine="560"/>
      </w:pPr>
      <w:r>
        <w:rPr>
          <w:rFonts w:hint="eastAsia"/>
        </w:rPr>
        <w:t>对赫山区上型号水库、大中型灌区、大中型水闸进行日常运行管护，共包含159座水库、17个中型灌区、49座大中型水闸。</w:t>
      </w:r>
    </w:p>
    <w:p>
      <w:pPr>
        <w:pStyle w:val="3"/>
        <w:ind w:firstLine="560"/>
      </w:pPr>
      <w:r>
        <w:rPr>
          <w:rFonts w:hint="eastAsia"/>
        </w:rPr>
        <w:t>（</w:t>
      </w:r>
      <w:r>
        <w:t>3</w:t>
      </w:r>
      <w:r>
        <w:rPr>
          <w:rFonts w:hint="eastAsia"/>
        </w:rPr>
        <w:t>）赫山区防汛抗旱管理设施建设</w:t>
      </w:r>
    </w:p>
    <w:p>
      <w:pPr>
        <w:pStyle w:val="3"/>
        <w:ind w:firstLine="560"/>
      </w:pPr>
      <w:r>
        <w:rPr>
          <w:rFonts w:hint="eastAsia"/>
        </w:rPr>
        <w:t>完善防汛抗旱管理设施建设，主要建设内容为：新建护堤屋12处，防汛物资仓库维修5处，砂石库围维修8处，防汛界碑、责任牌各50个，限宽墪5个，购置割草机12台，新建防浪林180亩。</w:t>
      </w:r>
    </w:p>
    <w:p>
      <w:pPr>
        <w:pStyle w:val="3"/>
        <w:ind w:firstLine="560"/>
      </w:pPr>
      <w:r>
        <w:rPr>
          <w:rFonts w:hint="eastAsia"/>
        </w:rPr>
        <w:t>水治理能力提升体系规划项目表见</w:t>
      </w:r>
      <w:r>
        <w:fldChar w:fldCharType="begin"/>
      </w:r>
      <w:r>
        <w:instrText xml:space="preserve"> </w:instrText>
      </w:r>
      <w:r>
        <w:rPr>
          <w:rFonts w:hint="eastAsia"/>
        </w:rPr>
        <w:instrText xml:space="preserve">REF _Ref78557872 \h</w:instrText>
      </w:r>
      <w:r>
        <w:instrText xml:space="preserve"> </w:instrText>
      </w:r>
      <w:r>
        <w:fldChar w:fldCharType="separate"/>
      </w:r>
      <w:r>
        <w:rPr>
          <w:rFonts w:hint="eastAsia"/>
        </w:rPr>
        <w:t xml:space="preserve">表 </w:t>
      </w:r>
      <w:r>
        <w:t>4.2</w:t>
      </w:r>
      <w:r>
        <w:noBreakHyphen/>
      </w:r>
      <w:r>
        <w:t>4</w:t>
      </w:r>
      <w:r>
        <w:fldChar w:fldCharType="end"/>
      </w:r>
      <w:r>
        <w:rPr>
          <w:rFonts w:hint="eastAsia"/>
        </w:rPr>
        <w:t>。</w:t>
      </w:r>
    </w:p>
    <w:p>
      <w:pPr>
        <w:pStyle w:val="95"/>
        <w:spacing w:before="156" w:after="156"/>
        <w:ind w:firstLine="480"/>
      </w:pPr>
      <w:bookmarkStart w:id="41" w:name="_Ref78557872"/>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4</w:t>
      </w:r>
      <w:r>
        <w:fldChar w:fldCharType="end"/>
      </w:r>
      <w:bookmarkEnd w:id="41"/>
      <w:r>
        <w:tab/>
      </w:r>
      <w:r>
        <w:rPr>
          <w:rFonts w:hint="eastAsia"/>
        </w:rPr>
        <w:t>水治理能力提升体系规划项目表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1894"/>
        <w:gridCol w:w="6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588" w:type="pct"/>
            <w:shd w:val="clear" w:color="auto" w:fill="auto"/>
            <w:vAlign w:val="center"/>
          </w:tcPr>
          <w:p>
            <w:pPr>
              <w:widowControl/>
              <w:spacing w:line="240" w:lineRule="auto"/>
              <w:jc w:val="center"/>
              <w:rPr>
                <w:rFonts w:ascii="宋体" w:hAnsi="宋体" w:cs="宋体"/>
                <w:kern w:val="0"/>
                <w:sz w:val="21"/>
                <w:szCs w:val="21"/>
              </w:rPr>
            </w:pPr>
            <w:r>
              <w:rPr>
                <w:rFonts w:hint="eastAsia" w:ascii="宋体" w:hAnsi="宋体" w:cs="宋体"/>
                <w:kern w:val="0"/>
                <w:sz w:val="21"/>
                <w:szCs w:val="21"/>
              </w:rPr>
              <w:t>序号</w:t>
            </w:r>
          </w:p>
        </w:tc>
        <w:tc>
          <w:tcPr>
            <w:tcW w:w="1052" w:type="pct"/>
            <w:shd w:val="clear" w:color="auto" w:fill="auto"/>
            <w:vAlign w:val="center"/>
          </w:tcPr>
          <w:p>
            <w:pPr>
              <w:widowControl/>
              <w:spacing w:line="240" w:lineRule="auto"/>
              <w:jc w:val="center"/>
              <w:rPr>
                <w:rFonts w:ascii="宋体" w:hAnsi="宋体" w:cs="宋体"/>
                <w:kern w:val="0"/>
                <w:sz w:val="21"/>
                <w:szCs w:val="21"/>
              </w:rPr>
            </w:pPr>
            <w:r>
              <w:rPr>
                <w:rFonts w:hint="eastAsia" w:ascii="宋体" w:hAnsi="宋体" w:cs="宋体"/>
                <w:kern w:val="0"/>
                <w:sz w:val="21"/>
                <w:szCs w:val="21"/>
              </w:rPr>
              <w:t>项目名称</w:t>
            </w:r>
          </w:p>
        </w:tc>
        <w:tc>
          <w:tcPr>
            <w:tcW w:w="3360" w:type="pct"/>
            <w:shd w:val="clear" w:color="auto" w:fill="auto"/>
            <w:vAlign w:val="center"/>
          </w:tcPr>
          <w:p>
            <w:pPr>
              <w:widowControl/>
              <w:spacing w:line="240" w:lineRule="auto"/>
              <w:jc w:val="center"/>
              <w:rPr>
                <w:rFonts w:ascii="宋体" w:hAnsi="宋体" w:cs="宋体"/>
                <w:kern w:val="0"/>
                <w:sz w:val="21"/>
                <w:szCs w:val="21"/>
              </w:rPr>
            </w:pPr>
            <w:r>
              <w:rPr>
                <w:rFonts w:hint="eastAsia" w:ascii="宋体" w:hAnsi="宋体" w:cs="宋体"/>
                <w:kern w:val="0"/>
                <w:sz w:val="21"/>
                <w:szCs w:val="21"/>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2" w:hRule="atLeast"/>
        </w:trPr>
        <w:tc>
          <w:tcPr>
            <w:tcW w:w="588" w:type="pct"/>
            <w:shd w:val="clear" w:color="auto" w:fill="auto"/>
            <w:vAlign w:val="center"/>
          </w:tcPr>
          <w:p>
            <w:pPr>
              <w:widowControl/>
              <w:spacing w:line="240" w:lineRule="auto"/>
              <w:jc w:val="center"/>
              <w:rPr>
                <w:rFonts w:ascii="宋体" w:hAnsi="宋体" w:cs="宋体"/>
                <w:kern w:val="0"/>
                <w:sz w:val="21"/>
                <w:szCs w:val="21"/>
              </w:rPr>
            </w:pPr>
            <w:r>
              <w:rPr>
                <w:rFonts w:hint="eastAsia" w:ascii="宋体" w:hAnsi="宋体" w:cs="宋体"/>
                <w:kern w:val="0"/>
                <w:sz w:val="21"/>
                <w:szCs w:val="21"/>
              </w:rPr>
              <w:t>1</w:t>
            </w:r>
          </w:p>
        </w:tc>
        <w:tc>
          <w:tcPr>
            <w:tcW w:w="1052" w:type="pct"/>
            <w:shd w:val="clear" w:color="auto" w:fill="auto"/>
            <w:vAlign w:val="center"/>
          </w:tcPr>
          <w:p>
            <w:pPr>
              <w:widowControl/>
              <w:spacing w:line="240" w:lineRule="auto"/>
              <w:jc w:val="center"/>
              <w:rPr>
                <w:rFonts w:ascii="宋体" w:hAnsi="宋体" w:cs="宋体"/>
                <w:kern w:val="0"/>
                <w:sz w:val="21"/>
                <w:szCs w:val="21"/>
              </w:rPr>
            </w:pPr>
            <w:r>
              <w:rPr>
                <w:rFonts w:hint="eastAsia" w:ascii="宋体" w:hAnsi="宋体" w:cs="宋体"/>
                <w:kern w:val="0"/>
                <w:sz w:val="21"/>
                <w:szCs w:val="21"/>
              </w:rPr>
              <w:t>赫山区智慧水利建设项目</w:t>
            </w:r>
          </w:p>
        </w:tc>
        <w:tc>
          <w:tcPr>
            <w:tcW w:w="3360" w:type="pct"/>
            <w:shd w:val="clear" w:color="auto" w:fill="auto"/>
            <w:vAlign w:val="center"/>
          </w:tcPr>
          <w:p>
            <w:pPr>
              <w:widowControl/>
              <w:spacing w:line="240" w:lineRule="auto"/>
              <w:jc w:val="center"/>
              <w:rPr>
                <w:rFonts w:ascii="宋体" w:hAnsi="宋体" w:cs="宋体"/>
                <w:kern w:val="0"/>
                <w:sz w:val="21"/>
                <w:szCs w:val="21"/>
              </w:rPr>
            </w:pPr>
            <w:r>
              <w:rPr>
                <w:rFonts w:hint="eastAsia" w:ascii="宋体" w:hAnsi="宋体" w:cs="宋体"/>
                <w:kern w:val="0"/>
                <w:sz w:val="21"/>
                <w:szCs w:val="21"/>
              </w:rPr>
              <w:t>县级软件平台在市级智慧水利平台上拓展升级，县级智慧数据中心，水利网络安全建设，智慧监测体系（包含河道湖泊、水库、山洪灾害防治等监测设施），泵站智能运维系统建设等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588" w:type="pct"/>
            <w:shd w:val="clear" w:color="auto" w:fill="auto"/>
            <w:vAlign w:val="center"/>
          </w:tcPr>
          <w:p>
            <w:pPr>
              <w:widowControl/>
              <w:spacing w:line="240" w:lineRule="auto"/>
              <w:jc w:val="center"/>
              <w:rPr>
                <w:rFonts w:ascii="宋体" w:hAnsi="宋体" w:cs="宋体"/>
                <w:kern w:val="0"/>
                <w:sz w:val="21"/>
                <w:szCs w:val="21"/>
              </w:rPr>
            </w:pPr>
            <w:r>
              <w:rPr>
                <w:rFonts w:hint="eastAsia" w:ascii="宋体" w:hAnsi="宋体" w:cs="宋体"/>
                <w:kern w:val="0"/>
                <w:sz w:val="21"/>
                <w:szCs w:val="21"/>
              </w:rPr>
              <w:t>2</w:t>
            </w:r>
          </w:p>
        </w:tc>
        <w:tc>
          <w:tcPr>
            <w:tcW w:w="1052" w:type="pct"/>
            <w:shd w:val="clear" w:color="auto" w:fill="auto"/>
            <w:vAlign w:val="center"/>
          </w:tcPr>
          <w:p>
            <w:pPr>
              <w:widowControl/>
              <w:spacing w:line="240" w:lineRule="auto"/>
              <w:jc w:val="center"/>
              <w:rPr>
                <w:rFonts w:ascii="宋体" w:hAnsi="宋体" w:cs="宋体"/>
                <w:kern w:val="0"/>
                <w:sz w:val="21"/>
                <w:szCs w:val="21"/>
              </w:rPr>
            </w:pPr>
            <w:r>
              <w:rPr>
                <w:rFonts w:hint="eastAsia" w:ascii="宋体" w:hAnsi="宋体" w:cs="宋体"/>
                <w:kern w:val="0"/>
                <w:sz w:val="21"/>
                <w:szCs w:val="21"/>
              </w:rPr>
              <w:t>赫山区水安全工程运管维护</w:t>
            </w:r>
          </w:p>
        </w:tc>
        <w:tc>
          <w:tcPr>
            <w:tcW w:w="3360" w:type="pct"/>
            <w:shd w:val="clear" w:color="auto" w:fill="auto"/>
            <w:vAlign w:val="center"/>
          </w:tcPr>
          <w:p>
            <w:pPr>
              <w:widowControl/>
              <w:spacing w:line="240" w:lineRule="auto"/>
              <w:jc w:val="center"/>
              <w:rPr>
                <w:rFonts w:ascii="宋体" w:hAnsi="宋体" w:cs="宋体"/>
                <w:kern w:val="0"/>
                <w:sz w:val="21"/>
                <w:szCs w:val="21"/>
              </w:rPr>
            </w:pPr>
            <w:r>
              <w:rPr>
                <w:rFonts w:hint="eastAsia" w:ascii="宋体" w:hAnsi="宋体" w:cs="宋体"/>
                <w:kern w:val="0"/>
                <w:sz w:val="21"/>
                <w:szCs w:val="21"/>
              </w:rPr>
              <w:t>赫山区159座水库、17个中型灌区、50座大中型水闸运行管护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588" w:type="pct"/>
            <w:shd w:val="clear" w:color="auto" w:fill="auto"/>
            <w:vAlign w:val="center"/>
          </w:tcPr>
          <w:p>
            <w:pPr>
              <w:widowControl/>
              <w:spacing w:line="240" w:lineRule="auto"/>
              <w:jc w:val="center"/>
              <w:rPr>
                <w:rFonts w:ascii="宋体" w:hAnsi="宋体" w:cs="宋体"/>
                <w:kern w:val="0"/>
                <w:sz w:val="21"/>
                <w:szCs w:val="21"/>
              </w:rPr>
            </w:pPr>
            <w:r>
              <w:rPr>
                <w:rFonts w:hint="eastAsia" w:ascii="宋体" w:hAnsi="宋体" w:cs="宋体"/>
                <w:kern w:val="0"/>
                <w:sz w:val="21"/>
                <w:szCs w:val="21"/>
              </w:rPr>
              <w:t>3</w:t>
            </w:r>
          </w:p>
        </w:tc>
        <w:tc>
          <w:tcPr>
            <w:tcW w:w="1052" w:type="pct"/>
            <w:shd w:val="clear" w:color="auto" w:fill="auto"/>
            <w:vAlign w:val="center"/>
          </w:tcPr>
          <w:p>
            <w:pPr>
              <w:widowControl/>
              <w:spacing w:line="240" w:lineRule="auto"/>
              <w:jc w:val="left"/>
              <w:rPr>
                <w:rFonts w:ascii="宋体" w:hAnsi="宋体" w:cs="宋体"/>
                <w:color w:val="000000"/>
                <w:kern w:val="0"/>
                <w:sz w:val="21"/>
                <w:szCs w:val="21"/>
              </w:rPr>
            </w:pPr>
            <w:r>
              <w:rPr>
                <w:rFonts w:hint="eastAsia" w:ascii="宋体" w:hAnsi="宋体" w:cs="宋体"/>
                <w:color w:val="000000"/>
                <w:kern w:val="0"/>
                <w:sz w:val="21"/>
                <w:szCs w:val="21"/>
              </w:rPr>
              <w:t>赫山区防汛抗旱管理设施建设</w:t>
            </w:r>
          </w:p>
        </w:tc>
        <w:tc>
          <w:tcPr>
            <w:tcW w:w="3360" w:type="pct"/>
            <w:shd w:val="clear" w:color="auto" w:fill="auto"/>
            <w:vAlign w:val="center"/>
          </w:tcPr>
          <w:p>
            <w:pPr>
              <w:widowControl/>
              <w:spacing w:line="240" w:lineRule="auto"/>
              <w:jc w:val="left"/>
              <w:rPr>
                <w:rFonts w:ascii="宋体" w:hAnsi="宋体" w:cs="宋体"/>
                <w:color w:val="000000"/>
                <w:kern w:val="0"/>
                <w:sz w:val="21"/>
                <w:szCs w:val="21"/>
              </w:rPr>
            </w:pPr>
            <w:r>
              <w:rPr>
                <w:rFonts w:hint="eastAsia" w:ascii="宋体" w:hAnsi="宋体" w:cs="宋体"/>
                <w:color w:val="000000"/>
                <w:kern w:val="0"/>
                <w:sz w:val="21"/>
                <w:szCs w:val="21"/>
              </w:rPr>
              <w:t>新建护堤屋12处，防汛物资仓库维修5处，砂石库围维修8处，防汛界碑、责任牌各50个，限宽墪5个，购置割草机12台，防浪林180亩</w:t>
            </w:r>
          </w:p>
        </w:tc>
      </w:tr>
    </w:tbl>
    <w:p>
      <w:pPr>
        <w:pStyle w:val="119"/>
      </w:pPr>
    </w:p>
    <w:p>
      <w:pPr>
        <w:pStyle w:val="4"/>
      </w:pPr>
      <w:bookmarkStart w:id="42" w:name="_Toc78791603"/>
      <w:bookmarkStart w:id="43" w:name="_Toc29467"/>
      <w:r>
        <w:rPr>
          <w:rFonts w:hint="eastAsia"/>
        </w:rPr>
        <w:t>“十四五”规划项目汇总表</w:t>
      </w:r>
      <w:bookmarkEnd w:id="42"/>
      <w:bookmarkEnd w:id="43"/>
    </w:p>
    <w:p>
      <w:pPr>
        <w:pStyle w:val="3"/>
        <w:ind w:firstLine="560"/>
      </w:pPr>
      <w:r>
        <w:rPr>
          <w:rFonts w:hint="eastAsia"/>
        </w:rPr>
        <w:t>“十四五”期间共规划项目</w:t>
      </w:r>
      <w:r>
        <w:t>33</w:t>
      </w:r>
      <w:r>
        <w:rPr>
          <w:rFonts w:hint="eastAsia"/>
        </w:rPr>
        <w:t>个，其中防洪安全体系1</w:t>
      </w:r>
      <w:r>
        <w:t>3</w:t>
      </w:r>
      <w:r>
        <w:rPr>
          <w:rFonts w:hint="eastAsia"/>
        </w:rPr>
        <w:t>个，饮水安全体系</w:t>
      </w:r>
      <w:r>
        <w:t>2</w:t>
      </w:r>
      <w:r>
        <w:rPr>
          <w:rFonts w:hint="eastAsia"/>
        </w:rPr>
        <w:t>个，用水安全体系</w:t>
      </w:r>
      <w:r>
        <w:t>4</w:t>
      </w:r>
      <w:r>
        <w:rPr>
          <w:rFonts w:hint="eastAsia"/>
        </w:rPr>
        <w:t>个，河湖生态安全体系</w:t>
      </w:r>
      <w:r>
        <w:t>11</w:t>
      </w:r>
      <w:r>
        <w:rPr>
          <w:rFonts w:hint="eastAsia"/>
        </w:rPr>
        <w:t>个，水治理能力体系</w:t>
      </w:r>
      <w:r>
        <w:t>3</w:t>
      </w:r>
      <w:r>
        <w:rPr>
          <w:rFonts w:hint="eastAsia"/>
        </w:rPr>
        <w:t>个。</w:t>
      </w:r>
    </w:p>
    <w:p>
      <w:pPr>
        <w:pStyle w:val="119"/>
        <w:sectPr>
          <w:type w:val="nextColumn"/>
          <w:pgSz w:w="11906" w:h="16838"/>
          <w:pgMar w:top="1871" w:right="1418" w:bottom="1440" w:left="1418" w:header="1247" w:footer="1191" w:gutter="284"/>
          <w:cols w:space="425" w:num="1"/>
          <w:docGrid w:type="linesAndChars" w:linePitch="312" w:charSpace="0"/>
        </w:sectPr>
      </w:pPr>
    </w:p>
    <w:p>
      <w:pPr>
        <w:pStyle w:val="2"/>
      </w:pPr>
      <w:bookmarkStart w:id="44" w:name="_Toc27211"/>
      <w:bookmarkStart w:id="45" w:name="_Toc78791604"/>
      <w:r>
        <w:rPr>
          <w:rFonts w:hint="eastAsia"/>
        </w:rPr>
        <w:t>规划环境影响评价</w:t>
      </w:r>
      <w:bookmarkEnd w:id="44"/>
      <w:bookmarkEnd w:id="45"/>
    </w:p>
    <w:p>
      <w:pPr>
        <w:pStyle w:val="3"/>
        <w:ind w:firstLine="560"/>
      </w:pPr>
    </w:p>
    <w:p>
      <w:pPr>
        <w:pStyle w:val="3"/>
        <w:ind w:firstLine="560"/>
      </w:pPr>
      <w:r>
        <w:rPr>
          <w:rFonts w:hint="eastAsia"/>
        </w:rPr>
        <w:t>水安全的任务主要包括水资源节约保护、防洪抗旱减灾、水资源开发利用、水土保持和生态修复等方面。规划实施后，可有效提高水资源合理配置能力和防洪减灾能力，保障经济社会发展，改善生态环境。主要体现在以下五个方面：</w:t>
      </w:r>
    </w:p>
    <w:p>
      <w:pPr>
        <w:pStyle w:val="3"/>
        <w:ind w:firstLine="560"/>
      </w:pPr>
      <w:r>
        <w:rPr>
          <w:rFonts w:hint="eastAsia"/>
        </w:rPr>
        <w:t>（1）防洪减灾建设可进一步完善防洪工程体系，推进洪水风险管理制度的建立，提高重点地区和城市的防洪标准；（2）水网工程建设可新增年供水能力，进一步完善水资源合理配置工程体系，逐步完善水资源管理制度，提高供水安全保障程度；（3）农村水利可解决新农村水利基础设施建设，促进农村经济发展，改善农村生态环境；（4）节水型社会建设可进一步提高农业、工业和城镇生活用水效率；（5）水资源保护和水土保持生态建设，可改善环境质量，逐步恢复生态环境。</w:t>
      </w:r>
    </w:p>
    <w:p>
      <w:pPr>
        <w:pStyle w:val="3"/>
        <w:ind w:firstLine="560"/>
      </w:pPr>
      <w:r>
        <w:rPr>
          <w:rFonts w:hint="eastAsia"/>
        </w:rPr>
        <w:t>同时，规划实施也可能对局部带来一些不利环境影响。疏导河流、整治河道、加固堤防、筑坝建库等水利工程建设改变了河流上下游的水文情势，改变了河流生态系统的结构和功能，有时还会对物种多样性，下游等环境敏感区带来不利影响。水库、跨流域调水等水利工程一般具有淹没及占地多、移民数量大的特点，库区人地矛盾突出，移民安置难度大，带来一些社会问题。</w:t>
      </w:r>
    </w:p>
    <w:p>
      <w:pPr>
        <w:pStyle w:val="3"/>
        <w:ind w:firstLine="560"/>
      </w:pPr>
      <w:r>
        <w:t>为此，要高度重视规划实施和水利工程建设的不利环境影响，统筹做好水利发展与环境保护工作。依法加强建设项目水资源论证和环境影响评价等工程建设前期工作，强化对工程建设全过程的监督管理，认真落实各项环境保护措施。严格按规定办理用地手续，切实做好工程征地补偿、移民安置和大中型水库后期扶持工作，确保被征地农民的生活水平不因征地而降低，保证长远生计，维护移民合法权益。加强对规划实施可能影响的重要生态环境敏感区水生态系统的监测，及时掌握环境变化，采取相应的对策措施。加强规划实施的环境风险评价工作，针对可能发生的重大环境风险问题，制定突发环境事件的风险应急管理措施。</w:t>
      </w:r>
    </w:p>
    <w:p>
      <w:pPr>
        <w:pStyle w:val="3"/>
        <w:ind w:firstLine="560"/>
        <w:sectPr>
          <w:type w:val="nextColumn"/>
          <w:pgSz w:w="11906" w:h="16838"/>
          <w:pgMar w:top="1871" w:right="1418" w:bottom="1440" w:left="1418" w:header="1247" w:footer="1191" w:gutter="284"/>
          <w:cols w:space="425" w:num="1"/>
          <w:docGrid w:type="linesAndChars" w:linePitch="312" w:charSpace="0"/>
        </w:sectPr>
      </w:pPr>
    </w:p>
    <w:p>
      <w:pPr>
        <w:pStyle w:val="2"/>
      </w:pPr>
      <w:bookmarkStart w:id="46" w:name="_Toc78791605"/>
      <w:bookmarkStart w:id="47" w:name="_Toc15945"/>
      <w:r>
        <w:rPr>
          <w:rFonts w:hint="eastAsia"/>
        </w:rPr>
        <w:t>投资测算及效果分析</w:t>
      </w:r>
      <w:bookmarkEnd w:id="46"/>
      <w:bookmarkEnd w:id="47"/>
    </w:p>
    <w:p>
      <w:pPr>
        <w:pStyle w:val="3"/>
        <w:ind w:firstLine="560"/>
      </w:pPr>
    </w:p>
    <w:p>
      <w:pPr>
        <w:pStyle w:val="4"/>
      </w:pPr>
      <w:bookmarkStart w:id="48" w:name="_Toc78791606"/>
      <w:bookmarkStart w:id="49" w:name="_Toc7184"/>
      <w:r>
        <w:rPr>
          <w:rFonts w:hint="eastAsia"/>
        </w:rPr>
        <w:t>投资测算</w:t>
      </w:r>
      <w:bookmarkEnd w:id="48"/>
      <w:bookmarkEnd w:id="49"/>
    </w:p>
    <w:p>
      <w:pPr>
        <w:pStyle w:val="3"/>
        <w:ind w:firstLine="560"/>
        <w:rPr>
          <w:rFonts w:hint="eastAsia"/>
        </w:rPr>
      </w:pPr>
      <w:r>
        <w:rPr>
          <w:rFonts w:hint="eastAsia"/>
        </w:rPr>
        <w:t>经测算，“十四五”水安全保障规划</w:t>
      </w:r>
      <w:r>
        <w:rPr>
          <w:rFonts w:hint="eastAsia"/>
          <w:lang w:eastAsia="zh-CN"/>
        </w:rPr>
        <w:t>估算</w:t>
      </w:r>
      <w:r>
        <w:rPr>
          <w:rFonts w:hint="eastAsia"/>
        </w:rPr>
        <w:t>投资规模为</w:t>
      </w:r>
      <w:r>
        <w:t>49.60</w:t>
      </w:r>
      <w:r>
        <w:rPr>
          <w:rFonts w:hint="eastAsia"/>
        </w:rPr>
        <w:t>亿元，其中防洪安全体系</w:t>
      </w:r>
      <w:r>
        <w:t>21.31</w:t>
      </w:r>
      <w:r>
        <w:rPr>
          <w:rFonts w:hint="eastAsia"/>
        </w:rPr>
        <w:t>亿元，饮水安全体系3</w:t>
      </w:r>
      <w:r>
        <w:t>.65</w:t>
      </w:r>
      <w:r>
        <w:rPr>
          <w:rFonts w:hint="eastAsia"/>
        </w:rPr>
        <w:t>亿元，用水安全体系</w:t>
      </w:r>
      <w:r>
        <w:t>9.55</w:t>
      </w:r>
      <w:r>
        <w:rPr>
          <w:rFonts w:hint="eastAsia"/>
        </w:rPr>
        <w:t>亿元，河湖生态安全体系</w:t>
      </w:r>
      <w:r>
        <w:t>14.08</w:t>
      </w:r>
      <w:r>
        <w:rPr>
          <w:rFonts w:hint="eastAsia"/>
        </w:rPr>
        <w:t>亿元，水治理能力体系</w:t>
      </w:r>
      <w:r>
        <w:t>1.01</w:t>
      </w:r>
      <w:r>
        <w:rPr>
          <w:rFonts w:hint="eastAsia"/>
        </w:rPr>
        <w:t>亿元。</w:t>
      </w:r>
    </w:p>
    <w:p>
      <w:pPr>
        <w:pStyle w:val="95"/>
        <w:spacing w:before="156" w:after="156"/>
        <w:ind w:firstLine="480"/>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6.1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tab/>
      </w:r>
      <w:r>
        <w:rPr>
          <w:rFonts w:hint="eastAsia"/>
        </w:rPr>
        <w:t>“十四五”投资规模测算总表（亿元）</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0"/>
        <w:gridCol w:w="2250"/>
        <w:gridCol w:w="2251"/>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pPr>
              <w:pStyle w:val="119"/>
              <w:rPr>
                <w:sz w:val="21"/>
                <w:szCs w:val="21"/>
              </w:rPr>
            </w:pPr>
            <w:r>
              <w:rPr>
                <w:rFonts w:hint="eastAsia"/>
                <w:sz w:val="21"/>
                <w:szCs w:val="21"/>
              </w:rPr>
              <w:t>序号</w:t>
            </w:r>
          </w:p>
        </w:tc>
        <w:tc>
          <w:tcPr>
            <w:tcW w:w="1250" w:type="pct"/>
          </w:tcPr>
          <w:p>
            <w:pPr>
              <w:pStyle w:val="119"/>
              <w:rPr>
                <w:sz w:val="21"/>
                <w:szCs w:val="21"/>
              </w:rPr>
            </w:pPr>
            <w:r>
              <w:rPr>
                <w:rFonts w:hint="eastAsia"/>
                <w:sz w:val="21"/>
                <w:szCs w:val="21"/>
              </w:rPr>
              <w:t>项目</w:t>
            </w:r>
          </w:p>
        </w:tc>
        <w:tc>
          <w:tcPr>
            <w:tcW w:w="1250" w:type="pct"/>
          </w:tcPr>
          <w:p>
            <w:pPr>
              <w:pStyle w:val="119"/>
              <w:rPr>
                <w:sz w:val="21"/>
                <w:szCs w:val="21"/>
              </w:rPr>
            </w:pPr>
            <w:r>
              <w:rPr>
                <w:rFonts w:hint="eastAsia"/>
                <w:sz w:val="21"/>
                <w:szCs w:val="21"/>
              </w:rPr>
              <w:t>“十四五”投资</w:t>
            </w:r>
          </w:p>
        </w:tc>
        <w:tc>
          <w:tcPr>
            <w:tcW w:w="1250" w:type="pct"/>
          </w:tcPr>
          <w:p>
            <w:pPr>
              <w:pStyle w:val="119"/>
              <w:rPr>
                <w:sz w:val="21"/>
                <w:szCs w:val="21"/>
              </w:rPr>
            </w:pPr>
            <w:r>
              <w:rPr>
                <w:rFonts w:hint="eastAsia"/>
                <w:sz w:val="21"/>
                <w:szCs w:val="21"/>
              </w:rPr>
              <w:t>总投资（至2</w:t>
            </w:r>
            <w:r>
              <w:rPr>
                <w:sz w:val="21"/>
                <w:szCs w:val="21"/>
              </w:rPr>
              <w:t>030</w:t>
            </w:r>
            <w:r>
              <w:rPr>
                <w:rFonts w:hint="eastAsia"/>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pPr>
              <w:pStyle w:val="119"/>
              <w:rPr>
                <w:sz w:val="21"/>
                <w:szCs w:val="21"/>
              </w:rPr>
            </w:pPr>
            <w:r>
              <w:rPr>
                <w:rFonts w:hint="eastAsia"/>
                <w:sz w:val="21"/>
                <w:szCs w:val="21"/>
              </w:rPr>
              <w:t>一</w:t>
            </w:r>
          </w:p>
        </w:tc>
        <w:tc>
          <w:tcPr>
            <w:tcW w:w="1250" w:type="pct"/>
          </w:tcPr>
          <w:p>
            <w:pPr>
              <w:pStyle w:val="119"/>
              <w:rPr>
                <w:sz w:val="21"/>
                <w:szCs w:val="21"/>
              </w:rPr>
            </w:pPr>
            <w:r>
              <w:rPr>
                <w:rFonts w:hint="eastAsia"/>
                <w:sz w:val="21"/>
                <w:szCs w:val="21"/>
              </w:rPr>
              <w:t>防洪安全体系</w:t>
            </w:r>
          </w:p>
        </w:tc>
        <w:tc>
          <w:tcPr>
            <w:tcW w:w="1250" w:type="pct"/>
          </w:tcPr>
          <w:p>
            <w:pPr>
              <w:pStyle w:val="119"/>
              <w:rPr>
                <w:sz w:val="21"/>
                <w:szCs w:val="21"/>
              </w:rPr>
            </w:pPr>
            <w:r>
              <w:rPr>
                <w:rFonts w:hint="eastAsia"/>
                <w:sz w:val="21"/>
                <w:szCs w:val="21"/>
              </w:rPr>
              <w:t>2</w:t>
            </w:r>
            <w:r>
              <w:rPr>
                <w:sz w:val="21"/>
                <w:szCs w:val="21"/>
              </w:rPr>
              <w:t>1.31</w:t>
            </w:r>
          </w:p>
        </w:tc>
        <w:tc>
          <w:tcPr>
            <w:tcW w:w="1250" w:type="pct"/>
          </w:tcPr>
          <w:p>
            <w:pPr>
              <w:pStyle w:val="119"/>
              <w:rPr>
                <w:sz w:val="21"/>
                <w:szCs w:val="21"/>
              </w:rPr>
            </w:pPr>
            <w:r>
              <w:rPr>
                <w:rFonts w:hint="eastAsia"/>
                <w:sz w:val="21"/>
                <w:szCs w:val="21"/>
              </w:rPr>
              <w:t>2</w:t>
            </w:r>
            <w:r>
              <w:rPr>
                <w:sz w:val="21"/>
                <w:szCs w:val="21"/>
              </w:rPr>
              <w:t>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pPr>
              <w:pStyle w:val="119"/>
              <w:rPr>
                <w:sz w:val="21"/>
                <w:szCs w:val="21"/>
              </w:rPr>
            </w:pPr>
            <w:r>
              <w:rPr>
                <w:rFonts w:hint="eastAsia"/>
                <w:sz w:val="21"/>
                <w:szCs w:val="21"/>
              </w:rPr>
              <w:t>二</w:t>
            </w:r>
          </w:p>
        </w:tc>
        <w:tc>
          <w:tcPr>
            <w:tcW w:w="1250" w:type="pct"/>
          </w:tcPr>
          <w:p>
            <w:pPr>
              <w:pStyle w:val="119"/>
              <w:rPr>
                <w:sz w:val="21"/>
                <w:szCs w:val="21"/>
              </w:rPr>
            </w:pPr>
            <w:r>
              <w:rPr>
                <w:rFonts w:hint="eastAsia"/>
                <w:sz w:val="21"/>
                <w:szCs w:val="21"/>
              </w:rPr>
              <w:t>饮水安全体系</w:t>
            </w:r>
          </w:p>
        </w:tc>
        <w:tc>
          <w:tcPr>
            <w:tcW w:w="1250" w:type="pct"/>
          </w:tcPr>
          <w:p>
            <w:pPr>
              <w:pStyle w:val="119"/>
              <w:rPr>
                <w:sz w:val="21"/>
                <w:szCs w:val="21"/>
              </w:rPr>
            </w:pPr>
            <w:r>
              <w:rPr>
                <w:rFonts w:hint="eastAsia"/>
                <w:sz w:val="21"/>
                <w:szCs w:val="21"/>
              </w:rPr>
              <w:t>3</w:t>
            </w:r>
            <w:r>
              <w:rPr>
                <w:sz w:val="21"/>
                <w:szCs w:val="21"/>
              </w:rPr>
              <w:t>.65</w:t>
            </w:r>
          </w:p>
        </w:tc>
        <w:tc>
          <w:tcPr>
            <w:tcW w:w="1250" w:type="pct"/>
          </w:tcPr>
          <w:p>
            <w:pPr>
              <w:pStyle w:val="119"/>
              <w:rPr>
                <w:sz w:val="21"/>
                <w:szCs w:val="21"/>
              </w:rPr>
            </w:pPr>
            <w:r>
              <w:rPr>
                <w:rFonts w:hint="eastAsia"/>
                <w:sz w:val="21"/>
                <w:szCs w:val="21"/>
              </w:rPr>
              <w:t>3</w:t>
            </w:r>
            <w:r>
              <w:rPr>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pPr>
              <w:pStyle w:val="119"/>
              <w:rPr>
                <w:sz w:val="21"/>
                <w:szCs w:val="21"/>
              </w:rPr>
            </w:pPr>
            <w:r>
              <w:rPr>
                <w:rFonts w:hint="eastAsia"/>
                <w:sz w:val="21"/>
                <w:szCs w:val="21"/>
              </w:rPr>
              <w:t>三</w:t>
            </w:r>
          </w:p>
        </w:tc>
        <w:tc>
          <w:tcPr>
            <w:tcW w:w="1250" w:type="pct"/>
          </w:tcPr>
          <w:p>
            <w:pPr>
              <w:pStyle w:val="119"/>
              <w:rPr>
                <w:sz w:val="21"/>
                <w:szCs w:val="21"/>
              </w:rPr>
            </w:pPr>
            <w:r>
              <w:rPr>
                <w:rFonts w:hint="eastAsia"/>
                <w:sz w:val="21"/>
                <w:szCs w:val="21"/>
              </w:rPr>
              <w:t>用水安全体系</w:t>
            </w:r>
          </w:p>
        </w:tc>
        <w:tc>
          <w:tcPr>
            <w:tcW w:w="1250" w:type="pct"/>
          </w:tcPr>
          <w:p>
            <w:pPr>
              <w:pStyle w:val="119"/>
              <w:rPr>
                <w:sz w:val="21"/>
                <w:szCs w:val="21"/>
              </w:rPr>
            </w:pPr>
            <w:r>
              <w:rPr>
                <w:rFonts w:hint="eastAsia"/>
                <w:sz w:val="21"/>
                <w:szCs w:val="21"/>
              </w:rPr>
              <w:t>9</w:t>
            </w:r>
            <w:r>
              <w:rPr>
                <w:sz w:val="21"/>
                <w:szCs w:val="21"/>
              </w:rPr>
              <w:t>.55</w:t>
            </w:r>
          </w:p>
        </w:tc>
        <w:tc>
          <w:tcPr>
            <w:tcW w:w="1250" w:type="pct"/>
          </w:tcPr>
          <w:p>
            <w:pPr>
              <w:pStyle w:val="119"/>
              <w:rPr>
                <w:sz w:val="21"/>
                <w:szCs w:val="21"/>
              </w:rPr>
            </w:pPr>
            <w:r>
              <w:rPr>
                <w:rFonts w:hint="eastAsia"/>
                <w:sz w:val="21"/>
                <w:szCs w:val="21"/>
              </w:rPr>
              <w:t>1</w:t>
            </w:r>
            <w:r>
              <w:rPr>
                <w:sz w:val="21"/>
                <w:szCs w:val="21"/>
              </w:rPr>
              <w:t>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pPr>
              <w:pStyle w:val="119"/>
              <w:rPr>
                <w:sz w:val="21"/>
                <w:szCs w:val="21"/>
              </w:rPr>
            </w:pPr>
            <w:r>
              <w:rPr>
                <w:rFonts w:hint="eastAsia"/>
                <w:sz w:val="21"/>
                <w:szCs w:val="21"/>
              </w:rPr>
              <w:t>四</w:t>
            </w:r>
          </w:p>
        </w:tc>
        <w:tc>
          <w:tcPr>
            <w:tcW w:w="1250" w:type="pct"/>
          </w:tcPr>
          <w:p>
            <w:pPr>
              <w:pStyle w:val="119"/>
              <w:rPr>
                <w:sz w:val="21"/>
                <w:szCs w:val="21"/>
              </w:rPr>
            </w:pPr>
            <w:r>
              <w:rPr>
                <w:rFonts w:hint="eastAsia"/>
                <w:sz w:val="21"/>
                <w:szCs w:val="21"/>
              </w:rPr>
              <w:t>河湖生态安全体系</w:t>
            </w:r>
          </w:p>
        </w:tc>
        <w:tc>
          <w:tcPr>
            <w:tcW w:w="1250" w:type="pct"/>
          </w:tcPr>
          <w:p>
            <w:pPr>
              <w:pStyle w:val="119"/>
              <w:rPr>
                <w:sz w:val="21"/>
                <w:szCs w:val="21"/>
              </w:rPr>
            </w:pPr>
            <w:r>
              <w:rPr>
                <w:rFonts w:hint="eastAsia"/>
                <w:sz w:val="21"/>
                <w:szCs w:val="21"/>
              </w:rPr>
              <w:t>1</w:t>
            </w:r>
            <w:r>
              <w:rPr>
                <w:sz w:val="21"/>
                <w:szCs w:val="21"/>
              </w:rPr>
              <w:t>4.08</w:t>
            </w:r>
          </w:p>
        </w:tc>
        <w:tc>
          <w:tcPr>
            <w:tcW w:w="1250" w:type="pct"/>
          </w:tcPr>
          <w:p>
            <w:pPr>
              <w:pStyle w:val="119"/>
              <w:rPr>
                <w:sz w:val="21"/>
                <w:szCs w:val="21"/>
              </w:rPr>
            </w:pPr>
            <w:r>
              <w:rPr>
                <w:rFonts w:hint="eastAsia"/>
                <w:sz w:val="21"/>
                <w:szCs w:val="21"/>
              </w:rPr>
              <w:t>1</w:t>
            </w:r>
            <w:r>
              <w:rPr>
                <w:sz w:val="21"/>
                <w:szCs w:val="21"/>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pPr>
              <w:pStyle w:val="119"/>
              <w:rPr>
                <w:sz w:val="21"/>
                <w:szCs w:val="21"/>
              </w:rPr>
            </w:pPr>
            <w:r>
              <w:rPr>
                <w:rFonts w:hint="eastAsia"/>
                <w:sz w:val="21"/>
                <w:szCs w:val="21"/>
              </w:rPr>
              <w:t>五</w:t>
            </w:r>
          </w:p>
        </w:tc>
        <w:tc>
          <w:tcPr>
            <w:tcW w:w="1250" w:type="pct"/>
          </w:tcPr>
          <w:p>
            <w:pPr>
              <w:pStyle w:val="119"/>
              <w:rPr>
                <w:sz w:val="21"/>
                <w:szCs w:val="21"/>
              </w:rPr>
            </w:pPr>
            <w:r>
              <w:rPr>
                <w:rFonts w:hint="eastAsia"/>
                <w:sz w:val="21"/>
                <w:szCs w:val="21"/>
              </w:rPr>
              <w:t>水治理能力安全体系</w:t>
            </w:r>
          </w:p>
        </w:tc>
        <w:tc>
          <w:tcPr>
            <w:tcW w:w="1250" w:type="pct"/>
          </w:tcPr>
          <w:p>
            <w:pPr>
              <w:pStyle w:val="119"/>
              <w:rPr>
                <w:sz w:val="21"/>
                <w:szCs w:val="21"/>
              </w:rPr>
            </w:pPr>
            <w:r>
              <w:rPr>
                <w:rFonts w:hint="eastAsia"/>
                <w:sz w:val="21"/>
                <w:szCs w:val="21"/>
              </w:rPr>
              <w:t>1</w:t>
            </w:r>
            <w:r>
              <w:rPr>
                <w:sz w:val="21"/>
                <w:szCs w:val="21"/>
              </w:rPr>
              <w:t>.01</w:t>
            </w:r>
          </w:p>
        </w:tc>
        <w:tc>
          <w:tcPr>
            <w:tcW w:w="1250" w:type="pct"/>
          </w:tcPr>
          <w:p>
            <w:pPr>
              <w:pStyle w:val="119"/>
              <w:rPr>
                <w:sz w:val="21"/>
                <w:szCs w:val="21"/>
              </w:rPr>
            </w:pPr>
            <w:r>
              <w:rPr>
                <w:rFonts w:hint="eastAsia"/>
                <w:sz w:val="21"/>
                <w:szCs w:val="21"/>
              </w:rPr>
              <w:t>1</w:t>
            </w:r>
            <w:r>
              <w:rPr>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pPr>
              <w:pStyle w:val="119"/>
              <w:rPr>
                <w:sz w:val="21"/>
                <w:szCs w:val="21"/>
              </w:rPr>
            </w:pPr>
            <w:r>
              <w:rPr>
                <w:rFonts w:hint="eastAsia"/>
                <w:sz w:val="21"/>
                <w:szCs w:val="21"/>
              </w:rPr>
              <w:t>合计</w:t>
            </w:r>
          </w:p>
        </w:tc>
        <w:tc>
          <w:tcPr>
            <w:tcW w:w="1250" w:type="pct"/>
          </w:tcPr>
          <w:p>
            <w:pPr>
              <w:pStyle w:val="119"/>
              <w:rPr>
                <w:sz w:val="21"/>
                <w:szCs w:val="21"/>
              </w:rPr>
            </w:pPr>
          </w:p>
        </w:tc>
        <w:tc>
          <w:tcPr>
            <w:tcW w:w="1250" w:type="pct"/>
          </w:tcPr>
          <w:p>
            <w:pPr>
              <w:pStyle w:val="119"/>
              <w:rPr>
                <w:sz w:val="21"/>
                <w:szCs w:val="21"/>
              </w:rPr>
            </w:pPr>
            <w:r>
              <w:rPr>
                <w:rFonts w:hint="eastAsia"/>
                <w:sz w:val="21"/>
                <w:szCs w:val="21"/>
              </w:rPr>
              <w:t>4</w:t>
            </w:r>
            <w:r>
              <w:rPr>
                <w:sz w:val="21"/>
                <w:szCs w:val="21"/>
              </w:rPr>
              <w:t>9.60</w:t>
            </w:r>
          </w:p>
        </w:tc>
        <w:tc>
          <w:tcPr>
            <w:tcW w:w="1250" w:type="pct"/>
          </w:tcPr>
          <w:p>
            <w:pPr>
              <w:pStyle w:val="119"/>
              <w:rPr>
                <w:sz w:val="21"/>
                <w:szCs w:val="21"/>
              </w:rPr>
            </w:pPr>
            <w:r>
              <w:rPr>
                <w:sz w:val="21"/>
                <w:szCs w:val="21"/>
              </w:rPr>
              <w:t>67.08</w:t>
            </w:r>
          </w:p>
        </w:tc>
      </w:tr>
    </w:tbl>
    <w:p>
      <w:pPr>
        <w:pStyle w:val="4"/>
      </w:pPr>
      <w:bookmarkStart w:id="50" w:name="_Toc8738"/>
      <w:bookmarkStart w:id="51" w:name="_Toc78791607"/>
      <w:r>
        <w:rPr>
          <w:rFonts w:hint="eastAsia"/>
        </w:rPr>
        <w:t>资金筹措</w:t>
      </w:r>
      <w:bookmarkEnd w:id="50"/>
      <w:bookmarkEnd w:id="51"/>
    </w:p>
    <w:p>
      <w:pPr>
        <w:pStyle w:val="3"/>
        <w:ind w:firstLine="560"/>
      </w:pPr>
      <w:r>
        <w:rPr>
          <w:rFonts w:hint="eastAsia"/>
        </w:rPr>
        <w:t>根据以往投资政策，结合当下经济形势，考虑按中央5</w:t>
      </w:r>
      <w:r>
        <w:t>0</w:t>
      </w:r>
      <w:r>
        <w:rPr>
          <w:rFonts w:hint="eastAsia"/>
        </w:rPr>
        <w:t>%、省级3</w:t>
      </w:r>
      <w:r>
        <w:t>0</w:t>
      </w:r>
      <w:r>
        <w:rPr>
          <w:rFonts w:hint="eastAsia"/>
        </w:rPr>
        <w:t>%、市县级及社会筹资2</w:t>
      </w:r>
      <w:r>
        <w:t>0</w:t>
      </w:r>
      <w:r>
        <w:rPr>
          <w:rFonts w:hint="eastAsia"/>
        </w:rPr>
        <w:t>%的大体结构进行资金筹措。</w:t>
      </w:r>
    </w:p>
    <w:p>
      <w:pPr>
        <w:pStyle w:val="3"/>
        <w:ind w:firstLine="560"/>
      </w:pPr>
      <w:r>
        <w:rPr>
          <w:rFonts w:hint="eastAsia"/>
        </w:rPr>
        <w:t>继续改革水利投资体系，建立多元化、多渠道、多层次的水利投融资体系，调动全社会办水利的积极性，引导地方、集体和农民对水利资金的投入和劳动工的积累，确保“十四五”规划的实施。</w:t>
      </w:r>
    </w:p>
    <w:p>
      <w:pPr>
        <w:pStyle w:val="3"/>
        <w:ind w:firstLine="560"/>
      </w:pPr>
      <w:r>
        <w:rPr>
          <w:rFonts w:hint="eastAsia"/>
        </w:rPr>
        <w:t>中国经济下行压力较大，据推测，中央将加大对水利等基础设施的投入，同时也需要地方继续加大对水利的投入。按照中央和地方事权划分的原则和水利产业政策，赫山区“十四五”规划期间水利建设资金拟从以下渠道进行筹措：</w:t>
      </w:r>
    </w:p>
    <w:p>
      <w:pPr>
        <w:pStyle w:val="3"/>
        <w:ind w:firstLine="560"/>
      </w:pPr>
      <w:r>
        <w:rPr>
          <w:rFonts w:hint="eastAsia"/>
        </w:rPr>
        <w:t>（1）继续努力争取国家和湖南省对赫山区水利建设的支持，特别是一些大的骨干性工程，争取国家投入较多资金。</w:t>
      </w:r>
    </w:p>
    <w:p>
      <w:pPr>
        <w:pStyle w:val="3"/>
        <w:ind w:firstLine="560"/>
      </w:pPr>
      <w:r>
        <w:rPr>
          <w:rFonts w:hint="eastAsia"/>
        </w:rPr>
        <w:t>（2）实现水利建设的持续发展，必须改革水利建设投资机制，积极引入市场经济机制，本着有利于调动群众的积极性，有利于加快水利建设步伐，有利于加强工程管理原则，制定和完善发展民营水利的优惠政策和激励机制，充分调动社会各界和广大群众的积极性，大力发展民营水利，走民建、民有、民营发展之路大大支持民营水利。</w:t>
      </w:r>
    </w:p>
    <w:p>
      <w:pPr>
        <w:pStyle w:val="3"/>
        <w:ind w:firstLine="560"/>
      </w:pPr>
      <w:r>
        <w:rPr>
          <w:rFonts w:hint="eastAsia"/>
        </w:rPr>
        <w:t>（3）加大公共财政对水利的投入，多渠道筹集资金。发挥政府在水利建设中的主导作用，将水利作为公共财政投入的重点领域，进一步提高水利建设资金在固定资产投资中的比重，大幅度增加财政专项水利资金。从土地出让收益中提取10％用于农田水利建设，充分发挥新增建设用地土地有偿使用费等土地整治资金的综合效益。进一步完善水利建设基金政策，延长征收年限，拓宽来源渠道，增加收入规模。完善水资源有偿使用制度，合理调整水资源费征收标准，扩大征收范围，严格征收、使用和管理。从城市建设维护税中划出一定比例用于城市防洪排涝和水源工程建设。切实加强水利投资项目和资金监督管理。</w:t>
      </w:r>
    </w:p>
    <w:p>
      <w:pPr>
        <w:pStyle w:val="3"/>
        <w:ind w:firstLine="560"/>
      </w:pPr>
      <w:r>
        <w:rPr>
          <w:rFonts w:hint="eastAsia"/>
        </w:rPr>
        <w:t>（4）加强对水利建设的金融支持。综合运用财政和货币政策，引导金融机构增加水利信贷资金。根据不同水利工程的建设特点和项目性质，确定财政贴息的规模、期限和贴息率。鼓励金融机构进一步增加农田水利建设的信贷资金，支持符合条件的水利企业上市和发行债券，探索发展大型水利设备设施的融资租赁业务，积极开展水利项目收益权质押贷款等多种形式融资。鼓励和支持发展洪水保险。提高水利利用外资的规模和质量。</w:t>
      </w:r>
    </w:p>
    <w:p>
      <w:pPr>
        <w:pStyle w:val="3"/>
        <w:ind w:firstLine="560"/>
      </w:pPr>
      <w:r>
        <w:rPr>
          <w:rFonts w:hint="eastAsia"/>
        </w:rPr>
        <w:t>（5）广泛吸引社会资金投资水利。鼓励符合条件的政府融资平台公司通过直接、间接融资方式，拓宽水利投融资渠道，吸引社会资金参与水利建设。鼓励农民自力更生、艰苦奋斗，在统一规划基础上，按照多筹多补、多干多补原则，加大一事一议财政奖补力度，充分调动农民兴修农田水利的积极性。结合增值税改革和立法进程，完善农村水电增值税政策。完善水利工程耕地占用税政策。积极稳妥推进经营性水利项目进行市场融资。</w:t>
      </w:r>
    </w:p>
    <w:p>
      <w:pPr>
        <w:pStyle w:val="4"/>
      </w:pPr>
      <w:bookmarkStart w:id="52" w:name="_Toc27564"/>
      <w:bookmarkStart w:id="53" w:name="_Toc78791608"/>
      <w:r>
        <w:rPr>
          <w:rFonts w:hint="eastAsia"/>
        </w:rPr>
        <w:t>效果分析</w:t>
      </w:r>
      <w:bookmarkEnd w:id="52"/>
      <w:bookmarkEnd w:id="53"/>
    </w:p>
    <w:p>
      <w:pPr>
        <w:pStyle w:val="3"/>
        <w:ind w:firstLine="560"/>
      </w:pPr>
      <w:r>
        <w:rPr>
          <w:rFonts w:hint="eastAsia"/>
        </w:rPr>
        <w:t>水利建设具有日益重要的社会作用。如防洪安全设施建设可避免洪水灾害所造成的社会稳定问题；大中型灌区续建配套与节水改造实施后可解决粮食安全问题、提高农民收入、解决“三农”问题；农村供水设施建设可改善农村居民的饮用水条件，避免地方病及其它疾病的发生，有利于农村居民的身体健康；新的制度建设可改善人水和谐的环境，促进节水型社会建设等等。</w:t>
      </w:r>
    </w:p>
    <w:p>
      <w:pPr>
        <w:pStyle w:val="3"/>
        <w:ind w:firstLine="560"/>
      </w:pPr>
    </w:p>
    <w:p>
      <w:pPr>
        <w:pStyle w:val="3"/>
        <w:ind w:firstLine="560"/>
        <w:sectPr>
          <w:type w:val="nextColumn"/>
          <w:pgSz w:w="11906" w:h="16838"/>
          <w:pgMar w:top="1871" w:right="1418" w:bottom="1440" w:left="1418" w:header="1247" w:footer="1191" w:gutter="284"/>
          <w:cols w:space="425" w:num="1"/>
          <w:docGrid w:type="linesAndChars" w:linePitch="312" w:charSpace="0"/>
        </w:sectPr>
      </w:pPr>
    </w:p>
    <w:p>
      <w:pPr>
        <w:pStyle w:val="2"/>
      </w:pPr>
      <w:bookmarkStart w:id="54" w:name="_Toc3584"/>
      <w:bookmarkStart w:id="55" w:name="_Toc78791609"/>
      <w:r>
        <w:rPr>
          <w:rFonts w:hint="eastAsia"/>
        </w:rPr>
        <w:t>保障措施</w:t>
      </w:r>
      <w:bookmarkEnd w:id="54"/>
      <w:bookmarkEnd w:id="55"/>
    </w:p>
    <w:p>
      <w:pPr>
        <w:pStyle w:val="3"/>
        <w:ind w:firstLine="560"/>
      </w:pPr>
    </w:p>
    <w:p>
      <w:pPr>
        <w:pStyle w:val="4"/>
      </w:pPr>
      <w:bookmarkStart w:id="56" w:name="_Toc78791610"/>
      <w:bookmarkStart w:id="57" w:name="_Toc13209"/>
      <w:r>
        <w:rPr>
          <w:rFonts w:hint="eastAsia"/>
        </w:rPr>
        <w:t>加强组织领导</w:t>
      </w:r>
      <w:bookmarkEnd w:id="56"/>
      <w:bookmarkEnd w:id="57"/>
    </w:p>
    <w:p>
      <w:pPr>
        <w:pStyle w:val="3"/>
        <w:ind w:firstLine="560"/>
      </w:pPr>
      <w:r>
        <w:rPr>
          <w:rFonts w:hint="eastAsia"/>
        </w:rPr>
        <w:t>（1）加强领导，实行行政首长负责制</w:t>
      </w:r>
    </w:p>
    <w:p>
      <w:pPr>
        <w:pStyle w:val="3"/>
        <w:ind w:firstLine="560"/>
      </w:pPr>
      <w:r>
        <w:rPr>
          <w:rFonts w:hint="eastAsia"/>
        </w:rPr>
        <w:t>参照河长制，切实加强政府对全区水安全建设的宏观调控和领导，落实行政首长负责制。成立由区委、区政府领导挂帅的高规格的领导小组，区水利、发改、财政、住建、林业、自然资源、农业农村、生态环境、应急管理、移民管理、交通、旅游等部门负责人为领导小组成员，领导全区水安全建设。领导小组下设办公室（区水利局），具体负责水安全建设的组织实施工作。</w:t>
      </w:r>
    </w:p>
    <w:p>
      <w:pPr>
        <w:pStyle w:val="3"/>
        <w:ind w:firstLine="560"/>
      </w:pPr>
      <w:r>
        <w:rPr>
          <w:rFonts w:hint="eastAsia"/>
        </w:rPr>
        <w:t>（2）强化监督检查，推进督察考核</w:t>
      </w:r>
    </w:p>
    <w:p>
      <w:pPr>
        <w:pStyle w:val="3"/>
        <w:ind w:firstLine="560"/>
      </w:pPr>
      <w:r>
        <w:rPr>
          <w:rFonts w:hint="eastAsia"/>
        </w:rPr>
        <w:t>按照水安全战略规划指引，建立全区水安全建设考核制度，把水安全建设情况纳入党政领导班子和领导干部绩效评价指标体系，真正做到责任、措施和投入三到位。对民生水利工程、水生态环境治理与保护等重点工作的落实，要实行行政问责制；对于重点水源、重点河道要进一步加强河长制，严格各级干部政绩考核评价；建立健全领导责任制和目标责任制，督促项目实施单位规范建设管理，强化长效机制。</w:t>
      </w:r>
    </w:p>
    <w:p>
      <w:pPr>
        <w:pStyle w:val="3"/>
        <w:ind w:firstLine="560"/>
      </w:pPr>
      <w:r>
        <w:rPr>
          <w:rFonts w:hint="eastAsia"/>
        </w:rPr>
        <w:t>（3）各方联手形成合力，共同推进建设</w:t>
      </w:r>
    </w:p>
    <w:p>
      <w:pPr>
        <w:pStyle w:val="3"/>
        <w:ind w:firstLine="560"/>
      </w:pPr>
      <w:r>
        <w:rPr>
          <w:rFonts w:hint="eastAsia"/>
        </w:rPr>
        <w:t>规划实施过程中，按照“区政府统一领导、部门分工协作、地方分级负责、社会共同参与”的原则，发改、财政、水利、城管、住建、农业农村、林业、自然资源、生态环境、交通、旅游等相关部门和单位要在区政府的统一领导下，按照职责分工，加强沟通协调、密切配合，形成合力，切实组织落实好水利建设投资、项目审批、环境影响评价等相关工作，落实规划确定的各项任务。</w:t>
      </w:r>
    </w:p>
    <w:p>
      <w:pPr>
        <w:pStyle w:val="4"/>
      </w:pPr>
      <w:bookmarkStart w:id="58" w:name="_Toc78791611"/>
      <w:bookmarkStart w:id="59" w:name="_Toc16574"/>
      <w:r>
        <w:rPr>
          <w:rFonts w:hint="eastAsia"/>
        </w:rPr>
        <w:t>落实任务分工</w:t>
      </w:r>
      <w:bookmarkEnd w:id="58"/>
      <w:bookmarkEnd w:id="59"/>
    </w:p>
    <w:p>
      <w:pPr>
        <w:pStyle w:val="3"/>
        <w:ind w:firstLine="560"/>
      </w:pPr>
      <w:r>
        <w:t>水安全保障系统复杂，综合性强，是各地区、多领域、多部门的共同责任，需分工负责，共同推进。水利部门重点负责规划制定、工程建设和水事管理。发展改革部门根据国家相关规划争取中央预算内投资支持</w:t>
      </w:r>
      <w:r>
        <w:rPr>
          <w:rFonts w:hint="eastAsia"/>
        </w:rPr>
        <w:t>，</w:t>
      </w:r>
      <w:r>
        <w:t>财政、水利部门研究落实工程建设资金筹措方案。发展改革、</w:t>
      </w:r>
      <w:r>
        <w:rPr>
          <w:rFonts w:hint="eastAsia"/>
          <w:lang w:eastAsia="zh-CN"/>
        </w:rPr>
        <w:t>工业</w:t>
      </w:r>
      <w:r>
        <w:t>和信息化、住房城乡建设、环保、农业、林业等部门分别负责工业节水</w:t>
      </w:r>
      <w:r>
        <w:rPr>
          <w:rFonts w:hint="eastAsia"/>
          <w:lang w:eastAsia="zh-CN"/>
        </w:rPr>
        <w:t>和</w:t>
      </w:r>
      <w:r>
        <w:t>水价改革、城镇节水及中水回用、水污染防治、农艺节水、水源涵养及湿地建设等相关工作。</w:t>
      </w:r>
    </w:p>
    <w:p>
      <w:pPr>
        <w:pStyle w:val="3"/>
        <w:ind w:firstLine="560"/>
      </w:pPr>
      <w:r>
        <w:t>建立部门间协作配合机制，及时协调解决水利改革发展中的重大问题和突出矛盾。各级水利部门要切实增强责任意识，主动履职尽责，统筹抓好水利规划建设、河湖及水利工程运行、深化水利改革、水资源管理和水利公共服务等各项工作。各有关部门和单位要按照职能分工，在行政审批、资金投入、水利用地、移民征迁、考核奖惩、政策支持等方面制定措施，落实职责。</w:t>
      </w:r>
    </w:p>
    <w:p>
      <w:pPr>
        <w:pStyle w:val="4"/>
      </w:pPr>
      <w:bookmarkStart w:id="60" w:name="_Toc78791612"/>
      <w:bookmarkStart w:id="61" w:name="_Toc29808"/>
      <w:r>
        <w:rPr>
          <w:rFonts w:hint="eastAsia"/>
        </w:rPr>
        <w:t>保障建设资金</w:t>
      </w:r>
      <w:bookmarkEnd w:id="60"/>
      <w:bookmarkEnd w:id="61"/>
    </w:p>
    <w:p>
      <w:pPr>
        <w:pStyle w:val="3"/>
        <w:ind w:firstLine="560"/>
      </w:pPr>
      <w:r>
        <w:t>坚持政府主导，继续将水利作为公共财政投入的重点领域和基础设施建设的优先领域，进一步加大财政投入力度。坚持多渠道筹措落实水利建设资金，用好政府债券资金，合理利用各类优惠贷款，鼓励社会资本以参股控股、委托运营、整合改制等多种形式参与水利建设。</w:t>
      </w:r>
    </w:p>
    <w:p>
      <w:pPr>
        <w:pStyle w:val="4"/>
      </w:pPr>
      <w:bookmarkStart w:id="62" w:name="_Toc2350"/>
      <w:bookmarkStart w:id="63" w:name="_Toc78791613"/>
      <w:r>
        <w:rPr>
          <w:rFonts w:hint="eastAsia"/>
        </w:rPr>
        <w:t>确保土地供给</w:t>
      </w:r>
      <w:bookmarkEnd w:id="62"/>
      <w:bookmarkEnd w:id="63"/>
    </w:p>
    <w:p>
      <w:pPr>
        <w:pStyle w:val="3"/>
        <w:ind w:firstLine="560"/>
      </w:pPr>
      <w:r>
        <w:t>坚持集约节约用地，合理规划水利工程布局。加大水利工程用地保障力度。充分利用废弃坑塘水库用地。避免将河道等水利工程及管理范围用地划为永久基本农田。大中型水库水面涉及农用地转用的，不占用土地利用总体规划确定的建设用地规模和年度用地计划指标；一般建设项目不得占用永久基本农田，重大建设项目选址确实难以避让永久基本农田的，在可行性研究阶段，必须对占用的必要性、合理性和补划方案的可行性进行严格论证，并按规定程序报批。国家审批立项的水利工程和地方审批的中型水库建设项目，道路、桥梁、生活营区等施工前期准备工程和控制工期的单体工程，以及因工期紧或受季节影响确需动工建设的其他工程，可申请办理先行用地。</w:t>
      </w:r>
    </w:p>
    <w:p>
      <w:pPr>
        <w:pStyle w:val="4"/>
      </w:pPr>
      <w:bookmarkStart w:id="64" w:name="_Toc14309"/>
      <w:bookmarkStart w:id="65" w:name="_Toc78791614"/>
      <w:r>
        <w:rPr>
          <w:rFonts w:hint="eastAsia"/>
        </w:rPr>
        <w:t>强化项目推进</w:t>
      </w:r>
      <w:bookmarkEnd w:id="64"/>
      <w:bookmarkEnd w:id="65"/>
    </w:p>
    <w:p>
      <w:pPr>
        <w:pStyle w:val="3"/>
        <w:ind w:firstLine="560"/>
      </w:pPr>
      <w:r>
        <w:t>本规划是指导当前及今后一个时期统筹解决水问题的纲领性文件和战略性规划。要坚持一张蓝图抓到底，一届接着一届干，持续不断推进。各有关部门要按照各自职能，修订完善相关规划，切实做好与本规划的衔接。建立规划定期评估机制和动态调整机制。强化部门间协作配合，各有关部门按照职责分工，在行政审批、项目用地、规划选址、考核奖惩等方面制定保障措施，齐抓共管，形成合力。</w:t>
      </w:r>
    </w:p>
    <w:p>
      <w:pPr>
        <w:pStyle w:val="4"/>
      </w:pPr>
      <w:bookmarkStart w:id="66" w:name="_Toc12185"/>
      <w:bookmarkStart w:id="67" w:name="_Toc78791615"/>
      <w:r>
        <w:rPr>
          <w:rFonts w:hint="eastAsia"/>
        </w:rPr>
        <w:t>深入宣传引导</w:t>
      </w:r>
      <w:bookmarkEnd w:id="66"/>
      <w:bookmarkEnd w:id="67"/>
    </w:p>
    <w:p>
      <w:pPr>
        <w:pStyle w:val="3"/>
        <w:ind w:firstLine="560"/>
        <w:rPr>
          <w:b/>
          <w:bCs/>
        </w:rPr>
      </w:pPr>
      <w:r>
        <w:t>要牢牢把握</w:t>
      </w:r>
      <w:r>
        <w:rPr>
          <w:rFonts w:hint="eastAsia"/>
        </w:rPr>
        <w:t>赫山</w:t>
      </w:r>
      <w:r>
        <w:t>的基本情况，深入学习借鉴先进地区经验，加大宣传教育力度，强化责任担当，进一步解放思想、锐意进取、真抓实干。加强宣传引导，把水情教育纳入国民素质教育体系和中小学教育课程体系，列入各级领导干部和公务员教育培训内容，提高水患意识、节水意识、护水意识和水生态文明意识，营造全社会关心水利、支持水利、发展水利的良好环境，推动形成治水兴水的强大合力。</w:t>
      </w:r>
    </w:p>
    <w:sectPr>
      <w:type w:val="nextColumn"/>
      <w:pgSz w:w="11906" w:h="16838"/>
      <w:pgMar w:top="1871" w:right="1418" w:bottom="1440" w:left="1418" w:header="1247" w:footer="1191" w:gutter="284"/>
      <w:cols w:space="425" w:num="1"/>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font-weight : 400">
    <w:altName w:val="宋体"/>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4"/>
      </w:rPr>
    </w:pPr>
    <w:r>
      <w:rPr>
        <w:rStyle w:val="34"/>
      </w:rPr>
      <w:fldChar w:fldCharType="begin"/>
    </w:r>
    <w:r>
      <w:rPr>
        <w:rStyle w:val="34"/>
      </w:rPr>
      <w:instrText xml:space="preserve">PAGE  </w:instrText>
    </w:r>
    <w:r>
      <w:rPr>
        <w:rStyle w:val="34"/>
      </w:rPr>
      <w:fldChar w:fldCharType="separate"/>
    </w:r>
    <w:r>
      <w:rPr>
        <w:rStyle w:val="34"/>
      </w:rPr>
      <w:t>42</w:t>
    </w:r>
    <w:r>
      <w:rPr>
        <w:rStyle w:val="34"/>
      </w:rPr>
      <w:fldChar w:fldCharType="end"/>
    </w:r>
  </w:p>
  <w:p>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95077531"/>
    </w:sdtPr>
    <w:sdtContent>
      <w:p>
        <w:pPr>
          <w:pStyle w:val="20"/>
          <w:jc w:val="center"/>
        </w:pPr>
        <w:r>
          <w:fldChar w:fldCharType="begin"/>
        </w:r>
        <w:r>
          <w:instrText xml:space="preserve">PAGE   \* MERGEFORMAT</w:instrText>
        </w:r>
        <w:r>
          <w:fldChar w:fldCharType="separate"/>
        </w:r>
        <w:r>
          <w:rPr>
            <w:lang w:val="zh-CN"/>
          </w:rPr>
          <w:t>ii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03169368"/>
    </w:sdtPr>
    <w:sdtContent>
      <w:p>
        <w:pPr>
          <w:pStyle w:val="20"/>
          <w:jc w:val="center"/>
        </w:pPr>
        <w:r>
          <w:fldChar w:fldCharType="begin"/>
        </w:r>
        <w:r>
          <w:instrText xml:space="preserve">PAGE   \* MERGEFORMAT</w:instrText>
        </w:r>
        <w:r>
          <w:fldChar w:fldCharType="separate"/>
        </w:r>
        <w:r>
          <w:rPr>
            <w:lang w:val="zh-CN"/>
          </w:rPr>
          <w:t>40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341536"/>
    <w:multiLevelType w:val="multilevel"/>
    <w:tmpl w:val="07341536"/>
    <w:lvl w:ilvl="0" w:tentative="0">
      <w:start w:val="1"/>
      <w:numFmt w:val="decimal"/>
      <w:lvlText w:val="（%1）"/>
      <w:lvlJc w:val="left"/>
      <w:pPr>
        <w:ind w:left="900" w:hanging="420"/>
      </w:pPr>
      <w:rPr>
        <w:rFonts w:hint="eastAsia"/>
      </w:rPr>
    </w:lvl>
    <w:lvl w:ilvl="1" w:tentative="0">
      <w:start w:val="1"/>
      <w:numFmt w:val="decimal"/>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1">
    <w:nsid w:val="0BF44C77"/>
    <w:multiLevelType w:val="multilevel"/>
    <w:tmpl w:val="0BF44C77"/>
    <w:lvl w:ilvl="0" w:tentative="0">
      <w:start w:val="1"/>
      <w:numFmt w:val="decimal"/>
      <w:pStyle w:val="2"/>
      <w:lvlText w:val="%1"/>
      <w:lvlJc w:val="left"/>
      <w:pPr>
        <w:tabs>
          <w:tab w:val="left" w:pos="425"/>
        </w:tabs>
        <w:ind w:left="425" w:hanging="425"/>
      </w:pPr>
      <w:rPr>
        <w:rFonts w:hint="eastAsia"/>
      </w:rPr>
    </w:lvl>
    <w:lvl w:ilvl="1" w:tentative="0">
      <w:start w:val="1"/>
      <w:numFmt w:val="decimal"/>
      <w:pStyle w:val="4"/>
      <w:lvlText w:val="%1.%2"/>
      <w:lvlJc w:val="left"/>
      <w:pPr>
        <w:tabs>
          <w:tab w:val="left" w:pos="567"/>
        </w:tabs>
        <w:ind w:left="567" w:hanging="567"/>
      </w:pPr>
      <w:rPr>
        <w:rFonts w:hint="eastAsia"/>
      </w:rPr>
    </w:lvl>
    <w:lvl w:ilvl="2" w:tentative="0">
      <w:start w:val="1"/>
      <w:numFmt w:val="decimal"/>
      <w:pStyle w:val="5"/>
      <w:lvlText w:val="%1.%2.%3"/>
      <w:lvlJc w:val="left"/>
      <w:pPr>
        <w:tabs>
          <w:tab w:val="left" w:pos="709"/>
        </w:tabs>
        <w:ind w:left="709" w:hanging="709"/>
      </w:pPr>
      <w:rPr>
        <w:rFonts w:hint="eastAsia"/>
      </w:rPr>
    </w:lvl>
    <w:lvl w:ilvl="3" w:tentative="0">
      <w:start w:val="1"/>
      <w:numFmt w:val="decimal"/>
      <w:pStyle w:val="6"/>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17E55151"/>
    <w:multiLevelType w:val="multilevel"/>
    <w:tmpl w:val="17E55151"/>
    <w:lvl w:ilvl="0" w:tentative="0">
      <w:start w:val="1"/>
      <w:numFmt w:val="decimal"/>
      <w:lvlText w:val="（%1）"/>
      <w:lvlJc w:val="left"/>
      <w:pPr>
        <w:ind w:left="900" w:hanging="420"/>
      </w:pPr>
      <w:rPr>
        <w:rFonts w:hint="eastAsia"/>
      </w:rPr>
    </w:lvl>
    <w:lvl w:ilvl="1" w:tentative="0">
      <w:start w:val="1"/>
      <w:numFmt w:val="decimal"/>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3">
    <w:nsid w:val="192F4B63"/>
    <w:multiLevelType w:val="multilevel"/>
    <w:tmpl w:val="192F4B63"/>
    <w:lvl w:ilvl="0" w:tentative="0">
      <w:start w:val="1"/>
      <w:numFmt w:val="decimal"/>
      <w:pStyle w:val="124"/>
      <w:lvlText w:val="%1）"/>
      <w:lvlJc w:val="left"/>
      <w:pPr>
        <w:ind w:left="0" w:firstLine="0"/>
      </w:pPr>
      <w:rPr>
        <w:rFonts w:hint="default" w:ascii="Times New Roman" w:hAnsi="Times New Roman" w:eastAsia="宋体"/>
        <w:spacing w:val="0"/>
        <w:position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36B6A2C"/>
    <w:multiLevelType w:val="multilevel"/>
    <w:tmpl w:val="236B6A2C"/>
    <w:lvl w:ilvl="0" w:tentative="0">
      <w:start w:val="1"/>
      <w:numFmt w:val="decimal"/>
      <w:lvlText w:val="（%1）"/>
      <w:lvlJc w:val="left"/>
      <w:pPr>
        <w:ind w:left="900" w:hanging="420"/>
      </w:pPr>
      <w:rPr>
        <w:rFonts w:hint="eastAsia"/>
      </w:rPr>
    </w:lvl>
    <w:lvl w:ilvl="1" w:tentative="0">
      <w:start w:val="1"/>
      <w:numFmt w:val="decimal"/>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C100CBD"/>
    <w:multiLevelType w:val="multilevel"/>
    <w:tmpl w:val="2C100CBD"/>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decimal"/>
      <w:lvlText w:val="%3)"/>
      <w:lvlJc w:val="lef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4A4462AA"/>
    <w:multiLevelType w:val="multilevel"/>
    <w:tmpl w:val="4A4462AA"/>
    <w:lvl w:ilvl="0" w:tentative="0">
      <w:start w:val="1"/>
      <w:numFmt w:val="decimal"/>
      <w:lvlText w:val="（%1）"/>
      <w:lvlJc w:val="left"/>
      <w:pPr>
        <w:ind w:left="900" w:hanging="420"/>
      </w:pPr>
      <w:rPr>
        <w:rFonts w:hint="eastAsia"/>
      </w:rPr>
    </w:lvl>
    <w:lvl w:ilvl="1" w:tentative="0">
      <w:start w:val="1"/>
      <w:numFmt w:val="decimal"/>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7">
    <w:nsid w:val="4DA61D6F"/>
    <w:multiLevelType w:val="multilevel"/>
    <w:tmpl w:val="4DA61D6F"/>
    <w:lvl w:ilvl="0" w:tentative="0">
      <w:start w:val="1"/>
      <w:numFmt w:val="decimal"/>
      <w:pStyle w:val="125"/>
      <w:lvlText w:val="（%1）"/>
      <w:lvlJc w:val="left"/>
      <w:pPr>
        <w:ind w:left="0" w:firstLine="0"/>
      </w:pPr>
      <w:rPr>
        <w:b w:val="0"/>
        <w:bCs w:val="0"/>
        <w:i w:val="0"/>
        <w:iCs w:val="0"/>
        <w:caps w:val="0"/>
        <w:smallCaps w:val="0"/>
        <w:strike w:val="0"/>
        <w:dstrike w:val="0"/>
        <w:outline w:val="0"/>
        <w:shadow w:val="0"/>
        <w:emboss w:val="0"/>
        <w:imprint w:val="0"/>
        <w:vanish w:val="0"/>
        <w:spacing w:val="0"/>
        <w:position w:val="0"/>
        <w:u w:val="none"/>
        <w:vertAlign w:val="baseline"/>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49C3ABC"/>
    <w:multiLevelType w:val="multilevel"/>
    <w:tmpl w:val="549C3ABC"/>
    <w:lvl w:ilvl="0" w:tentative="0">
      <w:start w:val="1"/>
      <w:numFmt w:val="decimal"/>
      <w:lvlText w:val="（%1）"/>
      <w:lvlJc w:val="left"/>
      <w:pPr>
        <w:ind w:left="900" w:hanging="420"/>
      </w:pPr>
      <w:rPr>
        <w:rFonts w:hint="eastAsia"/>
      </w:rPr>
    </w:lvl>
    <w:lvl w:ilvl="1" w:tentative="0">
      <w:start w:val="1"/>
      <w:numFmt w:val="decimal"/>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num w:numId="1">
    <w:abstractNumId w:val="1"/>
  </w:num>
  <w:num w:numId="2">
    <w:abstractNumId w:val="3"/>
  </w:num>
  <w:num w:numId="3">
    <w:abstractNumId w:val="7"/>
  </w:num>
  <w:num w:numId="4">
    <w:abstractNumId w:val="4"/>
  </w:num>
  <w:num w:numId="5">
    <w:abstractNumId w:val="0"/>
  </w:num>
  <w:num w:numId="6">
    <w:abstractNumId w:val="6"/>
  </w:num>
  <w:num w:numId="7">
    <w:abstractNumId w:val="8"/>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attachedTemplate r:id="rId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178753A6"/>
    <w:rsid w:val="00000EB3"/>
    <w:rsid w:val="00000F65"/>
    <w:rsid w:val="00002AD5"/>
    <w:rsid w:val="00003264"/>
    <w:rsid w:val="00004DEF"/>
    <w:rsid w:val="00007139"/>
    <w:rsid w:val="000104CD"/>
    <w:rsid w:val="00012283"/>
    <w:rsid w:val="000125E2"/>
    <w:rsid w:val="000141A9"/>
    <w:rsid w:val="00014825"/>
    <w:rsid w:val="00015570"/>
    <w:rsid w:val="00015998"/>
    <w:rsid w:val="00020981"/>
    <w:rsid w:val="00023D02"/>
    <w:rsid w:val="00024908"/>
    <w:rsid w:val="00024B47"/>
    <w:rsid w:val="0002600C"/>
    <w:rsid w:val="00030ABC"/>
    <w:rsid w:val="0003224C"/>
    <w:rsid w:val="00032A4B"/>
    <w:rsid w:val="00034B79"/>
    <w:rsid w:val="000356E8"/>
    <w:rsid w:val="00035E85"/>
    <w:rsid w:val="0003613C"/>
    <w:rsid w:val="00037AAD"/>
    <w:rsid w:val="00037C58"/>
    <w:rsid w:val="000401EB"/>
    <w:rsid w:val="00040C57"/>
    <w:rsid w:val="00041C99"/>
    <w:rsid w:val="000451AE"/>
    <w:rsid w:val="000458EF"/>
    <w:rsid w:val="00046A60"/>
    <w:rsid w:val="00050BA9"/>
    <w:rsid w:val="00052A90"/>
    <w:rsid w:val="00055EEB"/>
    <w:rsid w:val="0005711C"/>
    <w:rsid w:val="0006175A"/>
    <w:rsid w:val="00063402"/>
    <w:rsid w:val="000656E1"/>
    <w:rsid w:val="00065E5B"/>
    <w:rsid w:val="00072781"/>
    <w:rsid w:val="000729AA"/>
    <w:rsid w:val="00074392"/>
    <w:rsid w:val="00075F19"/>
    <w:rsid w:val="000779BF"/>
    <w:rsid w:val="00080030"/>
    <w:rsid w:val="000800A8"/>
    <w:rsid w:val="00080F5F"/>
    <w:rsid w:val="00085B58"/>
    <w:rsid w:val="000863EA"/>
    <w:rsid w:val="00090A43"/>
    <w:rsid w:val="00090B4C"/>
    <w:rsid w:val="00090CCF"/>
    <w:rsid w:val="000911E1"/>
    <w:rsid w:val="000919BC"/>
    <w:rsid w:val="00093153"/>
    <w:rsid w:val="00094A98"/>
    <w:rsid w:val="00095123"/>
    <w:rsid w:val="00097A28"/>
    <w:rsid w:val="000A0280"/>
    <w:rsid w:val="000A2B6F"/>
    <w:rsid w:val="000A3330"/>
    <w:rsid w:val="000A3817"/>
    <w:rsid w:val="000A3A3E"/>
    <w:rsid w:val="000A6DDC"/>
    <w:rsid w:val="000B1407"/>
    <w:rsid w:val="000B2AC4"/>
    <w:rsid w:val="000B4BFD"/>
    <w:rsid w:val="000B5C87"/>
    <w:rsid w:val="000D435A"/>
    <w:rsid w:val="000D5C8A"/>
    <w:rsid w:val="000D7574"/>
    <w:rsid w:val="000E04E2"/>
    <w:rsid w:val="000E1DFB"/>
    <w:rsid w:val="000E3E0A"/>
    <w:rsid w:val="000E5565"/>
    <w:rsid w:val="000F0B8C"/>
    <w:rsid w:val="000F1F31"/>
    <w:rsid w:val="000F284A"/>
    <w:rsid w:val="000F299A"/>
    <w:rsid w:val="000F3579"/>
    <w:rsid w:val="000F40F2"/>
    <w:rsid w:val="000F4A25"/>
    <w:rsid w:val="000F58F3"/>
    <w:rsid w:val="000F7238"/>
    <w:rsid w:val="0010051C"/>
    <w:rsid w:val="00101166"/>
    <w:rsid w:val="001036B9"/>
    <w:rsid w:val="00106671"/>
    <w:rsid w:val="001077AF"/>
    <w:rsid w:val="00110159"/>
    <w:rsid w:val="00110BEE"/>
    <w:rsid w:val="00113398"/>
    <w:rsid w:val="001137F0"/>
    <w:rsid w:val="00114433"/>
    <w:rsid w:val="00114ADC"/>
    <w:rsid w:val="00115BF2"/>
    <w:rsid w:val="001163E0"/>
    <w:rsid w:val="00116ED4"/>
    <w:rsid w:val="0012163A"/>
    <w:rsid w:val="0012201F"/>
    <w:rsid w:val="0012290D"/>
    <w:rsid w:val="001231B0"/>
    <w:rsid w:val="00123C3D"/>
    <w:rsid w:val="0012615E"/>
    <w:rsid w:val="00126F84"/>
    <w:rsid w:val="001325E8"/>
    <w:rsid w:val="00132642"/>
    <w:rsid w:val="00133519"/>
    <w:rsid w:val="00135C12"/>
    <w:rsid w:val="00135CB5"/>
    <w:rsid w:val="0014414F"/>
    <w:rsid w:val="00145B25"/>
    <w:rsid w:val="00150898"/>
    <w:rsid w:val="001536D1"/>
    <w:rsid w:val="00155575"/>
    <w:rsid w:val="001564E5"/>
    <w:rsid w:val="0016299C"/>
    <w:rsid w:val="00166F7A"/>
    <w:rsid w:val="0016711B"/>
    <w:rsid w:val="00171514"/>
    <w:rsid w:val="00176D0F"/>
    <w:rsid w:val="0018474A"/>
    <w:rsid w:val="00185FA3"/>
    <w:rsid w:val="0018782C"/>
    <w:rsid w:val="001900A3"/>
    <w:rsid w:val="001909EA"/>
    <w:rsid w:val="00191163"/>
    <w:rsid w:val="00194C25"/>
    <w:rsid w:val="00194C52"/>
    <w:rsid w:val="0019568D"/>
    <w:rsid w:val="00196DB6"/>
    <w:rsid w:val="001A009A"/>
    <w:rsid w:val="001A0C51"/>
    <w:rsid w:val="001A33C1"/>
    <w:rsid w:val="001A5394"/>
    <w:rsid w:val="001B0496"/>
    <w:rsid w:val="001B0D1A"/>
    <w:rsid w:val="001B2D09"/>
    <w:rsid w:val="001B3230"/>
    <w:rsid w:val="001B4133"/>
    <w:rsid w:val="001B48C8"/>
    <w:rsid w:val="001B54A9"/>
    <w:rsid w:val="001B5CBF"/>
    <w:rsid w:val="001B7A59"/>
    <w:rsid w:val="001C2602"/>
    <w:rsid w:val="001C2821"/>
    <w:rsid w:val="001C390D"/>
    <w:rsid w:val="001C3F67"/>
    <w:rsid w:val="001C76A3"/>
    <w:rsid w:val="001D2169"/>
    <w:rsid w:val="001D24E5"/>
    <w:rsid w:val="001E1058"/>
    <w:rsid w:val="001E15F2"/>
    <w:rsid w:val="001E78C4"/>
    <w:rsid w:val="001F5BA0"/>
    <w:rsid w:val="00202C43"/>
    <w:rsid w:val="00205165"/>
    <w:rsid w:val="00205BB8"/>
    <w:rsid w:val="00207B71"/>
    <w:rsid w:val="00210562"/>
    <w:rsid w:val="00210922"/>
    <w:rsid w:val="00217409"/>
    <w:rsid w:val="002206AD"/>
    <w:rsid w:val="00220AF5"/>
    <w:rsid w:val="00220E7F"/>
    <w:rsid w:val="00225A8D"/>
    <w:rsid w:val="002267A3"/>
    <w:rsid w:val="0022787A"/>
    <w:rsid w:val="00230D9C"/>
    <w:rsid w:val="00232F9A"/>
    <w:rsid w:val="002349AA"/>
    <w:rsid w:val="00241752"/>
    <w:rsid w:val="0024263B"/>
    <w:rsid w:val="002429B3"/>
    <w:rsid w:val="00246E21"/>
    <w:rsid w:val="00247376"/>
    <w:rsid w:val="00255A4F"/>
    <w:rsid w:val="002569A2"/>
    <w:rsid w:val="00257023"/>
    <w:rsid w:val="00260F69"/>
    <w:rsid w:val="00262B12"/>
    <w:rsid w:val="00263EA3"/>
    <w:rsid w:val="00276472"/>
    <w:rsid w:val="00285752"/>
    <w:rsid w:val="002864D4"/>
    <w:rsid w:val="00286C03"/>
    <w:rsid w:val="00287B47"/>
    <w:rsid w:val="002904BB"/>
    <w:rsid w:val="00292A15"/>
    <w:rsid w:val="00293F6A"/>
    <w:rsid w:val="002945CE"/>
    <w:rsid w:val="002956D6"/>
    <w:rsid w:val="00295849"/>
    <w:rsid w:val="002959FE"/>
    <w:rsid w:val="00297B9F"/>
    <w:rsid w:val="002A2123"/>
    <w:rsid w:val="002A4138"/>
    <w:rsid w:val="002A4AFB"/>
    <w:rsid w:val="002A4B60"/>
    <w:rsid w:val="002A50B6"/>
    <w:rsid w:val="002A5FFD"/>
    <w:rsid w:val="002A6606"/>
    <w:rsid w:val="002B3D44"/>
    <w:rsid w:val="002B3FF1"/>
    <w:rsid w:val="002B4011"/>
    <w:rsid w:val="002B4911"/>
    <w:rsid w:val="002B654A"/>
    <w:rsid w:val="002B7498"/>
    <w:rsid w:val="002C238C"/>
    <w:rsid w:val="002C497C"/>
    <w:rsid w:val="002C59B9"/>
    <w:rsid w:val="002C5F24"/>
    <w:rsid w:val="002D7E50"/>
    <w:rsid w:val="002E19A8"/>
    <w:rsid w:val="002E38D2"/>
    <w:rsid w:val="002E595C"/>
    <w:rsid w:val="002E77E8"/>
    <w:rsid w:val="002F1698"/>
    <w:rsid w:val="002F5035"/>
    <w:rsid w:val="002F5CAC"/>
    <w:rsid w:val="00300A2F"/>
    <w:rsid w:val="003056EB"/>
    <w:rsid w:val="0030596E"/>
    <w:rsid w:val="00311597"/>
    <w:rsid w:val="003116BB"/>
    <w:rsid w:val="0031244C"/>
    <w:rsid w:val="00312BE0"/>
    <w:rsid w:val="00312C85"/>
    <w:rsid w:val="003131A0"/>
    <w:rsid w:val="00314D37"/>
    <w:rsid w:val="00316F84"/>
    <w:rsid w:val="0032115C"/>
    <w:rsid w:val="003219CE"/>
    <w:rsid w:val="00321A6F"/>
    <w:rsid w:val="00322A1F"/>
    <w:rsid w:val="0032674C"/>
    <w:rsid w:val="003276FC"/>
    <w:rsid w:val="00327860"/>
    <w:rsid w:val="00327AAF"/>
    <w:rsid w:val="003314A1"/>
    <w:rsid w:val="003317EB"/>
    <w:rsid w:val="00331E13"/>
    <w:rsid w:val="003320B1"/>
    <w:rsid w:val="003347E1"/>
    <w:rsid w:val="0033506A"/>
    <w:rsid w:val="003430CE"/>
    <w:rsid w:val="003432E7"/>
    <w:rsid w:val="00343EAF"/>
    <w:rsid w:val="00344425"/>
    <w:rsid w:val="00345E2C"/>
    <w:rsid w:val="00346578"/>
    <w:rsid w:val="0035059F"/>
    <w:rsid w:val="00351189"/>
    <w:rsid w:val="00352175"/>
    <w:rsid w:val="00354654"/>
    <w:rsid w:val="0035765D"/>
    <w:rsid w:val="0036246D"/>
    <w:rsid w:val="0036429F"/>
    <w:rsid w:val="0037003B"/>
    <w:rsid w:val="003718F5"/>
    <w:rsid w:val="00371BBD"/>
    <w:rsid w:val="00371D72"/>
    <w:rsid w:val="0037307E"/>
    <w:rsid w:val="003746E3"/>
    <w:rsid w:val="00374D25"/>
    <w:rsid w:val="00375645"/>
    <w:rsid w:val="00380EA3"/>
    <w:rsid w:val="0038177C"/>
    <w:rsid w:val="0038181E"/>
    <w:rsid w:val="003822C6"/>
    <w:rsid w:val="0038252F"/>
    <w:rsid w:val="003828F7"/>
    <w:rsid w:val="00384599"/>
    <w:rsid w:val="00385D8F"/>
    <w:rsid w:val="003915C9"/>
    <w:rsid w:val="00394897"/>
    <w:rsid w:val="003A5D9F"/>
    <w:rsid w:val="003A6E0D"/>
    <w:rsid w:val="003A7E17"/>
    <w:rsid w:val="003B07C4"/>
    <w:rsid w:val="003B0DFF"/>
    <w:rsid w:val="003B0F7E"/>
    <w:rsid w:val="003B49F2"/>
    <w:rsid w:val="003C0771"/>
    <w:rsid w:val="003C5FB3"/>
    <w:rsid w:val="003C76A1"/>
    <w:rsid w:val="003C76B2"/>
    <w:rsid w:val="003D24F1"/>
    <w:rsid w:val="003D419C"/>
    <w:rsid w:val="003D6EFD"/>
    <w:rsid w:val="003E1783"/>
    <w:rsid w:val="003E1DF5"/>
    <w:rsid w:val="003E6520"/>
    <w:rsid w:val="003F3632"/>
    <w:rsid w:val="003F4B0A"/>
    <w:rsid w:val="003F5048"/>
    <w:rsid w:val="003F65E0"/>
    <w:rsid w:val="003F6F69"/>
    <w:rsid w:val="00405B12"/>
    <w:rsid w:val="00405FAB"/>
    <w:rsid w:val="00406E4F"/>
    <w:rsid w:val="00410F16"/>
    <w:rsid w:val="004119AC"/>
    <w:rsid w:val="0041403A"/>
    <w:rsid w:val="00414840"/>
    <w:rsid w:val="004257BE"/>
    <w:rsid w:val="004301FB"/>
    <w:rsid w:val="00431B0D"/>
    <w:rsid w:val="00431FBA"/>
    <w:rsid w:val="004322FE"/>
    <w:rsid w:val="00433460"/>
    <w:rsid w:val="00434BAA"/>
    <w:rsid w:val="00435C88"/>
    <w:rsid w:val="00435E6D"/>
    <w:rsid w:val="00437C75"/>
    <w:rsid w:val="00440798"/>
    <w:rsid w:val="00440B93"/>
    <w:rsid w:val="004435D8"/>
    <w:rsid w:val="00445D5D"/>
    <w:rsid w:val="0045019B"/>
    <w:rsid w:val="00453829"/>
    <w:rsid w:val="00461276"/>
    <w:rsid w:val="004646CC"/>
    <w:rsid w:val="004654B7"/>
    <w:rsid w:val="00466AE9"/>
    <w:rsid w:val="0046786D"/>
    <w:rsid w:val="00472B0A"/>
    <w:rsid w:val="00473829"/>
    <w:rsid w:val="00473BD6"/>
    <w:rsid w:val="00477923"/>
    <w:rsid w:val="0048179B"/>
    <w:rsid w:val="00483757"/>
    <w:rsid w:val="0048546F"/>
    <w:rsid w:val="00486004"/>
    <w:rsid w:val="004862AB"/>
    <w:rsid w:val="004863F8"/>
    <w:rsid w:val="00487019"/>
    <w:rsid w:val="00490BF5"/>
    <w:rsid w:val="004910D3"/>
    <w:rsid w:val="00492F38"/>
    <w:rsid w:val="004947AD"/>
    <w:rsid w:val="00497B1F"/>
    <w:rsid w:val="004A0C68"/>
    <w:rsid w:val="004A10E6"/>
    <w:rsid w:val="004A12D1"/>
    <w:rsid w:val="004A5B41"/>
    <w:rsid w:val="004A6787"/>
    <w:rsid w:val="004A708A"/>
    <w:rsid w:val="004A7476"/>
    <w:rsid w:val="004A75A7"/>
    <w:rsid w:val="004B00C3"/>
    <w:rsid w:val="004B1AB7"/>
    <w:rsid w:val="004B1CCC"/>
    <w:rsid w:val="004B31E8"/>
    <w:rsid w:val="004B3E16"/>
    <w:rsid w:val="004B446D"/>
    <w:rsid w:val="004B547E"/>
    <w:rsid w:val="004B7E34"/>
    <w:rsid w:val="004C0A54"/>
    <w:rsid w:val="004C1CB6"/>
    <w:rsid w:val="004C49FC"/>
    <w:rsid w:val="004C5448"/>
    <w:rsid w:val="004C6B06"/>
    <w:rsid w:val="004D2A3D"/>
    <w:rsid w:val="004D3B7A"/>
    <w:rsid w:val="004D3BC3"/>
    <w:rsid w:val="004D3F41"/>
    <w:rsid w:val="004D6757"/>
    <w:rsid w:val="004E0231"/>
    <w:rsid w:val="004E0BDB"/>
    <w:rsid w:val="004E2C23"/>
    <w:rsid w:val="004E395B"/>
    <w:rsid w:val="004E7497"/>
    <w:rsid w:val="004E7AA6"/>
    <w:rsid w:val="004F0479"/>
    <w:rsid w:val="004F24DE"/>
    <w:rsid w:val="004F2511"/>
    <w:rsid w:val="004F2E8B"/>
    <w:rsid w:val="004F48B1"/>
    <w:rsid w:val="005000B9"/>
    <w:rsid w:val="005004CF"/>
    <w:rsid w:val="00501AB2"/>
    <w:rsid w:val="00501C3D"/>
    <w:rsid w:val="005053B1"/>
    <w:rsid w:val="005106F9"/>
    <w:rsid w:val="00511AF5"/>
    <w:rsid w:val="00512203"/>
    <w:rsid w:val="005156BD"/>
    <w:rsid w:val="00517FE0"/>
    <w:rsid w:val="0052409F"/>
    <w:rsid w:val="005266BC"/>
    <w:rsid w:val="00526BF2"/>
    <w:rsid w:val="005275C8"/>
    <w:rsid w:val="00532E8F"/>
    <w:rsid w:val="00534AA9"/>
    <w:rsid w:val="00534D15"/>
    <w:rsid w:val="00537681"/>
    <w:rsid w:val="005403AC"/>
    <w:rsid w:val="0054434A"/>
    <w:rsid w:val="00546C43"/>
    <w:rsid w:val="00550DB8"/>
    <w:rsid w:val="00554939"/>
    <w:rsid w:val="00557E46"/>
    <w:rsid w:val="0056235B"/>
    <w:rsid w:val="005648C5"/>
    <w:rsid w:val="005671C3"/>
    <w:rsid w:val="005672C8"/>
    <w:rsid w:val="0056767B"/>
    <w:rsid w:val="00570A41"/>
    <w:rsid w:val="005720DC"/>
    <w:rsid w:val="0057402F"/>
    <w:rsid w:val="00575071"/>
    <w:rsid w:val="00576403"/>
    <w:rsid w:val="005774FC"/>
    <w:rsid w:val="005805B0"/>
    <w:rsid w:val="005822ED"/>
    <w:rsid w:val="00582A2A"/>
    <w:rsid w:val="00583ECD"/>
    <w:rsid w:val="005863A6"/>
    <w:rsid w:val="00586A6D"/>
    <w:rsid w:val="00590939"/>
    <w:rsid w:val="005918F9"/>
    <w:rsid w:val="0059234F"/>
    <w:rsid w:val="005963ED"/>
    <w:rsid w:val="005976BA"/>
    <w:rsid w:val="005A2BD5"/>
    <w:rsid w:val="005A3762"/>
    <w:rsid w:val="005A57C5"/>
    <w:rsid w:val="005A68C1"/>
    <w:rsid w:val="005B0523"/>
    <w:rsid w:val="005B4CE1"/>
    <w:rsid w:val="005B510A"/>
    <w:rsid w:val="005B5CD2"/>
    <w:rsid w:val="005C3497"/>
    <w:rsid w:val="005C507B"/>
    <w:rsid w:val="005C53FD"/>
    <w:rsid w:val="005C5DFC"/>
    <w:rsid w:val="005C64B9"/>
    <w:rsid w:val="005C6FAB"/>
    <w:rsid w:val="005C76A2"/>
    <w:rsid w:val="005D0C38"/>
    <w:rsid w:val="005D3480"/>
    <w:rsid w:val="005D4706"/>
    <w:rsid w:val="005D5576"/>
    <w:rsid w:val="005D5A9B"/>
    <w:rsid w:val="005D6730"/>
    <w:rsid w:val="005E2109"/>
    <w:rsid w:val="005E2C76"/>
    <w:rsid w:val="005E3DF8"/>
    <w:rsid w:val="005E5221"/>
    <w:rsid w:val="005E7AC1"/>
    <w:rsid w:val="005F1933"/>
    <w:rsid w:val="005F3998"/>
    <w:rsid w:val="005F5A24"/>
    <w:rsid w:val="0060208A"/>
    <w:rsid w:val="006022BD"/>
    <w:rsid w:val="006029C5"/>
    <w:rsid w:val="006036FB"/>
    <w:rsid w:val="00603D5A"/>
    <w:rsid w:val="006063EE"/>
    <w:rsid w:val="006122AA"/>
    <w:rsid w:val="00614E88"/>
    <w:rsid w:val="00615E15"/>
    <w:rsid w:val="00615FB8"/>
    <w:rsid w:val="0061605B"/>
    <w:rsid w:val="00616FBE"/>
    <w:rsid w:val="00617A13"/>
    <w:rsid w:val="00621CD5"/>
    <w:rsid w:val="00621FA7"/>
    <w:rsid w:val="00622D92"/>
    <w:rsid w:val="00622F4E"/>
    <w:rsid w:val="006237BF"/>
    <w:rsid w:val="00626B0C"/>
    <w:rsid w:val="00626E4A"/>
    <w:rsid w:val="006312C7"/>
    <w:rsid w:val="00634122"/>
    <w:rsid w:val="00634FF4"/>
    <w:rsid w:val="00637BEE"/>
    <w:rsid w:val="00640128"/>
    <w:rsid w:val="00641AD7"/>
    <w:rsid w:val="006429CA"/>
    <w:rsid w:val="00642E49"/>
    <w:rsid w:val="00644B9E"/>
    <w:rsid w:val="00644DCD"/>
    <w:rsid w:val="006460CE"/>
    <w:rsid w:val="0064674B"/>
    <w:rsid w:val="00647A6E"/>
    <w:rsid w:val="0065423B"/>
    <w:rsid w:val="00660033"/>
    <w:rsid w:val="006619C5"/>
    <w:rsid w:val="00661B5D"/>
    <w:rsid w:val="00662072"/>
    <w:rsid w:val="006636E5"/>
    <w:rsid w:val="00663ED2"/>
    <w:rsid w:val="00664516"/>
    <w:rsid w:val="0066499E"/>
    <w:rsid w:val="00665531"/>
    <w:rsid w:val="006675A0"/>
    <w:rsid w:val="00671075"/>
    <w:rsid w:val="0067121B"/>
    <w:rsid w:val="006723A0"/>
    <w:rsid w:val="006741EF"/>
    <w:rsid w:val="00675A0A"/>
    <w:rsid w:val="0067661D"/>
    <w:rsid w:val="00677B4E"/>
    <w:rsid w:val="00681DDE"/>
    <w:rsid w:val="00681F74"/>
    <w:rsid w:val="0068213D"/>
    <w:rsid w:val="0069006B"/>
    <w:rsid w:val="00690389"/>
    <w:rsid w:val="006914DC"/>
    <w:rsid w:val="006917BC"/>
    <w:rsid w:val="00695544"/>
    <w:rsid w:val="006977CE"/>
    <w:rsid w:val="006A1152"/>
    <w:rsid w:val="006A2019"/>
    <w:rsid w:val="006A2D87"/>
    <w:rsid w:val="006A7615"/>
    <w:rsid w:val="006B2E2D"/>
    <w:rsid w:val="006B5FC7"/>
    <w:rsid w:val="006C1F72"/>
    <w:rsid w:val="006C2B30"/>
    <w:rsid w:val="006C37E4"/>
    <w:rsid w:val="006C3C92"/>
    <w:rsid w:val="006C65CB"/>
    <w:rsid w:val="006D0243"/>
    <w:rsid w:val="006D1A7E"/>
    <w:rsid w:val="006D7EA6"/>
    <w:rsid w:val="006E3DE3"/>
    <w:rsid w:val="006E7560"/>
    <w:rsid w:val="006F0509"/>
    <w:rsid w:val="006F39DA"/>
    <w:rsid w:val="006F3CB6"/>
    <w:rsid w:val="006F5958"/>
    <w:rsid w:val="006F5E05"/>
    <w:rsid w:val="006F6066"/>
    <w:rsid w:val="006F7ED2"/>
    <w:rsid w:val="007007DC"/>
    <w:rsid w:val="00701EBA"/>
    <w:rsid w:val="007025C4"/>
    <w:rsid w:val="0070310F"/>
    <w:rsid w:val="007058AB"/>
    <w:rsid w:val="00707BFD"/>
    <w:rsid w:val="00707E3E"/>
    <w:rsid w:val="0071017C"/>
    <w:rsid w:val="00710527"/>
    <w:rsid w:val="007131C7"/>
    <w:rsid w:val="00715C41"/>
    <w:rsid w:val="00716789"/>
    <w:rsid w:val="00716D2A"/>
    <w:rsid w:val="007177B3"/>
    <w:rsid w:val="007224E2"/>
    <w:rsid w:val="00723648"/>
    <w:rsid w:val="00723DEF"/>
    <w:rsid w:val="00726E49"/>
    <w:rsid w:val="00726F63"/>
    <w:rsid w:val="007339D8"/>
    <w:rsid w:val="00734CAB"/>
    <w:rsid w:val="0073792F"/>
    <w:rsid w:val="00737A8B"/>
    <w:rsid w:val="00741F02"/>
    <w:rsid w:val="007503F8"/>
    <w:rsid w:val="00752E1C"/>
    <w:rsid w:val="0075379A"/>
    <w:rsid w:val="00753E3F"/>
    <w:rsid w:val="00754E4F"/>
    <w:rsid w:val="007557A9"/>
    <w:rsid w:val="00756F7D"/>
    <w:rsid w:val="00760C6F"/>
    <w:rsid w:val="00764627"/>
    <w:rsid w:val="00764666"/>
    <w:rsid w:val="00766C57"/>
    <w:rsid w:val="00767097"/>
    <w:rsid w:val="00773459"/>
    <w:rsid w:val="007750F6"/>
    <w:rsid w:val="00776F87"/>
    <w:rsid w:val="00777F66"/>
    <w:rsid w:val="00781F36"/>
    <w:rsid w:val="00783A63"/>
    <w:rsid w:val="00785069"/>
    <w:rsid w:val="00785FC0"/>
    <w:rsid w:val="00787101"/>
    <w:rsid w:val="0079202A"/>
    <w:rsid w:val="0079236D"/>
    <w:rsid w:val="00792C1D"/>
    <w:rsid w:val="007941B7"/>
    <w:rsid w:val="00795DB4"/>
    <w:rsid w:val="007971CA"/>
    <w:rsid w:val="007A2D2B"/>
    <w:rsid w:val="007A308C"/>
    <w:rsid w:val="007A3111"/>
    <w:rsid w:val="007A49B7"/>
    <w:rsid w:val="007A5983"/>
    <w:rsid w:val="007B0332"/>
    <w:rsid w:val="007B0D4C"/>
    <w:rsid w:val="007B122C"/>
    <w:rsid w:val="007B20F4"/>
    <w:rsid w:val="007B23E5"/>
    <w:rsid w:val="007B2580"/>
    <w:rsid w:val="007B2889"/>
    <w:rsid w:val="007B43A3"/>
    <w:rsid w:val="007B5A06"/>
    <w:rsid w:val="007C09F0"/>
    <w:rsid w:val="007C4DD6"/>
    <w:rsid w:val="007C7507"/>
    <w:rsid w:val="007D3AF3"/>
    <w:rsid w:val="007D54ED"/>
    <w:rsid w:val="007D5891"/>
    <w:rsid w:val="007E3A9A"/>
    <w:rsid w:val="007E6A96"/>
    <w:rsid w:val="007F025A"/>
    <w:rsid w:val="007F0BCE"/>
    <w:rsid w:val="007F0F41"/>
    <w:rsid w:val="007F40D7"/>
    <w:rsid w:val="007F60B3"/>
    <w:rsid w:val="007F7855"/>
    <w:rsid w:val="007F7948"/>
    <w:rsid w:val="008048CA"/>
    <w:rsid w:val="008114F9"/>
    <w:rsid w:val="0081162D"/>
    <w:rsid w:val="0081181C"/>
    <w:rsid w:val="008120DB"/>
    <w:rsid w:val="008123CA"/>
    <w:rsid w:val="00814FD8"/>
    <w:rsid w:val="008207FB"/>
    <w:rsid w:val="00820AD3"/>
    <w:rsid w:val="008219F5"/>
    <w:rsid w:val="00821B0B"/>
    <w:rsid w:val="00822F7D"/>
    <w:rsid w:val="00824729"/>
    <w:rsid w:val="00824C54"/>
    <w:rsid w:val="0082765C"/>
    <w:rsid w:val="00830DCB"/>
    <w:rsid w:val="008317A3"/>
    <w:rsid w:val="00832813"/>
    <w:rsid w:val="00833D13"/>
    <w:rsid w:val="008344F3"/>
    <w:rsid w:val="008359DA"/>
    <w:rsid w:val="0083624D"/>
    <w:rsid w:val="0083636C"/>
    <w:rsid w:val="00837BA7"/>
    <w:rsid w:val="008403BB"/>
    <w:rsid w:val="00840CC9"/>
    <w:rsid w:val="00841591"/>
    <w:rsid w:val="00842823"/>
    <w:rsid w:val="00844C6B"/>
    <w:rsid w:val="00845106"/>
    <w:rsid w:val="0085227C"/>
    <w:rsid w:val="00854568"/>
    <w:rsid w:val="008551D0"/>
    <w:rsid w:val="00856739"/>
    <w:rsid w:val="00860131"/>
    <w:rsid w:val="00860904"/>
    <w:rsid w:val="00861602"/>
    <w:rsid w:val="0086385D"/>
    <w:rsid w:val="00865FCF"/>
    <w:rsid w:val="00874C25"/>
    <w:rsid w:val="008756AB"/>
    <w:rsid w:val="008811E8"/>
    <w:rsid w:val="00881E4F"/>
    <w:rsid w:val="00884B5B"/>
    <w:rsid w:val="0088512E"/>
    <w:rsid w:val="008901FE"/>
    <w:rsid w:val="008907D2"/>
    <w:rsid w:val="00890F8E"/>
    <w:rsid w:val="00891182"/>
    <w:rsid w:val="00891669"/>
    <w:rsid w:val="00895652"/>
    <w:rsid w:val="008A1EBD"/>
    <w:rsid w:val="008A4CBC"/>
    <w:rsid w:val="008A4D97"/>
    <w:rsid w:val="008A5C42"/>
    <w:rsid w:val="008A7AAF"/>
    <w:rsid w:val="008B1D2A"/>
    <w:rsid w:val="008B309E"/>
    <w:rsid w:val="008B6835"/>
    <w:rsid w:val="008B7385"/>
    <w:rsid w:val="008C113B"/>
    <w:rsid w:val="008C38F6"/>
    <w:rsid w:val="008C3F0D"/>
    <w:rsid w:val="008C458B"/>
    <w:rsid w:val="008D0503"/>
    <w:rsid w:val="008D0897"/>
    <w:rsid w:val="008D1115"/>
    <w:rsid w:val="008D3A60"/>
    <w:rsid w:val="008D3E96"/>
    <w:rsid w:val="008D46F8"/>
    <w:rsid w:val="008D4C88"/>
    <w:rsid w:val="008D7563"/>
    <w:rsid w:val="008D7C20"/>
    <w:rsid w:val="008E0622"/>
    <w:rsid w:val="008E0C52"/>
    <w:rsid w:val="008E2332"/>
    <w:rsid w:val="008E6BD0"/>
    <w:rsid w:val="008E7449"/>
    <w:rsid w:val="008F008C"/>
    <w:rsid w:val="008F04A5"/>
    <w:rsid w:val="008F07F4"/>
    <w:rsid w:val="008F2D0F"/>
    <w:rsid w:val="008F361F"/>
    <w:rsid w:val="008F7F38"/>
    <w:rsid w:val="009003CC"/>
    <w:rsid w:val="009029B5"/>
    <w:rsid w:val="00904613"/>
    <w:rsid w:val="0090583D"/>
    <w:rsid w:val="00906AFB"/>
    <w:rsid w:val="00907C73"/>
    <w:rsid w:val="00911A79"/>
    <w:rsid w:val="009120EF"/>
    <w:rsid w:val="00914293"/>
    <w:rsid w:val="0091598D"/>
    <w:rsid w:val="00922096"/>
    <w:rsid w:val="00922D20"/>
    <w:rsid w:val="00925475"/>
    <w:rsid w:val="009259A8"/>
    <w:rsid w:val="0093226A"/>
    <w:rsid w:val="009328F8"/>
    <w:rsid w:val="009352F3"/>
    <w:rsid w:val="0093533B"/>
    <w:rsid w:val="00936265"/>
    <w:rsid w:val="009408A6"/>
    <w:rsid w:val="00941AB8"/>
    <w:rsid w:val="00944DD6"/>
    <w:rsid w:val="009458B2"/>
    <w:rsid w:val="009476F9"/>
    <w:rsid w:val="00954122"/>
    <w:rsid w:val="009562FD"/>
    <w:rsid w:val="00957BD9"/>
    <w:rsid w:val="0096217C"/>
    <w:rsid w:val="009660B3"/>
    <w:rsid w:val="00970DE9"/>
    <w:rsid w:val="00970E28"/>
    <w:rsid w:val="009715CA"/>
    <w:rsid w:val="00972135"/>
    <w:rsid w:val="00972CF5"/>
    <w:rsid w:val="0097452D"/>
    <w:rsid w:val="00980A4F"/>
    <w:rsid w:val="00983336"/>
    <w:rsid w:val="00987783"/>
    <w:rsid w:val="0099086A"/>
    <w:rsid w:val="009927C0"/>
    <w:rsid w:val="00992B68"/>
    <w:rsid w:val="00992EBF"/>
    <w:rsid w:val="0099340F"/>
    <w:rsid w:val="00995A64"/>
    <w:rsid w:val="009A0DFB"/>
    <w:rsid w:val="009A5E96"/>
    <w:rsid w:val="009A6174"/>
    <w:rsid w:val="009A7148"/>
    <w:rsid w:val="009B0AB4"/>
    <w:rsid w:val="009B2A2C"/>
    <w:rsid w:val="009B3C0C"/>
    <w:rsid w:val="009B73A3"/>
    <w:rsid w:val="009B7B33"/>
    <w:rsid w:val="009B7F48"/>
    <w:rsid w:val="009C2A63"/>
    <w:rsid w:val="009C4C6C"/>
    <w:rsid w:val="009C5A9F"/>
    <w:rsid w:val="009C5E46"/>
    <w:rsid w:val="009C7EC5"/>
    <w:rsid w:val="009D3F61"/>
    <w:rsid w:val="009D48E2"/>
    <w:rsid w:val="009D5206"/>
    <w:rsid w:val="009D5ACA"/>
    <w:rsid w:val="009D749A"/>
    <w:rsid w:val="009E0751"/>
    <w:rsid w:val="009E3015"/>
    <w:rsid w:val="009E3A3A"/>
    <w:rsid w:val="009E4CE9"/>
    <w:rsid w:val="009F00FF"/>
    <w:rsid w:val="009F13F5"/>
    <w:rsid w:val="009F1427"/>
    <w:rsid w:val="009F3893"/>
    <w:rsid w:val="009F555F"/>
    <w:rsid w:val="009F65BA"/>
    <w:rsid w:val="009F7457"/>
    <w:rsid w:val="009F766A"/>
    <w:rsid w:val="00A019B1"/>
    <w:rsid w:val="00A0468F"/>
    <w:rsid w:val="00A0653D"/>
    <w:rsid w:val="00A13CBB"/>
    <w:rsid w:val="00A1429B"/>
    <w:rsid w:val="00A1459A"/>
    <w:rsid w:val="00A17F6E"/>
    <w:rsid w:val="00A20B30"/>
    <w:rsid w:val="00A22D0B"/>
    <w:rsid w:val="00A22E63"/>
    <w:rsid w:val="00A24C07"/>
    <w:rsid w:val="00A30357"/>
    <w:rsid w:val="00A32083"/>
    <w:rsid w:val="00A32A6D"/>
    <w:rsid w:val="00A32C5D"/>
    <w:rsid w:val="00A34451"/>
    <w:rsid w:val="00A34838"/>
    <w:rsid w:val="00A4106C"/>
    <w:rsid w:val="00A45874"/>
    <w:rsid w:val="00A474ED"/>
    <w:rsid w:val="00A478D9"/>
    <w:rsid w:val="00A534E0"/>
    <w:rsid w:val="00A54C12"/>
    <w:rsid w:val="00A55CE4"/>
    <w:rsid w:val="00A62BCB"/>
    <w:rsid w:val="00A71916"/>
    <w:rsid w:val="00A74815"/>
    <w:rsid w:val="00A75B45"/>
    <w:rsid w:val="00A75C16"/>
    <w:rsid w:val="00A815D4"/>
    <w:rsid w:val="00A82293"/>
    <w:rsid w:val="00A8322F"/>
    <w:rsid w:val="00A86B77"/>
    <w:rsid w:val="00A90A3F"/>
    <w:rsid w:val="00A92012"/>
    <w:rsid w:val="00A95249"/>
    <w:rsid w:val="00AA2934"/>
    <w:rsid w:val="00AA6065"/>
    <w:rsid w:val="00AA60D8"/>
    <w:rsid w:val="00AA72F7"/>
    <w:rsid w:val="00AB4289"/>
    <w:rsid w:val="00AB48EA"/>
    <w:rsid w:val="00AB6EC4"/>
    <w:rsid w:val="00AC0A0F"/>
    <w:rsid w:val="00AC13D2"/>
    <w:rsid w:val="00AC22B9"/>
    <w:rsid w:val="00AC27B7"/>
    <w:rsid w:val="00AC7183"/>
    <w:rsid w:val="00AD17A8"/>
    <w:rsid w:val="00AD5048"/>
    <w:rsid w:val="00AD5623"/>
    <w:rsid w:val="00AD6CCC"/>
    <w:rsid w:val="00AD7D20"/>
    <w:rsid w:val="00AE1F43"/>
    <w:rsid w:val="00AE30FD"/>
    <w:rsid w:val="00AE4B1C"/>
    <w:rsid w:val="00AE5591"/>
    <w:rsid w:val="00AE56B5"/>
    <w:rsid w:val="00AF0FB5"/>
    <w:rsid w:val="00AF36EA"/>
    <w:rsid w:val="00AF429B"/>
    <w:rsid w:val="00AF487C"/>
    <w:rsid w:val="00AF4D9D"/>
    <w:rsid w:val="00AF5E8C"/>
    <w:rsid w:val="00AF69C0"/>
    <w:rsid w:val="00AF6B8A"/>
    <w:rsid w:val="00B00436"/>
    <w:rsid w:val="00B00A29"/>
    <w:rsid w:val="00B04639"/>
    <w:rsid w:val="00B0498E"/>
    <w:rsid w:val="00B04B41"/>
    <w:rsid w:val="00B066C4"/>
    <w:rsid w:val="00B06E88"/>
    <w:rsid w:val="00B1027F"/>
    <w:rsid w:val="00B12CA0"/>
    <w:rsid w:val="00B13B64"/>
    <w:rsid w:val="00B14AD7"/>
    <w:rsid w:val="00B164DB"/>
    <w:rsid w:val="00B17120"/>
    <w:rsid w:val="00B178E8"/>
    <w:rsid w:val="00B2111C"/>
    <w:rsid w:val="00B2144C"/>
    <w:rsid w:val="00B21B8C"/>
    <w:rsid w:val="00B21D3C"/>
    <w:rsid w:val="00B24CCF"/>
    <w:rsid w:val="00B25299"/>
    <w:rsid w:val="00B25D60"/>
    <w:rsid w:val="00B30393"/>
    <w:rsid w:val="00B30C01"/>
    <w:rsid w:val="00B341E4"/>
    <w:rsid w:val="00B3508D"/>
    <w:rsid w:val="00B404B2"/>
    <w:rsid w:val="00B4694E"/>
    <w:rsid w:val="00B508EA"/>
    <w:rsid w:val="00B5447B"/>
    <w:rsid w:val="00B56CBE"/>
    <w:rsid w:val="00B57570"/>
    <w:rsid w:val="00B57FE1"/>
    <w:rsid w:val="00B60FEB"/>
    <w:rsid w:val="00B63119"/>
    <w:rsid w:val="00B65542"/>
    <w:rsid w:val="00B677EE"/>
    <w:rsid w:val="00B678C5"/>
    <w:rsid w:val="00B704BC"/>
    <w:rsid w:val="00B70584"/>
    <w:rsid w:val="00B71BAB"/>
    <w:rsid w:val="00B72A8F"/>
    <w:rsid w:val="00B74C06"/>
    <w:rsid w:val="00B75311"/>
    <w:rsid w:val="00B75A5C"/>
    <w:rsid w:val="00B75D33"/>
    <w:rsid w:val="00B75F3C"/>
    <w:rsid w:val="00B7702C"/>
    <w:rsid w:val="00B77CAF"/>
    <w:rsid w:val="00B84162"/>
    <w:rsid w:val="00B8753E"/>
    <w:rsid w:val="00B87A23"/>
    <w:rsid w:val="00B87E45"/>
    <w:rsid w:val="00B91E4F"/>
    <w:rsid w:val="00B92020"/>
    <w:rsid w:val="00B92C0B"/>
    <w:rsid w:val="00B938B1"/>
    <w:rsid w:val="00B946A0"/>
    <w:rsid w:val="00B96529"/>
    <w:rsid w:val="00BA5949"/>
    <w:rsid w:val="00BA68BB"/>
    <w:rsid w:val="00BA6C91"/>
    <w:rsid w:val="00BA760A"/>
    <w:rsid w:val="00BA7BBF"/>
    <w:rsid w:val="00BA7C1A"/>
    <w:rsid w:val="00BB0685"/>
    <w:rsid w:val="00BB245A"/>
    <w:rsid w:val="00BB3EB5"/>
    <w:rsid w:val="00BB41CD"/>
    <w:rsid w:val="00BB7417"/>
    <w:rsid w:val="00BC404D"/>
    <w:rsid w:val="00BC4503"/>
    <w:rsid w:val="00BC5D24"/>
    <w:rsid w:val="00BD0127"/>
    <w:rsid w:val="00BD0275"/>
    <w:rsid w:val="00BD51F8"/>
    <w:rsid w:val="00BD53CE"/>
    <w:rsid w:val="00BD5C50"/>
    <w:rsid w:val="00BD61CB"/>
    <w:rsid w:val="00BD6399"/>
    <w:rsid w:val="00BE05B8"/>
    <w:rsid w:val="00BE0D60"/>
    <w:rsid w:val="00BE3652"/>
    <w:rsid w:val="00BE4E20"/>
    <w:rsid w:val="00BE5E3C"/>
    <w:rsid w:val="00BE6604"/>
    <w:rsid w:val="00BE7E4A"/>
    <w:rsid w:val="00BF418A"/>
    <w:rsid w:val="00C01970"/>
    <w:rsid w:val="00C02173"/>
    <w:rsid w:val="00C028F6"/>
    <w:rsid w:val="00C04D9C"/>
    <w:rsid w:val="00C073DC"/>
    <w:rsid w:val="00C0781C"/>
    <w:rsid w:val="00C11E93"/>
    <w:rsid w:val="00C13AC9"/>
    <w:rsid w:val="00C15F42"/>
    <w:rsid w:val="00C164F6"/>
    <w:rsid w:val="00C165D4"/>
    <w:rsid w:val="00C307A4"/>
    <w:rsid w:val="00C30B54"/>
    <w:rsid w:val="00C33422"/>
    <w:rsid w:val="00C41373"/>
    <w:rsid w:val="00C440DD"/>
    <w:rsid w:val="00C44336"/>
    <w:rsid w:val="00C462A4"/>
    <w:rsid w:val="00C462F1"/>
    <w:rsid w:val="00C4764B"/>
    <w:rsid w:val="00C479C2"/>
    <w:rsid w:val="00C47D52"/>
    <w:rsid w:val="00C52682"/>
    <w:rsid w:val="00C53394"/>
    <w:rsid w:val="00C5395B"/>
    <w:rsid w:val="00C55624"/>
    <w:rsid w:val="00C560DA"/>
    <w:rsid w:val="00C60261"/>
    <w:rsid w:val="00C61C25"/>
    <w:rsid w:val="00C647DB"/>
    <w:rsid w:val="00C66A53"/>
    <w:rsid w:val="00C70021"/>
    <w:rsid w:val="00C7018A"/>
    <w:rsid w:val="00C708BB"/>
    <w:rsid w:val="00C7195F"/>
    <w:rsid w:val="00C734EB"/>
    <w:rsid w:val="00C74728"/>
    <w:rsid w:val="00C74DA2"/>
    <w:rsid w:val="00C81693"/>
    <w:rsid w:val="00C821DF"/>
    <w:rsid w:val="00C85F17"/>
    <w:rsid w:val="00C87BA2"/>
    <w:rsid w:val="00C90F1D"/>
    <w:rsid w:val="00C92AE9"/>
    <w:rsid w:val="00C93F29"/>
    <w:rsid w:val="00C94A00"/>
    <w:rsid w:val="00C9501B"/>
    <w:rsid w:val="00C9664E"/>
    <w:rsid w:val="00C96814"/>
    <w:rsid w:val="00C969DF"/>
    <w:rsid w:val="00CA1B46"/>
    <w:rsid w:val="00CA38EE"/>
    <w:rsid w:val="00CA6A19"/>
    <w:rsid w:val="00CB3A4B"/>
    <w:rsid w:val="00CB4FD2"/>
    <w:rsid w:val="00CB5C9D"/>
    <w:rsid w:val="00CB66CE"/>
    <w:rsid w:val="00CB7DB2"/>
    <w:rsid w:val="00CC1508"/>
    <w:rsid w:val="00CC312D"/>
    <w:rsid w:val="00CC3334"/>
    <w:rsid w:val="00CC3B1A"/>
    <w:rsid w:val="00CC725C"/>
    <w:rsid w:val="00CD08F3"/>
    <w:rsid w:val="00CD10AF"/>
    <w:rsid w:val="00CE11FE"/>
    <w:rsid w:val="00CE41F4"/>
    <w:rsid w:val="00CE5D82"/>
    <w:rsid w:val="00CE61D3"/>
    <w:rsid w:val="00CF231C"/>
    <w:rsid w:val="00CF2CAF"/>
    <w:rsid w:val="00CF3967"/>
    <w:rsid w:val="00CF3B3A"/>
    <w:rsid w:val="00CF4BDB"/>
    <w:rsid w:val="00CF7844"/>
    <w:rsid w:val="00D01B25"/>
    <w:rsid w:val="00D02BB0"/>
    <w:rsid w:val="00D03FF0"/>
    <w:rsid w:val="00D07105"/>
    <w:rsid w:val="00D13851"/>
    <w:rsid w:val="00D155D5"/>
    <w:rsid w:val="00D2370E"/>
    <w:rsid w:val="00D316D9"/>
    <w:rsid w:val="00D31B63"/>
    <w:rsid w:val="00D32A4E"/>
    <w:rsid w:val="00D337D7"/>
    <w:rsid w:val="00D35BA0"/>
    <w:rsid w:val="00D364D6"/>
    <w:rsid w:val="00D402BD"/>
    <w:rsid w:val="00D40DD5"/>
    <w:rsid w:val="00D40F4F"/>
    <w:rsid w:val="00D42437"/>
    <w:rsid w:val="00D468E4"/>
    <w:rsid w:val="00D511DC"/>
    <w:rsid w:val="00D517DA"/>
    <w:rsid w:val="00D547A7"/>
    <w:rsid w:val="00D547CB"/>
    <w:rsid w:val="00D54F16"/>
    <w:rsid w:val="00D56EE4"/>
    <w:rsid w:val="00D57CAF"/>
    <w:rsid w:val="00D63182"/>
    <w:rsid w:val="00D64E03"/>
    <w:rsid w:val="00D6509C"/>
    <w:rsid w:val="00D67300"/>
    <w:rsid w:val="00D70495"/>
    <w:rsid w:val="00D7057F"/>
    <w:rsid w:val="00D70EB9"/>
    <w:rsid w:val="00D723CD"/>
    <w:rsid w:val="00D74064"/>
    <w:rsid w:val="00D74780"/>
    <w:rsid w:val="00D74956"/>
    <w:rsid w:val="00D8166C"/>
    <w:rsid w:val="00D819FA"/>
    <w:rsid w:val="00D84AFF"/>
    <w:rsid w:val="00D84C2D"/>
    <w:rsid w:val="00D852EC"/>
    <w:rsid w:val="00D85817"/>
    <w:rsid w:val="00D8661A"/>
    <w:rsid w:val="00D876E3"/>
    <w:rsid w:val="00D902C6"/>
    <w:rsid w:val="00D922D0"/>
    <w:rsid w:val="00D93764"/>
    <w:rsid w:val="00D9484D"/>
    <w:rsid w:val="00D95007"/>
    <w:rsid w:val="00DA0FEB"/>
    <w:rsid w:val="00DA385B"/>
    <w:rsid w:val="00DA69D9"/>
    <w:rsid w:val="00DA73DB"/>
    <w:rsid w:val="00DB08C8"/>
    <w:rsid w:val="00DB2853"/>
    <w:rsid w:val="00DB64F1"/>
    <w:rsid w:val="00DB6FF3"/>
    <w:rsid w:val="00DC29EC"/>
    <w:rsid w:val="00DC3C4F"/>
    <w:rsid w:val="00DC4374"/>
    <w:rsid w:val="00DC47EA"/>
    <w:rsid w:val="00DC596F"/>
    <w:rsid w:val="00DC7513"/>
    <w:rsid w:val="00DC7749"/>
    <w:rsid w:val="00DC7CFF"/>
    <w:rsid w:val="00DD0DB2"/>
    <w:rsid w:val="00DD1631"/>
    <w:rsid w:val="00DD3A31"/>
    <w:rsid w:val="00DD716D"/>
    <w:rsid w:val="00DD755D"/>
    <w:rsid w:val="00DE09E6"/>
    <w:rsid w:val="00DE1F4E"/>
    <w:rsid w:val="00DE29E6"/>
    <w:rsid w:val="00DF339B"/>
    <w:rsid w:val="00DF3EA3"/>
    <w:rsid w:val="00DF56B4"/>
    <w:rsid w:val="00DF6410"/>
    <w:rsid w:val="00DF6572"/>
    <w:rsid w:val="00E027D6"/>
    <w:rsid w:val="00E03B41"/>
    <w:rsid w:val="00E11B51"/>
    <w:rsid w:val="00E12338"/>
    <w:rsid w:val="00E14940"/>
    <w:rsid w:val="00E162D6"/>
    <w:rsid w:val="00E1708F"/>
    <w:rsid w:val="00E22104"/>
    <w:rsid w:val="00E22CDD"/>
    <w:rsid w:val="00E250E6"/>
    <w:rsid w:val="00E26791"/>
    <w:rsid w:val="00E26B54"/>
    <w:rsid w:val="00E3147B"/>
    <w:rsid w:val="00E32EEA"/>
    <w:rsid w:val="00E35E0C"/>
    <w:rsid w:val="00E370A0"/>
    <w:rsid w:val="00E37C8A"/>
    <w:rsid w:val="00E41230"/>
    <w:rsid w:val="00E4249A"/>
    <w:rsid w:val="00E427BD"/>
    <w:rsid w:val="00E4435E"/>
    <w:rsid w:val="00E46496"/>
    <w:rsid w:val="00E502BB"/>
    <w:rsid w:val="00E50932"/>
    <w:rsid w:val="00E5098F"/>
    <w:rsid w:val="00E52508"/>
    <w:rsid w:val="00E52C34"/>
    <w:rsid w:val="00E5361D"/>
    <w:rsid w:val="00E54523"/>
    <w:rsid w:val="00E54EA9"/>
    <w:rsid w:val="00E56E6A"/>
    <w:rsid w:val="00E571C2"/>
    <w:rsid w:val="00E64B3A"/>
    <w:rsid w:val="00E67E80"/>
    <w:rsid w:val="00E7026E"/>
    <w:rsid w:val="00E709A9"/>
    <w:rsid w:val="00E80F9A"/>
    <w:rsid w:val="00E83369"/>
    <w:rsid w:val="00E863EF"/>
    <w:rsid w:val="00E87E46"/>
    <w:rsid w:val="00E91261"/>
    <w:rsid w:val="00E949EE"/>
    <w:rsid w:val="00E97807"/>
    <w:rsid w:val="00EA0E01"/>
    <w:rsid w:val="00EA164D"/>
    <w:rsid w:val="00EA21CA"/>
    <w:rsid w:val="00EA2541"/>
    <w:rsid w:val="00EB124B"/>
    <w:rsid w:val="00EB2B0A"/>
    <w:rsid w:val="00EB3370"/>
    <w:rsid w:val="00EB3C40"/>
    <w:rsid w:val="00EB4CC6"/>
    <w:rsid w:val="00EB53AE"/>
    <w:rsid w:val="00EB54B5"/>
    <w:rsid w:val="00EC0A1D"/>
    <w:rsid w:val="00EC0FF7"/>
    <w:rsid w:val="00EC13CC"/>
    <w:rsid w:val="00ED1230"/>
    <w:rsid w:val="00ED1434"/>
    <w:rsid w:val="00ED4762"/>
    <w:rsid w:val="00ED5DDA"/>
    <w:rsid w:val="00ED709E"/>
    <w:rsid w:val="00ED785D"/>
    <w:rsid w:val="00EE0564"/>
    <w:rsid w:val="00EE1BA1"/>
    <w:rsid w:val="00EE21B9"/>
    <w:rsid w:val="00EE4F74"/>
    <w:rsid w:val="00EE4F87"/>
    <w:rsid w:val="00EE727E"/>
    <w:rsid w:val="00EE7AB8"/>
    <w:rsid w:val="00EF06F5"/>
    <w:rsid w:val="00EF1451"/>
    <w:rsid w:val="00EF2692"/>
    <w:rsid w:val="00EF285E"/>
    <w:rsid w:val="00EF2CFE"/>
    <w:rsid w:val="00EF2E45"/>
    <w:rsid w:val="00EF4994"/>
    <w:rsid w:val="00EF633C"/>
    <w:rsid w:val="00F032AF"/>
    <w:rsid w:val="00F037A4"/>
    <w:rsid w:val="00F06D2D"/>
    <w:rsid w:val="00F10159"/>
    <w:rsid w:val="00F12607"/>
    <w:rsid w:val="00F15E35"/>
    <w:rsid w:val="00F227A3"/>
    <w:rsid w:val="00F22FA5"/>
    <w:rsid w:val="00F23A25"/>
    <w:rsid w:val="00F24601"/>
    <w:rsid w:val="00F24D1F"/>
    <w:rsid w:val="00F26AC0"/>
    <w:rsid w:val="00F27385"/>
    <w:rsid w:val="00F31690"/>
    <w:rsid w:val="00F31E6D"/>
    <w:rsid w:val="00F40EF9"/>
    <w:rsid w:val="00F424B6"/>
    <w:rsid w:val="00F46625"/>
    <w:rsid w:val="00F501C3"/>
    <w:rsid w:val="00F51AAF"/>
    <w:rsid w:val="00F51EED"/>
    <w:rsid w:val="00F52108"/>
    <w:rsid w:val="00F5484E"/>
    <w:rsid w:val="00F56F31"/>
    <w:rsid w:val="00F61BA1"/>
    <w:rsid w:val="00F6294C"/>
    <w:rsid w:val="00F62E10"/>
    <w:rsid w:val="00F67EEF"/>
    <w:rsid w:val="00F7097A"/>
    <w:rsid w:val="00F723A3"/>
    <w:rsid w:val="00F728D7"/>
    <w:rsid w:val="00F74105"/>
    <w:rsid w:val="00F74333"/>
    <w:rsid w:val="00F755B9"/>
    <w:rsid w:val="00F82650"/>
    <w:rsid w:val="00F85143"/>
    <w:rsid w:val="00F85845"/>
    <w:rsid w:val="00F867E2"/>
    <w:rsid w:val="00F90F04"/>
    <w:rsid w:val="00F915E6"/>
    <w:rsid w:val="00F93D08"/>
    <w:rsid w:val="00F94233"/>
    <w:rsid w:val="00F95B88"/>
    <w:rsid w:val="00F96CA4"/>
    <w:rsid w:val="00FA321D"/>
    <w:rsid w:val="00FA5F26"/>
    <w:rsid w:val="00FA6017"/>
    <w:rsid w:val="00FA622C"/>
    <w:rsid w:val="00FA645D"/>
    <w:rsid w:val="00FA6DEF"/>
    <w:rsid w:val="00FB270D"/>
    <w:rsid w:val="00FB2C1F"/>
    <w:rsid w:val="00FB5E2D"/>
    <w:rsid w:val="00FB715C"/>
    <w:rsid w:val="00FC31EF"/>
    <w:rsid w:val="00FC3876"/>
    <w:rsid w:val="00FC4314"/>
    <w:rsid w:val="00FC6FB9"/>
    <w:rsid w:val="00FC75AD"/>
    <w:rsid w:val="00FD5D60"/>
    <w:rsid w:val="00FD7BCD"/>
    <w:rsid w:val="00FE1E3B"/>
    <w:rsid w:val="00FE2390"/>
    <w:rsid w:val="00FE34B7"/>
    <w:rsid w:val="00FE3825"/>
    <w:rsid w:val="00FE57FD"/>
    <w:rsid w:val="00FF07AB"/>
    <w:rsid w:val="00FF2C9C"/>
    <w:rsid w:val="00FF5B1E"/>
    <w:rsid w:val="00FF7459"/>
    <w:rsid w:val="00FF74CE"/>
    <w:rsid w:val="00FF7570"/>
    <w:rsid w:val="027C0E59"/>
    <w:rsid w:val="031C69F7"/>
    <w:rsid w:val="033E7623"/>
    <w:rsid w:val="178753A6"/>
    <w:rsid w:val="18581E27"/>
    <w:rsid w:val="19C03F1C"/>
    <w:rsid w:val="1D814388"/>
    <w:rsid w:val="289447B6"/>
    <w:rsid w:val="28C055AB"/>
    <w:rsid w:val="2AF61A56"/>
    <w:rsid w:val="2D521940"/>
    <w:rsid w:val="3AAB7AFD"/>
    <w:rsid w:val="3BAC7C11"/>
    <w:rsid w:val="3D37175C"/>
    <w:rsid w:val="42F6338B"/>
    <w:rsid w:val="460B799F"/>
    <w:rsid w:val="51B82A14"/>
    <w:rsid w:val="54212AF2"/>
    <w:rsid w:val="550A3FD2"/>
    <w:rsid w:val="55BA1450"/>
    <w:rsid w:val="5A2A6288"/>
    <w:rsid w:val="644B57CC"/>
    <w:rsid w:val="657219D1"/>
    <w:rsid w:val="6B1C1E0E"/>
    <w:rsid w:val="71E73175"/>
    <w:rsid w:val="72FB6069"/>
    <w:rsid w:val="789454CF"/>
    <w:rsid w:val="7D0F3A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name="Normal Indent"/>
    <w:lsdException w:uiPriority="0" w:name="footnote text"/>
    <w:lsdException w:qFormat="1" w:unhideWhenUsed="0"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qFormat="1" w:unhideWhenUsed="0" w:uiPriority="0" w:semiHidden="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unhideWhenUsed="0" w:uiPriority="0" w:semiHidden="0" w:name="Title"/>
    <w:lsdException w:uiPriority="0" w:name="Closing"/>
    <w:lsdException w:uiPriority="0" w:name="Signature"/>
    <w:lsdException w:qFormat="1" w:uiPriority="1" w:name="Default Paragraph Font"/>
    <w:lsdException w:qFormat="1" w:uiPriority="0" w:name="Body Text"/>
    <w:lsdException w:qFormat="1"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name="FollowedHyperlink"/>
    <w:lsdException w:unhideWhenUsed="0" w:uiPriority="0" w:semiHidden="0" w:name="Strong"/>
    <w:lsdException w:unhideWhenUsed="0" w:uiPriority="0" w:semiHidden="0" w:name="Emphasis"/>
    <w:lsdException w:qFormat="1" w:unhideWhenUsed="0" w:uiPriority="0" w:name="Document Map"/>
    <w:lsdException w:qFormat="1" w:unhideWhenUsed="0"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3"/>
    <w:link w:val="38"/>
    <w:qFormat/>
    <w:uiPriority w:val="0"/>
    <w:pPr>
      <w:keepNext/>
      <w:keepLines/>
      <w:numPr>
        <w:ilvl w:val="0"/>
        <w:numId w:val="1"/>
      </w:numPr>
      <w:spacing w:line="480" w:lineRule="auto"/>
      <w:jc w:val="center"/>
      <w:outlineLvl w:val="0"/>
    </w:pPr>
    <w:rPr>
      <w:b/>
      <w:bCs/>
      <w:kern w:val="44"/>
      <w:sz w:val="32"/>
      <w:szCs w:val="44"/>
    </w:rPr>
  </w:style>
  <w:style w:type="paragraph" w:styleId="4">
    <w:name w:val="heading 2"/>
    <w:basedOn w:val="1"/>
    <w:next w:val="3"/>
    <w:link w:val="39"/>
    <w:qFormat/>
    <w:uiPriority w:val="0"/>
    <w:pPr>
      <w:keepNext/>
      <w:keepLines/>
      <w:numPr>
        <w:ilvl w:val="1"/>
        <w:numId w:val="1"/>
      </w:numPr>
      <w:spacing w:line="480" w:lineRule="auto"/>
      <w:jc w:val="left"/>
      <w:outlineLvl w:val="1"/>
    </w:pPr>
    <w:rPr>
      <w:rFonts w:ascii="Arial" w:hAnsi="Arial"/>
      <w:b/>
      <w:bCs/>
      <w:sz w:val="30"/>
      <w:szCs w:val="32"/>
    </w:rPr>
  </w:style>
  <w:style w:type="paragraph" w:styleId="5">
    <w:name w:val="heading 3"/>
    <w:basedOn w:val="1"/>
    <w:next w:val="3"/>
    <w:link w:val="40"/>
    <w:qFormat/>
    <w:uiPriority w:val="0"/>
    <w:pPr>
      <w:keepNext/>
      <w:keepLines/>
      <w:numPr>
        <w:ilvl w:val="2"/>
        <w:numId w:val="1"/>
      </w:numPr>
      <w:spacing w:line="480" w:lineRule="auto"/>
      <w:jc w:val="left"/>
      <w:outlineLvl w:val="2"/>
    </w:pPr>
    <w:rPr>
      <w:b/>
      <w:bCs/>
      <w:sz w:val="28"/>
      <w:szCs w:val="32"/>
    </w:rPr>
  </w:style>
  <w:style w:type="paragraph" w:styleId="6">
    <w:name w:val="heading 4"/>
    <w:basedOn w:val="1"/>
    <w:next w:val="3"/>
    <w:link w:val="117"/>
    <w:qFormat/>
    <w:uiPriority w:val="9"/>
    <w:pPr>
      <w:keepNext/>
      <w:keepLines/>
      <w:numPr>
        <w:ilvl w:val="3"/>
        <w:numId w:val="1"/>
      </w:numPr>
      <w:tabs>
        <w:tab w:val="clear" w:pos="851"/>
      </w:tabs>
      <w:spacing w:line="480" w:lineRule="auto"/>
      <w:ind w:left="200" w:hanging="200" w:hangingChars="200"/>
      <w:jc w:val="left"/>
      <w:outlineLvl w:val="3"/>
    </w:pPr>
    <w:rPr>
      <w:rFonts w:ascii="Arial" w:hAnsi="Arial"/>
      <w:b/>
      <w:bCs/>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customStyle="1" w:styleId="3">
    <w:name w:val="正文-首行缩进"/>
    <w:basedOn w:val="1"/>
    <w:qFormat/>
    <w:uiPriority w:val="0"/>
    <w:pPr>
      <w:ind w:firstLine="200" w:firstLineChars="200"/>
    </w:pPr>
    <w:rPr>
      <w:sz w:val="28"/>
    </w:rPr>
  </w:style>
  <w:style w:type="paragraph" w:styleId="7">
    <w:name w:val="toc 7"/>
    <w:basedOn w:val="1"/>
    <w:next w:val="1"/>
    <w:unhideWhenUsed/>
    <w:qFormat/>
    <w:uiPriority w:val="39"/>
    <w:pPr>
      <w:spacing w:line="240" w:lineRule="auto"/>
      <w:ind w:left="2520" w:leftChars="1200"/>
    </w:pPr>
    <w:rPr>
      <w:rFonts w:asciiTheme="minorHAnsi" w:hAnsiTheme="minorHAnsi" w:eastAsiaTheme="minorEastAsia" w:cstheme="minorBidi"/>
      <w:sz w:val="21"/>
      <w:szCs w:val="22"/>
    </w:rPr>
  </w:style>
  <w:style w:type="paragraph" w:styleId="8">
    <w:name w:val="Normal Indent"/>
    <w:basedOn w:val="1"/>
    <w:semiHidden/>
    <w:unhideWhenUsed/>
    <w:qFormat/>
    <w:uiPriority w:val="0"/>
    <w:pPr>
      <w:ind w:firstLine="420" w:firstLineChars="200"/>
    </w:pPr>
  </w:style>
  <w:style w:type="paragraph" w:styleId="9">
    <w:name w:val="caption"/>
    <w:basedOn w:val="1"/>
    <w:next w:val="1"/>
    <w:unhideWhenUsed/>
    <w:qFormat/>
    <w:uiPriority w:val="0"/>
    <w:rPr>
      <w:rFonts w:eastAsia="黑体" w:asciiTheme="majorHAnsi" w:hAnsiTheme="majorHAnsi" w:cstheme="majorBidi"/>
      <w:sz w:val="20"/>
      <w:szCs w:val="20"/>
    </w:rPr>
  </w:style>
  <w:style w:type="paragraph" w:styleId="10">
    <w:name w:val="Document Map"/>
    <w:basedOn w:val="1"/>
    <w:link w:val="61"/>
    <w:semiHidden/>
    <w:qFormat/>
    <w:uiPriority w:val="0"/>
    <w:pPr>
      <w:shd w:val="clear" w:color="auto" w:fill="000080"/>
    </w:pPr>
  </w:style>
  <w:style w:type="paragraph" w:styleId="11">
    <w:name w:val="annotation text"/>
    <w:basedOn w:val="1"/>
    <w:link w:val="89"/>
    <w:semiHidden/>
    <w:qFormat/>
    <w:uiPriority w:val="0"/>
    <w:pPr>
      <w:spacing w:line="240" w:lineRule="auto"/>
      <w:jc w:val="left"/>
    </w:pPr>
    <w:rPr>
      <w:sz w:val="21"/>
    </w:rPr>
  </w:style>
  <w:style w:type="paragraph" w:styleId="12">
    <w:name w:val="Body Text"/>
    <w:basedOn w:val="1"/>
    <w:link w:val="99"/>
    <w:semiHidden/>
    <w:unhideWhenUsed/>
    <w:qFormat/>
    <w:uiPriority w:val="0"/>
    <w:pPr>
      <w:spacing w:after="120"/>
    </w:pPr>
  </w:style>
  <w:style w:type="paragraph" w:styleId="13">
    <w:name w:val="Body Text Indent"/>
    <w:basedOn w:val="1"/>
    <w:link w:val="98"/>
    <w:semiHidden/>
    <w:unhideWhenUsed/>
    <w:qFormat/>
    <w:uiPriority w:val="0"/>
    <w:pPr>
      <w:spacing w:after="120"/>
      <w:ind w:left="420" w:leftChars="200"/>
    </w:pPr>
  </w:style>
  <w:style w:type="paragraph" w:styleId="14">
    <w:name w:val="toc 5"/>
    <w:basedOn w:val="1"/>
    <w:next w:val="1"/>
    <w:unhideWhenUsed/>
    <w:qFormat/>
    <w:uiPriority w:val="39"/>
    <w:pPr>
      <w:spacing w:line="240" w:lineRule="auto"/>
      <w:ind w:left="1680" w:leftChars="800"/>
    </w:pPr>
    <w:rPr>
      <w:rFonts w:asciiTheme="minorHAnsi" w:hAnsiTheme="minorHAnsi" w:eastAsiaTheme="minorEastAsia" w:cstheme="minorBidi"/>
      <w:sz w:val="21"/>
      <w:szCs w:val="22"/>
    </w:rPr>
  </w:style>
  <w:style w:type="paragraph" w:styleId="15">
    <w:name w:val="toc 3"/>
    <w:basedOn w:val="1"/>
    <w:next w:val="1"/>
    <w:qFormat/>
    <w:uiPriority w:val="39"/>
    <w:pPr>
      <w:ind w:left="840" w:leftChars="400"/>
    </w:pPr>
  </w:style>
  <w:style w:type="paragraph" w:styleId="16">
    <w:name w:val="Plain Text"/>
    <w:basedOn w:val="1"/>
    <w:link w:val="86"/>
    <w:semiHidden/>
    <w:qFormat/>
    <w:uiPriority w:val="0"/>
    <w:pPr>
      <w:spacing w:line="240" w:lineRule="auto"/>
    </w:pPr>
    <w:rPr>
      <w:rFonts w:ascii="宋体" w:hAnsi="Courier New"/>
      <w:sz w:val="21"/>
      <w:szCs w:val="20"/>
      <w:lang w:val="zh-CN"/>
    </w:rPr>
  </w:style>
  <w:style w:type="paragraph" w:styleId="17">
    <w:name w:val="toc 8"/>
    <w:basedOn w:val="1"/>
    <w:next w:val="1"/>
    <w:unhideWhenUsed/>
    <w:qFormat/>
    <w:uiPriority w:val="39"/>
    <w:pPr>
      <w:spacing w:line="240" w:lineRule="auto"/>
      <w:ind w:left="2940" w:leftChars="1400"/>
    </w:pPr>
    <w:rPr>
      <w:rFonts w:asciiTheme="minorHAnsi" w:hAnsiTheme="minorHAnsi" w:eastAsiaTheme="minorEastAsia" w:cstheme="minorBidi"/>
      <w:sz w:val="21"/>
      <w:szCs w:val="22"/>
    </w:rPr>
  </w:style>
  <w:style w:type="paragraph" w:styleId="18">
    <w:name w:val="Date"/>
    <w:basedOn w:val="1"/>
    <w:next w:val="1"/>
    <w:link w:val="81"/>
    <w:qFormat/>
    <w:uiPriority w:val="0"/>
    <w:pPr>
      <w:spacing w:line="240" w:lineRule="auto"/>
      <w:ind w:left="100" w:leftChars="2500"/>
    </w:pPr>
    <w:rPr>
      <w:sz w:val="21"/>
    </w:rPr>
  </w:style>
  <w:style w:type="paragraph" w:styleId="19">
    <w:name w:val="Balloon Text"/>
    <w:basedOn w:val="1"/>
    <w:link w:val="49"/>
    <w:qFormat/>
    <w:uiPriority w:val="0"/>
    <w:pPr>
      <w:spacing w:line="240" w:lineRule="auto"/>
    </w:pPr>
    <w:rPr>
      <w:sz w:val="18"/>
      <w:szCs w:val="18"/>
    </w:rPr>
  </w:style>
  <w:style w:type="paragraph" w:styleId="20">
    <w:name w:val="footer"/>
    <w:basedOn w:val="1"/>
    <w:link w:val="44"/>
    <w:qFormat/>
    <w:uiPriority w:val="99"/>
    <w:pPr>
      <w:tabs>
        <w:tab w:val="center" w:pos="4153"/>
        <w:tab w:val="right" w:pos="8306"/>
      </w:tabs>
      <w:snapToGrid w:val="0"/>
      <w:spacing w:line="240" w:lineRule="auto"/>
      <w:jc w:val="left"/>
    </w:pPr>
    <w:rPr>
      <w:sz w:val="18"/>
      <w:szCs w:val="18"/>
    </w:rPr>
  </w:style>
  <w:style w:type="paragraph" w:styleId="21">
    <w:name w:val="header"/>
    <w:basedOn w:val="1"/>
    <w:link w:val="43"/>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22">
    <w:name w:val="toc 1"/>
    <w:basedOn w:val="1"/>
    <w:next w:val="1"/>
    <w:qFormat/>
    <w:uiPriority w:val="39"/>
  </w:style>
  <w:style w:type="paragraph" w:styleId="23">
    <w:name w:val="toc 4"/>
    <w:basedOn w:val="1"/>
    <w:next w:val="1"/>
    <w:unhideWhenUsed/>
    <w:qFormat/>
    <w:uiPriority w:val="39"/>
    <w:pPr>
      <w:spacing w:line="240" w:lineRule="auto"/>
      <w:ind w:left="1260" w:leftChars="600"/>
    </w:pPr>
    <w:rPr>
      <w:rFonts w:asciiTheme="minorHAnsi" w:hAnsiTheme="minorHAnsi" w:eastAsiaTheme="minorEastAsia" w:cstheme="minorBidi"/>
      <w:sz w:val="21"/>
      <w:szCs w:val="22"/>
    </w:rPr>
  </w:style>
  <w:style w:type="paragraph" w:styleId="24">
    <w:name w:val="List"/>
    <w:basedOn w:val="1"/>
    <w:qFormat/>
    <w:uiPriority w:val="0"/>
    <w:pPr>
      <w:ind w:left="200" w:hanging="200" w:hangingChars="200"/>
    </w:pPr>
  </w:style>
  <w:style w:type="paragraph" w:styleId="25">
    <w:name w:val="toc 6"/>
    <w:basedOn w:val="1"/>
    <w:next w:val="1"/>
    <w:unhideWhenUsed/>
    <w:qFormat/>
    <w:uiPriority w:val="39"/>
    <w:pPr>
      <w:spacing w:line="240" w:lineRule="auto"/>
      <w:ind w:left="2100" w:leftChars="1000"/>
    </w:pPr>
    <w:rPr>
      <w:rFonts w:asciiTheme="minorHAnsi" w:hAnsiTheme="minorHAnsi" w:eastAsiaTheme="minorEastAsia" w:cstheme="minorBidi"/>
      <w:sz w:val="21"/>
      <w:szCs w:val="22"/>
    </w:rPr>
  </w:style>
  <w:style w:type="paragraph" w:styleId="26">
    <w:name w:val="toc 2"/>
    <w:basedOn w:val="1"/>
    <w:next w:val="1"/>
    <w:qFormat/>
    <w:uiPriority w:val="39"/>
    <w:pPr>
      <w:tabs>
        <w:tab w:val="left" w:pos="1260"/>
        <w:tab w:val="right" w:leader="dot" w:pos="9060"/>
      </w:tabs>
      <w:ind w:left="480" w:leftChars="200"/>
    </w:pPr>
  </w:style>
  <w:style w:type="paragraph" w:styleId="27">
    <w:name w:val="toc 9"/>
    <w:basedOn w:val="1"/>
    <w:next w:val="1"/>
    <w:unhideWhenUsed/>
    <w:qFormat/>
    <w:uiPriority w:val="39"/>
    <w:pPr>
      <w:spacing w:line="240" w:lineRule="auto"/>
      <w:ind w:left="3360" w:leftChars="1600"/>
    </w:pPr>
    <w:rPr>
      <w:rFonts w:asciiTheme="minorHAnsi" w:hAnsiTheme="minorHAnsi" w:eastAsiaTheme="minorEastAsia" w:cstheme="minorBidi"/>
      <w:sz w:val="21"/>
      <w:szCs w:val="22"/>
    </w:rPr>
  </w:style>
  <w:style w:type="paragraph" w:styleId="28">
    <w:name w:val="Body Text 2"/>
    <w:basedOn w:val="1"/>
    <w:link w:val="80"/>
    <w:qFormat/>
    <w:uiPriority w:val="0"/>
    <w:pPr>
      <w:spacing w:after="120" w:line="480" w:lineRule="auto"/>
    </w:pPr>
    <w:rPr>
      <w:sz w:val="21"/>
    </w:rPr>
  </w:style>
  <w:style w:type="paragraph" w:styleId="29">
    <w:name w:val="Normal (Web)"/>
    <w:basedOn w:val="1"/>
    <w:unhideWhenUsed/>
    <w:qFormat/>
    <w:uiPriority w:val="99"/>
    <w:pPr>
      <w:widowControl/>
      <w:spacing w:before="100" w:beforeAutospacing="1" w:after="100" w:afterAutospacing="1" w:line="240" w:lineRule="auto"/>
      <w:jc w:val="left"/>
    </w:pPr>
    <w:rPr>
      <w:rFonts w:ascii="宋体" w:hAnsi="宋体" w:cs="宋体"/>
      <w:kern w:val="0"/>
    </w:rPr>
  </w:style>
  <w:style w:type="paragraph" w:styleId="30">
    <w:name w:val="annotation subject"/>
    <w:basedOn w:val="11"/>
    <w:next w:val="11"/>
    <w:link w:val="90"/>
    <w:semiHidden/>
    <w:qFormat/>
    <w:uiPriority w:val="0"/>
    <w:rPr>
      <w:b/>
      <w:bCs/>
    </w:rPr>
  </w:style>
  <w:style w:type="table" w:styleId="32">
    <w:name w:val="Table Grid"/>
    <w:basedOn w:val="3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page number"/>
    <w:basedOn w:val="33"/>
    <w:qFormat/>
    <w:uiPriority w:val="0"/>
  </w:style>
  <w:style w:type="character" w:styleId="35">
    <w:name w:val="FollowedHyperlink"/>
    <w:basedOn w:val="33"/>
    <w:semiHidden/>
    <w:unhideWhenUsed/>
    <w:qFormat/>
    <w:uiPriority w:val="99"/>
    <w:rPr>
      <w:color w:val="800080" w:themeColor="followedHyperlink"/>
      <w:u w:val="single"/>
    </w:rPr>
  </w:style>
  <w:style w:type="character" w:styleId="36">
    <w:name w:val="Hyperlink"/>
    <w:basedOn w:val="33"/>
    <w:qFormat/>
    <w:uiPriority w:val="99"/>
    <w:rPr>
      <w:color w:val="0000FF" w:themeColor="hyperlink"/>
      <w:u w:val="single"/>
    </w:rPr>
  </w:style>
  <w:style w:type="character" w:styleId="37">
    <w:name w:val="annotation reference"/>
    <w:semiHidden/>
    <w:qFormat/>
    <w:uiPriority w:val="0"/>
    <w:rPr>
      <w:sz w:val="21"/>
      <w:szCs w:val="21"/>
    </w:rPr>
  </w:style>
  <w:style w:type="character" w:customStyle="1" w:styleId="38">
    <w:name w:val="标题 1 Char"/>
    <w:basedOn w:val="33"/>
    <w:link w:val="2"/>
    <w:qFormat/>
    <w:uiPriority w:val="0"/>
    <w:rPr>
      <w:b/>
      <w:bCs/>
      <w:kern w:val="44"/>
      <w:sz w:val="32"/>
      <w:szCs w:val="44"/>
    </w:rPr>
  </w:style>
  <w:style w:type="character" w:customStyle="1" w:styleId="39">
    <w:name w:val="标题 2 Char"/>
    <w:basedOn w:val="33"/>
    <w:link w:val="4"/>
    <w:qFormat/>
    <w:uiPriority w:val="0"/>
    <w:rPr>
      <w:rFonts w:ascii="Arial" w:hAnsi="Arial"/>
      <w:b/>
      <w:bCs/>
      <w:kern w:val="2"/>
      <w:sz w:val="30"/>
      <w:szCs w:val="32"/>
    </w:rPr>
  </w:style>
  <w:style w:type="character" w:customStyle="1" w:styleId="40">
    <w:name w:val="标题 3 Char"/>
    <w:basedOn w:val="33"/>
    <w:link w:val="5"/>
    <w:qFormat/>
    <w:uiPriority w:val="0"/>
    <w:rPr>
      <w:b/>
      <w:bCs/>
      <w:kern w:val="2"/>
      <w:sz w:val="28"/>
      <w:szCs w:val="32"/>
    </w:rPr>
  </w:style>
  <w:style w:type="paragraph" w:customStyle="1" w:styleId="41">
    <w:name w:val="zr表头"/>
    <w:basedOn w:val="1"/>
    <w:next w:val="24"/>
    <w:qFormat/>
    <w:uiPriority w:val="0"/>
    <w:pPr>
      <w:tabs>
        <w:tab w:val="center" w:pos="4200"/>
        <w:tab w:val="right" w:pos="7980"/>
      </w:tabs>
    </w:pPr>
    <w:rPr>
      <w:rFonts w:ascii="黑体" w:eastAsia="黑体"/>
      <w:bCs/>
    </w:rPr>
  </w:style>
  <w:style w:type="paragraph" w:customStyle="1" w:styleId="42">
    <w:name w:val="zr图签"/>
    <w:basedOn w:val="1"/>
    <w:next w:val="1"/>
    <w:qFormat/>
    <w:uiPriority w:val="0"/>
    <w:pPr>
      <w:spacing w:line="520" w:lineRule="atLeast"/>
      <w:jc w:val="center"/>
    </w:pPr>
    <w:rPr>
      <w:rFonts w:ascii="黑体" w:eastAsia="黑体"/>
    </w:rPr>
  </w:style>
  <w:style w:type="character" w:customStyle="1" w:styleId="43">
    <w:name w:val="页眉 Char"/>
    <w:basedOn w:val="33"/>
    <w:link w:val="21"/>
    <w:qFormat/>
    <w:uiPriority w:val="0"/>
    <w:rPr>
      <w:kern w:val="2"/>
      <w:sz w:val="18"/>
      <w:szCs w:val="18"/>
    </w:rPr>
  </w:style>
  <w:style w:type="character" w:customStyle="1" w:styleId="44">
    <w:name w:val="页脚 Char1"/>
    <w:basedOn w:val="33"/>
    <w:link w:val="20"/>
    <w:qFormat/>
    <w:uiPriority w:val="99"/>
    <w:rPr>
      <w:kern w:val="2"/>
      <w:sz w:val="18"/>
      <w:szCs w:val="18"/>
    </w:rPr>
  </w:style>
  <w:style w:type="paragraph" w:customStyle="1" w:styleId="45">
    <w:name w:val="表格文字"/>
    <w:basedOn w:val="1"/>
    <w:link w:val="46"/>
    <w:qFormat/>
    <w:uiPriority w:val="0"/>
    <w:pPr>
      <w:adjustRightInd w:val="0"/>
      <w:snapToGrid w:val="0"/>
      <w:spacing w:line="240" w:lineRule="atLeast"/>
      <w:jc w:val="center"/>
    </w:pPr>
    <w:rPr>
      <w:rFonts w:eastAsia="仿宋_GB2312"/>
      <w:szCs w:val="21"/>
    </w:rPr>
  </w:style>
  <w:style w:type="character" w:customStyle="1" w:styleId="46">
    <w:name w:val="表格文字 Char"/>
    <w:link w:val="45"/>
    <w:qFormat/>
    <w:uiPriority w:val="0"/>
    <w:rPr>
      <w:rFonts w:eastAsia="仿宋_GB2312"/>
      <w:kern w:val="2"/>
      <w:sz w:val="24"/>
      <w:szCs w:val="21"/>
    </w:rPr>
  </w:style>
  <w:style w:type="paragraph" w:customStyle="1" w:styleId="47">
    <w:name w:val="图签"/>
    <w:basedOn w:val="9"/>
    <w:next w:val="3"/>
    <w:link w:val="48"/>
    <w:qFormat/>
    <w:uiPriority w:val="0"/>
    <w:pPr>
      <w:adjustRightInd w:val="0"/>
      <w:snapToGrid w:val="0"/>
      <w:spacing w:line="480" w:lineRule="atLeast"/>
      <w:jc w:val="center"/>
    </w:pPr>
    <w:rPr>
      <w:rFonts w:ascii="Times New Roman" w:hAnsi="Times New Roman" w:cs="Times New Roman"/>
      <w:sz w:val="24"/>
    </w:rPr>
  </w:style>
  <w:style w:type="character" w:customStyle="1" w:styleId="48">
    <w:name w:val="图签 字符"/>
    <w:link w:val="47"/>
    <w:qFormat/>
    <w:locked/>
    <w:uiPriority w:val="0"/>
    <w:rPr>
      <w:rFonts w:eastAsia="黑体"/>
      <w:kern w:val="2"/>
      <w:sz w:val="24"/>
    </w:rPr>
  </w:style>
  <w:style w:type="character" w:customStyle="1" w:styleId="49">
    <w:name w:val="批注框文本 Char"/>
    <w:basedOn w:val="33"/>
    <w:link w:val="19"/>
    <w:qFormat/>
    <w:uiPriority w:val="0"/>
    <w:rPr>
      <w:kern w:val="2"/>
      <w:sz w:val="18"/>
      <w:szCs w:val="18"/>
    </w:rPr>
  </w:style>
  <w:style w:type="paragraph" w:customStyle="1" w:styleId="50">
    <w:name w:val="Char Char1 Char Char Char Char Char Char Char Char"/>
    <w:basedOn w:val="1"/>
    <w:qFormat/>
    <w:uiPriority w:val="0"/>
    <w:pPr>
      <w:adjustRightInd w:val="0"/>
      <w:spacing w:after="160" w:line="240" w:lineRule="exact"/>
    </w:pPr>
    <w:rPr>
      <w:rFonts w:ascii="Calibri" w:hAnsi="Calibri"/>
      <w:sz w:val="21"/>
      <w:szCs w:val="22"/>
    </w:rPr>
  </w:style>
  <w:style w:type="character" w:customStyle="1" w:styleId="51">
    <w:name w:val="font101"/>
    <w:basedOn w:val="33"/>
    <w:qFormat/>
    <w:uiPriority w:val="0"/>
    <w:rPr>
      <w:rFonts w:hint="eastAsia" w:ascii="宋体" w:hAnsi="宋体" w:eastAsia="宋体"/>
      <w:color w:val="000000"/>
      <w:sz w:val="24"/>
      <w:szCs w:val="24"/>
      <w:u w:val="none"/>
      <w:vertAlign w:val="superscript"/>
    </w:rPr>
  </w:style>
  <w:style w:type="character" w:customStyle="1" w:styleId="52">
    <w:name w:val="font61"/>
    <w:basedOn w:val="33"/>
    <w:qFormat/>
    <w:uiPriority w:val="0"/>
    <w:rPr>
      <w:rFonts w:hint="eastAsia" w:ascii="宋体" w:hAnsi="宋体" w:eastAsia="宋体" w:cs="宋体"/>
      <w:color w:val="000000"/>
      <w:sz w:val="22"/>
      <w:szCs w:val="22"/>
      <w:u w:val="none"/>
      <w:vertAlign w:val="superscript"/>
    </w:rPr>
  </w:style>
  <w:style w:type="character" w:customStyle="1" w:styleId="53">
    <w:name w:val="font11"/>
    <w:basedOn w:val="33"/>
    <w:qFormat/>
    <w:uiPriority w:val="0"/>
    <w:rPr>
      <w:rFonts w:hint="eastAsia" w:ascii="宋体" w:hAnsi="宋体" w:eastAsia="宋体" w:cs="宋体"/>
      <w:color w:val="000000"/>
      <w:sz w:val="22"/>
      <w:szCs w:val="22"/>
      <w:u w:val="none"/>
      <w:vertAlign w:val="superscript"/>
    </w:rPr>
  </w:style>
  <w:style w:type="character" w:customStyle="1" w:styleId="54">
    <w:name w:val="font01"/>
    <w:basedOn w:val="33"/>
    <w:qFormat/>
    <w:uiPriority w:val="0"/>
    <w:rPr>
      <w:rFonts w:hint="default" w:ascii="font-weight : 400" w:hAnsi="font-weight : 400" w:eastAsia="font-weight : 400" w:cs="font-weight : 400"/>
      <w:color w:val="000000"/>
      <w:sz w:val="22"/>
      <w:szCs w:val="22"/>
      <w:u w:val="none"/>
    </w:rPr>
  </w:style>
  <w:style w:type="character" w:customStyle="1" w:styleId="55">
    <w:name w:val="font81"/>
    <w:basedOn w:val="33"/>
    <w:qFormat/>
    <w:uiPriority w:val="0"/>
    <w:rPr>
      <w:color w:val="000000"/>
      <w:sz w:val="22"/>
      <w:szCs w:val="22"/>
      <w:u w:val="none"/>
    </w:rPr>
  </w:style>
  <w:style w:type="character" w:customStyle="1" w:styleId="56">
    <w:name w:val="font41"/>
    <w:basedOn w:val="33"/>
    <w:qFormat/>
    <w:uiPriority w:val="0"/>
    <w:rPr>
      <w:rFonts w:hint="eastAsia" w:ascii="宋体" w:hAnsi="宋体" w:eastAsia="宋体"/>
      <w:color w:val="000000"/>
      <w:sz w:val="22"/>
      <w:szCs w:val="22"/>
      <w:u w:val="none"/>
    </w:rPr>
  </w:style>
  <w:style w:type="character" w:customStyle="1" w:styleId="57">
    <w:name w:val="font51"/>
    <w:basedOn w:val="33"/>
    <w:qFormat/>
    <w:uiPriority w:val="0"/>
    <w:rPr>
      <w:rFonts w:ascii="font-weight : 400" w:hAnsi="font-weight : 400" w:eastAsia="font-weight : 400" w:cs="font-weight : 400"/>
      <w:color w:val="000000"/>
      <w:sz w:val="22"/>
      <w:szCs w:val="22"/>
      <w:u w:val="none"/>
      <w:vertAlign w:val="superscript"/>
    </w:rPr>
  </w:style>
  <w:style w:type="character" w:customStyle="1" w:styleId="58">
    <w:name w:val="font21"/>
    <w:basedOn w:val="33"/>
    <w:qFormat/>
    <w:uiPriority w:val="0"/>
    <w:rPr>
      <w:rFonts w:hint="eastAsia" w:ascii="宋体" w:hAnsi="宋体" w:eastAsia="宋体" w:cs="宋体"/>
      <w:color w:val="000000"/>
      <w:sz w:val="22"/>
      <w:szCs w:val="22"/>
      <w:u w:val="none"/>
    </w:rPr>
  </w:style>
  <w:style w:type="character" w:customStyle="1" w:styleId="59">
    <w:name w:val="font31"/>
    <w:basedOn w:val="33"/>
    <w:qFormat/>
    <w:uiPriority w:val="0"/>
    <w:rPr>
      <w:rFonts w:hint="eastAsia" w:ascii="宋体" w:hAnsi="宋体" w:eastAsia="宋体" w:cs="宋体"/>
      <w:color w:val="000000"/>
      <w:sz w:val="22"/>
      <w:szCs w:val="22"/>
      <w:u w:val="none"/>
      <w:vertAlign w:val="superscript"/>
    </w:rPr>
  </w:style>
  <w:style w:type="character" w:customStyle="1" w:styleId="60">
    <w:name w:val="font91"/>
    <w:basedOn w:val="33"/>
    <w:qFormat/>
    <w:uiPriority w:val="0"/>
    <w:rPr>
      <w:rFonts w:hint="eastAsia" w:ascii="宋体" w:hAnsi="宋体" w:eastAsia="宋体"/>
      <w:color w:val="000000"/>
      <w:sz w:val="22"/>
      <w:szCs w:val="22"/>
      <w:u w:val="none"/>
      <w:vertAlign w:val="superscript"/>
    </w:rPr>
  </w:style>
  <w:style w:type="character" w:customStyle="1" w:styleId="61">
    <w:name w:val="文档结构图 Char"/>
    <w:basedOn w:val="33"/>
    <w:link w:val="10"/>
    <w:semiHidden/>
    <w:qFormat/>
    <w:uiPriority w:val="0"/>
    <w:rPr>
      <w:kern w:val="2"/>
      <w:sz w:val="24"/>
      <w:szCs w:val="24"/>
      <w:shd w:val="clear" w:color="auto" w:fill="000080"/>
    </w:rPr>
  </w:style>
  <w:style w:type="paragraph" w:customStyle="1" w:styleId="62">
    <w:name w:val="TOC 标题1"/>
    <w:basedOn w:val="2"/>
    <w:next w:val="1"/>
    <w:unhideWhenUsed/>
    <w:qFormat/>
    <w:uiPriority w:val="39"/>
    <w:pPr>
      <w:widowControl/>
      <w:numPr>
        <w:numId w:val="0"/>
      </w:numPr>
      <w:spacing w:before="48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styleId="63">
    <w:name w:val="No Spacing"/>
    <w:link w:val="64"/>
    <w:qFormat/>
    <w:uiPriority w:val="1"/>
    <w:rPr>
      <w:rFonts w:asciiTheme="minorHAnsi" w:hAnsiTheme="minorHAnsi" w:eastAsiaTheme="minorEastAsia" w:cstheme="minorBidi"/>
      <w:sz w:val="22"/>
      <w:szCs w:val="22"/>
      <w:lang w:val="en-US" w:eastAsia="zh-CN" w:bidi="ar-SA"/>
    </w:rPr>
  </w:style>
  <w:style w:type="character" w:customStyle="1" w:styleId="64">
    <w:name w:val="无间隔 Char"/>
    <w:basedOn w:val="33"/>
    <w:link w:val="63"/>
    <w:qFormat/>
    <w:uiPriority w:val="1"/>
    <w:rPr>
      <w:rFonts w:asciiTheme="minorHAnsi" w:hAnsiTheme="minorHAnsi" w:eastAsiaTheme="minorEastAsia" w:cstheme="minorBidi"/>
      <w:sz w:val="22"/>
      <w:szCs w:val="22"/>
    </w:rPr>
  </w:style>
  <w:style w:type="paragraph" w:styleId="65">
    <w:name w:val="List Paragraph"/>
    <w:basedOn w:val="1"/>
    <w:qFormat/>
    <w:uiPriority w:val="34"/>
    <w:pPr>
      <w:ind w:firstLine="420" w:firstLineChars="200"/>
    </w:pPr>
  </w:style>
  <w:style w:type="table" w:customStyle="1" w:styleId="66">
    <w:name w:val="网格型1"/>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7">
    <w:name w:val="网格型2"/>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8">
    <w:name w:val="未处理的提及1"/>
    <w:basedOn w:val="33"/>
    <w:semiHidden/>
    <w:unhideWhenUsed/>
    <w:qFormat/>
    <w:uiPriority w:val="99"/>
    <w:rPr>
      <w:color w:val="605E5C"/>
      <w:shd w:val="clear" w:color="auto" w:fill="E1DFDD"/>
    </w:rPr>
  </w:style>
  <w:style w:type="paragraph" w:customStyle="1" w:styleId="69">
    <w:name w:val="表格1"/>
    <w:basedOn w:val="1"/>
    <w:qFormat/>
    <w:uiPriority w:val="0"/>
    <w:pPr>
      <w:spacing w:line="240" w:lineRule="atLeast"/>
      <w:jc w:val="left"/>
    </w:pPr>
    <w:rPr>
      <w:sz w:val="21"/>
    </w:rPr>
  </w:style>
  <w:style w:type="paragraph" w:customStyle="1" w:styleId="70">
    <w:name w:val="zr标题4"/>
    <w:basedOn w:val="1"/>
    <w:next w:val="71"/>
    <w:qFormat/>
    <w:uiPriority w:val="0"/>
    <w:pPr>
      <w:spacing w:line="520" w:lineRule="atLeast"/>
      <w:outlineLvl w:val="3"/>
    </w:pPr>
    <w:rPr>
      <w:rFonts w:ascii="黑体" w:eastAsia="黑体"/>
      <w:sz w:val="28"/>
    </w:rPr>
  </w:style>
  <w:style w:type="paragraph" w:customStyle="1" w:styleId="71">
    <w:name w:val="zr正文"/>
    <w:basedOn w:val="1"/>
    <w:qFormat/>
    <w:uiPriority w:val="0"/>
    <w:pPr>
      <w:spacing w:line="520" w:lineRule="atLeast"/>
    </w:pPr>
  </w:style>
  <w:style w:type="paragraph" w:customStyle="1" w:styleId="72">
    <w:name w:val="zr标题1"/>
    <w:basedOn w:val="1"/>
    <w:next w:val="73"/>
    <w:qFormat/>
    <w:uiPriority w:val="0"/>
    <w:pPr>
      <w:spacing w:line="520" w:lineRule="atLeast"/>
      <w:jc w:val="center"/>
      <w:outlineLvl w:val="0"/>
    </w:pPr>
    <w:rPr>
      <w:rFonts w:ascii="黑体" w:eastAsia="黑体"/>
      <w:sz w:val="36"/>
    </w:rPr>
  </w:style>
  <w:style w:type="paragraph" w:customStyle="1" w:styleId="73">
    <w:name w:val="zr标题2"/>
    <w:basedOn w:val="1"/>
    <w:next w:val="74"/>
    <w:qFormat/>
    <w:uiPriority w:val="0"/>
    <w:pPr>
      <w:spacing w:line="520" w:lineRule="atLeast"/>
      <w:outlineLvl w:val="1"/>
    </w:pPr>
    <w:rPr>
      <w:rFonts w:ascii="黑体" w:eastAsia="黑体"/>
      <w:sz w:val="32"/>
    </w:rPr>
  </w:style>
  <w:style w:type="paragraph" w:customStyle="1" w:styleId="74">
    <w:name w:val="zr标题3"/>
    <w:basedOn w:val="1"/>
    <w:next w:val="70"/>
    <w:qFormat/>
    <w:uiPriority w:val="0"/>
    <w:pPr>
      <w:spacing w:line="520" w:lineRule="atLeast"/>
      <w:outlineLvl w:val="2"/>
    </w:pPr>
    <w:rPr>
      <w:rFonts w:ascii="黑体" w:eastAsia="黑体"/>
      <w:sz w:val="30"/>
    </w:rPr>
  </w:style>
  <w:style w:type="paragraph" w:customStyle="1" w:styleId="75">
    <w:name w:val="zr图"/>
    <w:basedOn w:val="71"/>
    <w:next w:val="71"/>
    <w:qFormat/>
    <w:uiPriority w:val="0"/>
    <w:pPr>
      <w:jc w:val="center"/>
    </w:pPr>
    <w:rPr>
      <w:rFonts w:ascii="黑体" w:eastAsia="黑体"/>
    </w:rPr>
  </w:style>
  <w:style w:type="table" w:customStyle="1" w:styleId="76">
    <w:name w:val="网格型3"/>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7">
    <w:name w:val="font0"/>
    <w:basedOn w:val="1"/>
    <w:qFormat/>
    <w:uiPriority w:val="0"/>
    <w:pPr>
      <w:widowControl/>
      <w:spacing w:before="100" w:after="100" w:line="240" w:lineRule="auto"/>
      <w:jc w:val="left"/>
    </w:pPr>
    <w:rPr>
      <w:rFonts w:hint="eastAsia" w:ascii="宋体" w:hAnsi="宋体"/>
      <w:kern w:val="0"/>
      <w:szCs w:val="20"/>
    </w:rPr>
  </w:style>
  <w:style w:type="paragraph" w:customStyle="1" w:styleId="78">
    <w:name w:val="msolistparagraph"/>
    <w:basedOn w:val="1"/>
    <w:qFormat/>
    <w:uiPriority w:val="0"/>
    <w:pPr>
      <w:spacing w:line="240" w:lineRule="auto"/>
      <w:ind w:firstLine="420" w:firstLineChars="200"/>
    </w:pPr>
    <w:rPr>
      <w:rFonts w:ascii="Calibri" w:hAnsi="Calibri"/>
      <w:sz w:val="21"/>
      <w:szCs w:val="22"/>
    </w:rPr>
  </w:style>
  <w:style w:type="paragraph" w:customStyle="1" w:styleId="79">
    <w:name w:val="表格2"/>
    <w:basedOn w:val="1"/>
    <w:qFormat/>
    <w:uiPriority w:val="0"/>
    <w:pPr>
      <w:spacing w:line="240" w:lineRule="exact"/>
      <w:jc w:val="center"/>
    </w:pPr>
    <w:rPr>
      <w:rFonts w:ascii="宋体" w:hAnsi="宋体"/>
      <w:sz w:val="21"/>
      <w:szCs w:val="21"/>
    </w:rPr>
  </w:style>
  <w:style w:type="character" w:customStyle="1" w:styleId="80">
    <w:name w:val="正文文本 2 Char"/>
    <w:basedOn w:val="33"/>
    <w:link w:val="28"/>
    <w:qFormat/>
    <w:uiPriority w:val="0"/>
    <w:rPr>
      <w:kern w:val="2"/>
      <w:sz w:val="21"/>
      <w:szCs w:val="24"/>
    </w:rPr>
  </w:style>
  <w:style w:type="character" w:customStyle="1" w:styleId="81">
    <w:name w:val="日期 Char"/>
    <w:basedOn w:val="33"/>
    <w:link w:val="18"/>
    <w:qFormat/>
    <w:uiPriority w:val="0"/>
    <w:rPr>
      <w:kern w:val="2"/>
      <w:sz w:val="21"/>
      <w:szCs w:val="24"/>
    </w:rPr>
  </w:style>
  <w:style w:type="paragraph" w:customStyle="1" w:styleId="82">
    <w:name w:val="3"/>
    <w:basedOn w:val="1"/>
    <w:next w:val="1"/>
    <w:qFormat/>
    <w:uiPriority w:val="0"/>
    <w:pPr>
      <w:spacing w:line="240" w:lineRule="auto"/>
      <w:ind w:left="420"/>
      <w:jc w:val="left"/>
    </w:pPr>
    <w:rPr>
      <w:i/>
      <w:iCs/>
      <w:sz w:val="20"/>
      <w:szCs w:val="20"/>
    </w:rPr>
  </w:style>
  <w:style w:type="character" w:customStyle="1" w:styleId="83">
    <w:name w:val="页脚 Char"/>
    <w:qFormat/>
    <w:uiPriority w:val="0"/>
    <w:rPr>
      <w:kern w:val="2"/>
      <w:sz w:val="18"/>
      <w:szCs w:val="18"/>
    </w:rPr>
  </w:style>
  <w:style w:type="character" w:customStyle="1" w:styleId="84">
    <w:name w:val="纯文本 字符"/>
    <w:basedOn w:val="33"/>
    <w:semiHidden/>
    <w:qFormat/>
    <w:uiPriority w:val="99"/>
    <w:rPr>
      <w:rFonts w:hAnsi="Courier New" w:cs="Courier New" w:asciiTheme="minorEastAsia" w:eastAsiaTheme="minorEastAsia"/>
      <w:kern w:val="2"/>
      <w:sz w:val="24"/>
      <w:szCs w:val="24"/>
    </w:rPr>
  </w:style>
  <w:style w:type="character" w:customStyle="1" w:styleId="85">
    <w:name w:val="标题 3 Char1"/>
    <w:qFormat/>
    <w:uiPriority w:val="0"/>
    <w:rPr>
      <w:bCs/>
      <w:kern w:val="2"/>
      <w:sz w:val="28"/>
      <w:szCs w:val="32"/>
      <w:lang w:val="zh-CN" w:eastAsia="zh-CN"/>
    </w:rPr>
  </w:style>
  <w:style w:type="character" w:customStyle="1" w:styleId="86">
    <w:name w:val="纯文本 Char"/>
    <w:link w:val="16"/>
    <w:semiHidden/>
    <w:qFormat/>
    <w:uiPriority w:val="0"/>
    <w:rPr>
      <w:rFonts w:ascii="宋体" w:hAnsi="Courier New"/>
      <w:kern w:val="2"/>
      <w:sz w:val="21"/>
      <w:lang w:val="zh-CN" w:eastAsia="zh-CN"/>
    </w:rPr>
  </w:style>
  <w:style w:type="paragraph" w:customStyle="1" w:styleId="87">
    <w:name w:val="1"/>
    <w:basedOn w:val="1"/>
    <w:semiHidden/>
    <w:qFormat/>
    <w:uiPriority w:val="0"/>
    <w:pPr>
      <w:ind w:firstLine="200" w:firstLineChars="200"/>
    </w:pPr>
  </w:style>
  <w:style w:type="character" w:customStyle="1" w:styleId="88">
    <w:name w:val="Footer-Even Char1"/>
    <w:qFormat/>
    <w:uiPriority w:val="0"/>
    <w:rPr>
      <w:kern w:val="2"/>
      <w:sz w:val="18"/>
    </w:rPr>
  </w:style>
  <w:style w:type="character" w:customStyle="1" w:styleId="89">
    <w:name w:val="批注文字 Char"/>
    <w:basedOn w:val="33"/>
    <w:link w:val="11"/>
    <w:semiHidden/>
    <w:qFormat/>
    <w:uiPriority w:val="0"/>
    <w:rPr>
      <w:kern w:val="2"/>
      <w:sz w:val="21"/>
      <w:szCs w:val="24"/>
    </w:rPr>
  </w:style>
  <w:style w:type="character" w:customStyle="1" w:styleId="90">
    <w:name w:val="批注主题 Char"/>
    <w:basedOn w:val="89"/>
    <w:link w:val="30"/>
    <w:semiHidden/>
    <w:qFormat/>
    <w:uiPriority w:val="0"/>
    <w:rPr>
      <w:b/>
      <w:bCs/>
      <w:kern w:val="2"/>
      <w:sz w:val="21"/>
      <w:szCs w:val="24"/>
    </w:rPr>
  </w:style>
  <w:style w:type="character" w:customStyle="1" w:styleId="91">
    <w:name w:val="普通文字 Char Char Char Char Char Char Char Char"/>
    <w:semiHidden/>
    <w:qFormat/>
    <w:locked/>
    <w:uiPriority w:val="0"/>
    <w:rPr>
      <w:rFonts w:ascii="宋体" w:hAnsi="Courier New" w:eastAsia="宋体"/>
      <w:kern w:val="2"/>
      <w:sz w:val="21"/>
      <w:lang w:val="en-US" w:eastAsia="zh-CN" w:bidi="ar-SA"/>
    </w:rPr>
  </w:style>
  <w:style w:type="character" w:customStyle="1" w:styleId="92">
    <w:name w:val="访问过的超链接1"/>
    <w:basedOn w:val="33"/>
    <w:semiHidden/>
    <w:unhideWhenUsed/>
    <w:qFormat/>
    <w:uiPriority w:val="99"/>
    <w:rPr>
      <w:color w:val="954F72"/>
      <w:u w:val="single"/>
    </w:rPr>
  </w:style>
  <w:style w:type="table" w:customStyle="1" w:styleId="93">
    <w:name w:val="表格SZSW"/>
    <w:basedOn w:val="32"/>
    <w:qFormat/>
    <w:uiPriority w:val="99"/>
    <w:pPr>
      <w:snapToGrid w:val="0"/>
      <w:jc w:val="center"/>
    </w:pPr>
    <w:rPr>
      <w:rFonts w:eastAsia="仿宋" w:cstheme="minorBidi"/>
      <w:kern w:val="2"/>
      <w:sz w:val="21"/>
      <w:szCs w:val="24"/>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trPr>
      <w:jc w:val="center"/>
    </w:trPr>
    <w:tcPr>
      <w:vAlign w:val="center"/>
    </w:tcPr>
  </w:style>
  <w:style w:type="paragraph" w:customStyle="1" w:styleId="94">
    <w:name w:val="正文-首行缩进2字符"/>
    <w:basedOn w:val="1"/>
    <w:link w:val="96"/>
    <w:qFormat/>
    <w:uiPriority w:val="0"/>
    <w:pPr>
      <w:ind w:firstLine="480" w:firstLineChars="200"/>
    </w:pPr>
    <w:rPr>
      <w:rFonts w:eastAsia="仿宋"/>
      <w:szCs w:val="21"/>
    </w:rPr>
  </w:style>
  <w:style w:type="paragraph" w:customStyle="1" w:styleId="95">
    <w:name w:val="表签-纵向"/>
    <w:basedOn w:val="1"/>
    <w:next w:val="1"/>
    <w:link w:val="120"/>
    <w:qFormat/>
    <w:uiPriority w:val="0"/>
    <w:pPr>
      <w:tabs>
        <w:tab w:val="center" w:pos="4320"/>
      </w:tabs>
      <w:spacing w:beforeLines="50" w:afterLines="50" w:line="240" w:lineRule="auto"/>
      <w:ind w:firstLine="200" w:firstLineChars="200"/>
    </w:pPr>
    <w:rPr>
      <w:rFonts w:eastAsia="黑体"/>
      <w:szCs w:val="21"/>
    </w:rPr>
  </w:style>
  <w:style w:type="character" w:customStyle="1" w:styleId="96">
    <w:name w:val="正文-首行缩进2字符 Char"/>
    <w:basedOn w:val="33"/>
    <w:link w:val="94"/>
    <w:qFormat/>
    <w:uiPriority w:val="0"/>
    <w:rPr>
      <w:rFonts w:eastAsia="仿宋"/>
      <w:kern w:val="2"/>
      <w:sz w:val="24"/>
      <w:szCs w:val="21"/>
    </w:rPr>
  </w:style>
  <w:style w:type="paragraph" w:customStyle="1" w:styleId="97">
    <w:name w:val="样式 正文（首行缩进两字） + 首行缩进:  2 字符"/>
    <w:basedOn w:val="8"/>
    <w:qFormat/>
    <w:uiPriority w:val="0"/>
    <w:pPr>
      <w:spacing w:after="50" w:line="520" w:lineRule="exact"/>
      <w:ind w:firstLine="0" w:firstLineChars="0"/>
      <w:jc w:val="center"/>
    </w:pPr>
    <w:rPr>
      <w:spacing w:val="20"/>
      <w:kern w:val="0"/>
      <w:szCs w:val="20"/>
    </w:rPr>
  </w:style>
  <w:style w:type="character" w:customStyle="1" w:styleId="98">
    <w:name w:val="正文文本缩进 Char"/>
    <w:basedOn w:val="33"/>
    <w:link w:val="13"/>
    <w:semiHidden/>
    <w:qFormat/>
    <w:uiPriority w:val="0"/>
    <w:rPr>
      <w:kern w:val="2"/>
      <w:sz w:val="24"/>
      <w:szCs w:val="24"/>
    </w:rPr>
  </w:style>
  <w:style w:type="character" w:customStyle="1" w:styleId="99">
    <w:name w:val="正文文本 Char"/>
    <w:basedOn w:val="33"/>
    <w:link w:val="12"/>
    <w:semiHidden/>
    <w:qFormat/>
    <w:uiPriority w:val="0"/>
    <w:rPr>
      <w:kern w:val="2"/>
      <w:sz w:val="24"/>
      <w:szCs w:val="24"/>
    </w:rPr>
  </w:style>
  <w:style w:type="character" w:customStyle="1" w:styleId="100">
    <w:name w:val="apple-style-span"/>
    <w:qFormat/>
    <w:uiPriority w:val="0"/>
  </w:style>
  <w:style w:type="paragraph" w:customStyle="1" w:styleId="101">
    <w:name w:val="msonormal"/>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02">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103">
    <w:name w:val="xl66"/>
    <w:basedOn w:val="1"/>
    <w:qFormat/>
    <w:uiPriority w:val="0"/>
    <w:pPr>
      <w:widowControl/>
      <w:spacing w:before="100" w:beforeAutospacing="1" w:after="100" w:afterAutospacing="1" w:line="240" w:lineRule="auto"/>
      <w:jc w:val="left"/>
    </w:pPr>
    <w:rPr>
      <w:kern w:val="0"/>
    </w:rPr>
  </w:style>
  <w:style w:type="paragraph" w:customStyle="1" w:styleId="1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18"/>
      <w:szCs w:val="18"/>
    </w:rPr>
  </w:style>
  <w:style w:type="paragraph" w:customStyle="1" w:styleId="10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18"/>
      <w:szCs w:val="18"/>
    </w:rPr>
  </w:style>
  <w:style w:type="paragraph" w:customStyle="1" w:styleId="106">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18"/>
      <w:szCs w:val="18"/>
    </w:rPr>
  </w:style>
  <w:style w:type="paragraph" w:customStyle="1" w:styleId="107">
    <w:name w:val="font6"/>
    <w:basedOn w:val="1"/>
    <w:qFormat/>
    <w:uiPriority w:val="0"/>
    <w:pPr>
      <w:widowControl/>
      <w:spacing w:before="100" w:beforeAutospacing="1" w:after="100" w:afterAutospacing="1" w:line="240" w:lineRule="auto"/>
      <w:jc w:val="left"/>
    </w:pPr>
    <w:rPr>
      <w:rFonts w:ascii="黑体" w:hAnsi="黑体" w:eastAsia="黑体" w:cs="宋体"/>
      <w:kern w:val="0"/>
      <w:sz w:val="18"/>
      <w:szCs w:val="18"/>
    </w:rPr>
  </w:style>
  <w:style w:type="paragraph" w:customStyle="1" w:styleId="108">
    <w:name w:val="xl70"/>
    <w:basedOn w:val="1"/>
    <w:qFormat/>
    <w:uiPriority w:val="0"/>
    <w:pPr>
      <w:widowControl/>
      <w:spacing w:before="100" w:beforeAutospacing="1" w:after="100" w:afterAutospacing="1" w:line="240" w:lineRule="auto"/>
      <w:jc w:val="center"/>
    </w:pPr>
    <w:rPr>
      <w:kern w:val="0"/>
    </w:rPr>
  </w:style>
  <w:style w:type="paragraph" w:customStyle="1" w:styleId="10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000000"/>
      <w:kern w:val="0"/>
      <w:sz w:val="18"/>
      <w:szCs w:val="18"/>
    </w:rPr>
  </w:style>
  <w:style w:type="paragraph" w:customStyle="1" w:styleId="110">
    <w:name w:val="xl7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pPr>
    <w:rPr>
      <w:kern w:val="0"/>
      <w:sz w:val="18"/>
      <w:szCs w:val="18"/>
    </w:rPr>
  </w:style>
  <w:style w:type="paragraph" w:customStyle="1" w:styleId="111">
    <w:name w:val="xl73"/>
    <w:basedOn w:val="1"/>
    <w:qFormat/>
    <w:uiPriority w:val="0"/>
    <w:pPr>
      <w:widowControl/>
      <w:pBdr>
        <w:left w:val="single" w:color="auto" w:sz="4" w:space="0"/>
        <w:right w:val="single" w:color="auto" w:sz="4" w:space="0"/>
      </w:pBdr>
      <w:spacing w:before="100" w:beforeAutospacing="1" w:after="100" w:afterAutospacing="1" w:line="240" w:lineRule="auto"/>
      <w:jc w:val="center"/>
    </w:pPr>
    <w:rPr>
      <w:kern w:val="0"/>
      <w:sz w:val="18"/>
      <w:szCs w:val="18"/>
    </w:rPr>
  </w:style>
  <w:style w:type="paragraph" w:customStyle="1" w:styleId="112">
    <w:name w:val="xl74"/>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pPr>
    <w:rPr>
      <w:kern w:val="0"/>
      <w:sz w:val="18"/>
      <w:szCs w:val="18"/>
    </w:rPr>
  </w:style>
  <w:style w:type="paragraph" w:customStyle="1" w:styleId="113">
    <w:name w:val="xl7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pPr>
    <w:rPr>
      <w:kern w:val="0"/>
      <w:sz w:val="18"/>
      <w:szCs w:val="18"/>
    </w:rPr>
  </w:style>
  <w:style w:type="paragraph" w:customStyle="1" w:styleId="114">
    <w:name w:val="xl7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kern w:val="0"/>
      <w:sz w:val="18"/>
      <w:szCs w:val="18"/>
    </w:rPr>
  </w:style>
  <w:style w:type="paragraph" w:customStyle="1" w:styleId="115">
    <w:name w:val="xl77"/>
    <w:basedOn w:val="1"/>
    <w:qFormat/>
    <w:uiPriority w:val="0"/>
    <w:pPr>
      <w:widowControl/>
      <w:spacing w:before="100" w:beforeAutospacing="1" w:after="100" w:afterAutospacing="1" w:line="240" w:lineRule="auto"/>
      <w:jc w:val="center"/>
    </w:pPr>
    <w:rPr>
      <w:kern w:val="0"/>
    </w:rPr>
  </w:style>
  <w:style w:type="paragraph" w:customStyle="1" w:styleId="116">
    <w:name w:val="xl78"/>
    <w:basedOn w:val="1"/>
    <w:qFormat/>
    <w:uiPriority w:val="0"/>
    <w:pPr>
      <w:widowControl/>
      <w:spacing w:before="100" w:beforeAutospacing="1" w:after="100" w:afterAutospacing="1" w:line="240" w:lineRule="auto"/>
      <w:jc w:val="center"/>
    </w:pPr>
    <w:rPr>
      <w:rFonts w:ascii="宋体" w:hAnsi="宋体" w:cs="宋体"/>
      <w:kern w:val="0"/>
    </w:rPr>
  </w:style>
  <w:style w:type="character" w:customStyle="1" w:styleId="117">
    <w:name w:val="标题 4 Char"/>
    <w:basedOn w:val="33"/>
    <w:link w:val="6"/>
    <w:qFormat/>
    <w:uiPriority w:val="9"/>
    <w:rPr>
      <w:rFonts w:ascii="Arial" w:hAnsi="Arial"/>
      <w:b/>
      <w:bCs/>
      <w:kern w:val="2"/>
      <w:sz w:val="28"/>
      <w:szCs w:val="28"/>
    </w:rPr>
  </w:style>
  <w:style w:type="paragraph" w:customStyle="1" w:styleId="118">
    <w:name w:val="表签-横向"/>
    <w:basedOn w:val="95"/>
    <w:next w:val="1"/>
    <w:link w:val="121"/>
    <w:qFormat/>
    <w:uiPriority w:val="0"/>
    <w:pPr>
      <w:tabs>
        <w:tab w:val="center" w:pos="6720"/>
        <w:tab w:val="clear" w:pos="4320"/>
      </w:tabs>
      <w:spacing w:before="163" w:after="163"/>
      <w:ind w:firstLine="480"/>
    </w:pPr>
  </w:style>
  <w:style w:type="paragraph" w:customStyle="1" w:styleId="119">
    <w:name w:val="正文-居中"/>
    <w:basedOn w:val="1"/>
    <w:next w:val="3"/>
    <w:link w:val="122"/>
    <w:qFormat/>
    <w:uiPriority w:val="0"/>
    <w:pPr>
      <w:jc w:val="center"/>
    </w:pPr>
  </w:style>
  <w:style w:type="character" w:customStyle="1" w:styleId="120">
    <w:name w:val="表签-纵向 字符"/>
    <w:basedOn w:val="33"/>
    <w:link w:val="95"/>
    <w:qFormat/>
    <w:uiPriority w:val="0"/>
    <w:rPr>
      <w:rFonts w:eastAsia="黑体"/>
      <w:kern w:val="2"/>
      <w:sz w:val="24"/>
      <w:szCs w:val="21"/>
    </w:rPr>
  </w:style>
  <w:style w:type="character" w:customStyle="1" w:styleId="121">
    <w:name w:val="表签-横向 字符"/>
    <w:basedOn w:val="120"/>
    <w:link w:val="118"/>
    <w:qFormat/>
    <w:uiPriority w:val="0"/>
    <w:rPr>
      <w:rFonts w:eastAsia="黑体"/>
      <w:kern w:val="2"/>
      <w:sz w:val="24"/>
      <w:szCs w:val="21"/>
    </w:rPr>
  </w:style>
  <w:style w:type="character" w:customStyle="1" w:styleId="122">
    <w:name w:val="正文-居中 字符"/>
    <w:basedOn w:val="33"/>
    <w:link w:val="119"/>
    <w:qFormat/>
    <w:uiPriority w:val="0"/>
    <w:rPr>
      <w:kern w:val="2"/>
      <w:sz w:val="24"/>
      <w:szCs w:val="24"/>
    </w:rPr>
  </w:style>
  <w:style w:type="paragraph" w:customStyle="1" w:styleId="123">
    <w:name w:val="正文-缩进"/>
    <w:basedOn w:val="1"/>
    <w:qFormat/>
    <w:uiPriority w:val="0"/>
    <w:pPr>
      <w:spacing w:line="240" w:lineRule="auto"/>
      <w:ind w:firstLine="200" w:firstLineChars="200"/>
    </w:pPr>
    <w:rPr>
      <w:rFonts w:eastAsia="仿宋"/>
      <w:sz w:val="28"/>
    </w:rPr>
  </w:style>
  <w:style w:type="paragraph" w:customStyle="1" w:styleId="124">
    <w:name w:val="序号2"/>
    <w:qFormat/>
    <w:uiPriority w:val="0"/>
    <w:pPr>
      <w:numPr>
        <w:ilvl w:val="0"/>
        <w:numId w:val="2"/>
      </w:numPr>
      <w:tabs>
        <w:tab w:val="left" w:pos="240"/>
      </w:tabs>
      <w:adjustRightInd w:val="0"/>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25">
    <w:name w:val="序号1"/>
    <w:qFormat/>
    <w:uiPriority w:val="0"/>
    <w:pPr>
      <w:numPr>
        <w:ilvl w:val="0"/>
        <w:numId w:val="3"/>
      </w:numPr>
      <w:tabs>
        <w:tab w:val="left" w:pos="120"/>
      </w:tabs>
      <w:adjustRightInd w:val="0"/>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1&#20161;&#38125;\11&#36203;&#23665;&#27700;&#23433;&#20840;&#35268;&#21010;\6&#25253;&#21578;\&#20161;&#38125;word&#27169;&#26495;1.0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C72D5F-69A1-45AC-B610-D3F4AD85AD08}">
  <ds:schemaRefs/>
</ds:datastoreItem>
</file>

<file path=docProps/app.xml><?xml version="1.0" encoding="utf-8"?>
<Properties xmlns="http://schemas.openxmlformats.org/officeDocument/2006/extended-properties" xmlns:vt="http://schemas.openxmlformats.org/officeDocument/2006/docPropsVTypes">
  <Template>仁铭word模板1.01</Template>
  <Company>win7w.com</Company>
  <Pages>1</Pages>
  <Words>3473</Words>
  <Characters>19798</Characters>
  <Lines>164</Lines>
  <Paragraphs>46</Paragraphs>
  <TotalTime>4</TotalTime>
  <ScaleCrop>false</ScaleCrop>
  <LinksUpToDate>false</LinksUpToDate>
  <CharactersWithSpaces>23225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2021-12-15T09:14:00Z</dcterms:created>
  <dc:creator>劈</dc:creator>
  <cp:lastModifiedBy>风中的羽翼</cp:lastModifiedBy>
  <cp:lastPrinted>2021-12-16T01:52:00Z</cp:lastPrinted>
  <dcterms:modified xsi:type="dcterms:W3CDTF">2022-02-21T05:44:00Z</dcterms:modified>
  <dc:title>样式快捷键</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4CCE9EC4EE6E44C19CB1638C322C0F79</vt:lpwstr>
  </property>
</Properties>
</file>