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sz w:val="32"/>
          <w:szCs w:val="32"/>
        </w:rPr>
      </w:pPr>
    </w:p>
    <w:p>
      <w:pPr>
        <w:spacing w:line="480" w:lineRule="exact"/>
        <w:jc w:val="center"/>
        <w:rPr>
          <w:rFonts w:hint="eastAsia" w:ascii="方正小标宋简体" w:eastAsia="方正小标宋简体"/>
          <w:bCs/>
          <w:sz w:val="44"/>
          <w:szCs w:val="44"/>
          <w:lang w:eastAsia="zh-CN"/>
        </w:rPr>
      </w:pPr>
      <w:r>
        <w:rPr>
          <w:rFonts w:hint="eastAsia" w:ascii="方正小标宋简体" w:eastAsia="方正小标宋简体"/>
          <w:bCs/>
          <w:sz w:val="44"/>
          <w:szCs w:val="44"/>
        </w:rPr>
        <w:t>赫山区接待</w:t>
      </w:r>
      <w:r>
        <w:rPr>
          <w:rFonts w:hint="eastAsia" w:ascii="方正小标宋简体" w:eastAsia="方正小标宋简体"/>
          <w:bCs/>
          <w:sz w:val="44"/>
          <w:szCs w:val="44"/>
          <w:lang w:eastAsia="zh-CN"/>
        </w:rPr>
        <w:t>服务中心</w:t>
      </w:r>
      <w:r>
        <w:rPr>
          <w:rFonts w:hint="eastAsia" w:ascii="方正小标宋简体" w:eastAsia="方正小标宋简体"/>
          <w:bCs/>
          <w:sz w:val="44"/>
          <w:szCs w:val="44"/>
        </w:rPr>
        <w:t>20</w:t>
      </w:r>
      <w:r>
        <w:rPr>
          <w:rFonts w:hint="eastAsia" w:ascii="方正小标宋简体" w:eastAsia="方正小标宋简体"/>
          <w:bCs/>
          <w:sz w:val="44"/>
          <w:szCs w:val="44"/>
          <w:lang w:val="en-US" w:eastAsia="zh-CN"/>
        </w:rPr>
        <w:t>21</w:t>
      </w:r>
      <w:r>
        <w:rPr>
          <w:rFonts w:hint="eastAsia" w:ascii="方正小标宋简体" w:eastAsia="方正小标宋简体"/>
          <w:bCs/>
          <w:sz w:val="44"/>
          <w:szCs w:val="44"/>
        </w:rPr>
        <w:t>年部门整体支出绩效自评指标计分表</w:t>
      </w:r>
      <w:r>
        <w:rPr>
          <w:rFonts w:hint="eastAsia" w:ascii="方正小标宋简体" w:eastAsia="方正小标宋简体"/>
          <w:bCs/>
          <w:sz w:val="44"/>
          <w:szCs w:val="44"/>
          <w:lang w:eastAsia="zh-CN"/>
        </w:rPr>
        <w:t>（</w:t>
      </w:r>
      <w:r>
        <w:rPr>
          <w:rFonts w:hint="eastAsia" w:ascii="方正小标宋简体" w:eastAsia="方正小标宋简体"/>
          <w:bCs/>
          <w:sz w:val="44"/>
          <w:szCs w:val="44"/>
          <w:lang w:val="en-US" w:eastAsia="zh-CN"/>
        </w:rPr>
        <w:t>98</w:t>
      </w:r>
      <w:bookmarkStart w:id="0" w:name="_GoBack"/>
      <w:bookmarkEnd w:id="0"/>
      <w:r>
        <w:rPr>
          <w:rFonts w:hint="eastAsia" w:ascii="方正小标宋简体" w:eastAsia="方正小标宋简体"/>
          <w:bCs/>
          <w:sz w:val="44"/>
          <w:szCs w:val="44"/>
          <w:lang w:val="en-US" w:eastAsia="zh-CN"/>
        </w:rPr>
        <w:t>分</w:t>
      </w:r>
      <w:r>
        <w:rPr>
          <w:rFonts w:hint="eastAsia" w:ascii="方正小标宋简体" w:eastAsia="方正小标宋简体"/>
          <w:bCs/>
          <w:sz w:val="44"/>
          <w:szCs w:val="44"/>
          <w:lang w:eastAsia="zh-CN"/>
        </w:rPr>
        <w:t>）</w:t>
      </w:r>
    </w:p>
    <w:p>
      <w:pPr>
        <w:spacing w:line="80" w:lineRule="exact"/>
        <w:rPr>
          <w:rFonts w:hint="default" w:ascii="仿宋_GB2312" w:eastAsia="微软雅黑"/>
          <w:lang w:val="en-US" w:eastAsia="zh-CN"/>
        </w:rPr>
      </w:pPr>
    </w:p>
    <w:tbl>
      <w:tblPr>
        <w:tblStyle w:val="4"/>
        <w:tblpPr w:leftFromText="180" w:rightFromText="180" w:vertAnchor="text" w:horzAnchor="page" w:tblpX="1597" w:tblpY="275"/>
        <w:tblOverlap w:val="never"/>
        <w:tblW w:w="50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446"/>
        <w:gridCol w:w="2976"/>
        <w:gridCol w:w="3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305"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一级</w:t>
            </w:r>
            <w:r>
              <w:rPr>
                <w:rFonts w:hint="eastAsia" w:asciiTheme="majorEastAsia" w:hAnsiTheme="majorEastAsia" w:eastAsiaTheme="majorEastAsia"/>
                <w:bCs/>
                <w:szCs w:val="21"/>
              </w:rPr>
              <w:br w:type="textWrapping"/>
            </w:r>
            <w:r>
              <w:rPr>
                <w:rFonts w:hint="eastAsia" w:asciiTheme="majorEastAsia" w:hAnsiTheme="majorEastAsia" w:eastAsiaTheme="majorEastAsia"/>
                <w:bCs/>
                <w:szCs w:val="21"/>
              </w:rPr>
              <w:t>指标</w:t>
            </w:r>
          </w:p>
        </w:tc>
        <w:tc>
          <w:tcPr>
            <w:tcW w:w="317"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二级指标</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三级指标</w:t>
            </w:r>
          </w:p>
        </w:tc>
        <w:tc>
          <w:tcPr>
            <w:tcW w:w="248" w:type="pct"/>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自评分</w:t>
            </w:r>
          </w:p>
        </w:tc>
        <w:tc>
          <w:tcPr>
            <w:tcW w:w="1660"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指标解释</w:t>
            </w:r>
          </w:p>
        </w:tc>
        <w:tc>
          <w:tcPr>
            <w:tcW w:w="2075"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restart"/>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投   入（20分）</w:t>
            </w:r>
          </w:p>
        </w:tc>
        <w:tc>
          <w:tcPr>
            <w:tcW w:w="317"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目标</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设定（5分）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绩效目标合理性（2分）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部门所设立的整体绩效目标依据是否充分，是否符合客观实际，用以反映和考核部门整体绩效目标与部门履职、年度工作任务的相符性情况。</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绩效指标明确性（3分）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3</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部门依据整体绩效目标所设定的绩效指标是否清晰、细化、可衡量，用以反映和考核部门整体绩效目标的明细化情况。</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配置（15分）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在职人员控制率（5分）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部门本年度实际在职人员数与编制数的比率，用以反映和考核部门对人员成本的控制程度。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“三公经费”</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变动率（5分）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部门本年度“三公经费”预算数与上年度“三公经费”预算数的变动比率，用以反映和考核部门对控制重点行政成本的努力程度。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重点支出安排率（5分）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部门本年度预算安排的重点项目支出与部门项目总支出的比率，用以反映和考核部门对履行主要职责或完成重点任务的保障程度。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restart"/>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过             程（30分）</w:t>
            </w:r>
          </w:p>
        </w:tc>
        <w:tc>
          <w:tcPr>
            <w:tcW w:w="317"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执行</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（20分）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预算完成率（4分）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部门本年度预算完成数与预算数的比率，用以反映和考核部门预算完成程度。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预算调整率（2分）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部门本年度预算调整数与预算数的比率，用以反映和考核部门预算的调整程度。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支付进度率（2分）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部门实际支付进度与既定支付进度的比率，用以反映和考核部门预算执行的及时性和均衡性程度。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p>
        </w:tc>
        <w:tc>
          <w:tcPr>
            <w:tcW w:w="317" w:type="pct"/>
            <w:vMerge w:val="continue"/>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结转结余控制率（4分）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部门本年度结转结余总额与上年结转结余总额增减比例，用以反映和考核部门对存量资金的实际控制程度。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公用经费</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控制率（2分）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部门本年度实际支出的公用经费总额与预算安排的公用经费总额的比率，用以反映和考核部门对机构运转成本的实际控制程度。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“三公经费”控制率（2分）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部门本年度“三公经费”实际支出数与预算安排数的比率，用以反映和考核部门对“三公经费”的实际控制程度。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政府采购</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执行率（4分）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部门本年度实际政府采购金额与年初政府采购预算的比率，用以反映和考核部门政府采购预算执行情况。</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管理</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管理制度</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健全性（2分）</w:t>
            </w:r>
          </w:p>
        </w:tc>
        <w:tc>
          <w:tcPr>
            <w:tcW w:w="248" w:type="pct"/>
            <w:tcMar>
              <w:top w:w="10" w:type="dxa"/>
              <w:left w:w="10" w:type="dxa"/>
              <w:bottom w:w="0" w:type="dxa"/>
              <w:right w:w="10" w:type="dxa"/>
            </w:tcMar>
            <w:vAlign w:val="center"/>
          </w:tcPr>
          <w:p>
            <w:pPr>
              <w:tabs>
                <w:tab w:val="left" w:pos="2604"/>
              </w:tabs>
              <w:spacing w:line="240" w:lineRule="exact"/>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部门为加强预算管理、规范财务行为而制定的管理制度是否健全完整，用以反映和考核部门预算管理制度对完成主要职责或促进事业发展的保障情况。</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资金使用</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合规性（1分）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部门使用预算资金是否符合相关的预算财务管理制度的规定，用以反映和考核部门预算资金的规范运行情况。</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预决算信</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息公开性（1分）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部门是否按照政府信息公开有关规定公开相关预决算信息，用以反映和考核部门预决算管理的公开透明情况。</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基础信息</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完善性（1分）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部门基础信息是否完善，用以反映和考核基础信息对预算管理工作的支撑情况。</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p>
        </w:tc>
        <w:tc>
          <w:tcPr>
            <w:tcW w:w="317"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资产</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管理</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管理制度</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健全性（2分）</w:t>
            </w:r>
          </w:p>
        </w:tc>
        <w:tc>
          <w:tcPr>
            <w:tcW w:w="248" w:type="pct"/>
            <w:tcMar>
              <w:top w:w="10" w:type="dxa"/>
              <w:left w:w="10" w:type="dxa"/>
              <w:bottom w:w="0" w:type="dxa"/>
              <w:right w:w="10" w:type="dxa"/>
            </w:tcMar>
            <w:vAlign w:val="center"/>
          </w:tcPr>
          <w:p>
            <w:pPr>
              <w:tabs>
                <w:tab w:val="left" w:pos="2604"/>
              </w:tabs>
              <w:spacing w:line="240" w:lineRule="exact"/>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部门为加强资产管理、规范资产管理行为而制定的管理制度是否健全完整，用以反映和考核部门资产管理制度对完成主要职责或促进社会发展的保障情况。</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17"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资产管理</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安全性（2分）</w:t>
            </w:r>
          </w:p>
        </w:tc>
        <w:tc>
          <w:tcPr>
            <w:tcW w:w="248" w:type="pct"/>
            <w:tcMar>
              <w:top w:w="10" w:type="dxa"/>
              <w:left w:w="10" w:type="dxa"/>
              <w:bottom w:w="0" w:type="dxa"/>
              <w:right w:w="10" w:type="dxa"/>
            </w:tcMar>
            <w:vAlign w:val="center"/>
          </w:tcPr>
          <w:p>
            <w:pPr>
              <w:tabs>
                <w:tab w:val="left" w:pos="761"/>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761"/>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部门的资产是否保存完整、使用合规、配置合理、处置规范、收入及时足额上缴，用以反映和考核部门资产安全运行情况。</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17"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固定资产</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利用率（1分）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部门实际在用固定资产总额与所有固定资产总额的比率，用以反映和考核部门固定资产使用效率程度。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restart"/>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产   出（30分）</w:t>
            </w:r>
          </w:p>
        </w:tc>
        <w:tc>
          <w:tcPr>
            <w:tcW w:w="317"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职责</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履行</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实际完成率（8分）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8</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部门履行职责而实际完成工作数与计划工作数的比率，用以反映和考核部门履职工作任务目标的实现程度。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完成及时率（4分）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3</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部门在规定时限内及时完成的实际工作数与计划工作数的比率,用以反映和考核部门履职时效目标的实现程度。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完成及时率=（及时完成实际工作数/计划工作数）×100%。1-4季度各得1分</w:t>
            </w:r>
            <w:r>
              <w:rPr>
                <w:rFonts w:hint="eastAsia" w:asciiTheme="majorEastAsia" w:hAnsiTheme="majorEastAsia" w:eastAsiaTheme="majorEastAsia"/>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质量达标率（8分）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7</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达到质量标准（绩效标准值）的实际工作数与计划工作数的比率,用以反映和考核部门履职质量目标的实现程度。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重点工作</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办结率（10分）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10</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部门年度重点工作实际完成数与交办或下达数的比率，用以反映部门对重点工作的办理落实程度。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restart"/>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效   果（20分）</w:t>
            </w:r>
          </w:p>
        </w:tc>
        <w:tc>
          <w:tcPr>
            <w:tcW w:w="317"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履职</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效益（20分）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经济效益（5分）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部门履行职责对经济发展所带来的直接或间接影响。</w:t>
            </w:r>
          </w:p>
        </w:tc>
        <w:tc>
          <w:tcPr>
            <w:tcW w:w="2075" w:type="pct"/>
            <w:vMerge w:val="restar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cs="宋体" w:asciiTheme="majorEastAsia" w:hAnsiTheme="majorEastAsia" w:eastAsiaTheme="majorEastAsia"/>
                <w:szCs w:val="21"/>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社会效益（5分）</w:t>
            </w:r>
          </w:p>
        </w:tc>
        <w:tc>
          <w:tcPr>
            <w:tcW w:w="248" w:type="pct"/>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部门履行职责对社会发展所带来的直接或间接影响。</w:t>
            </w:r>
          </w:p>
        </w:tc>
        <w:tc>
          <w:tcPr>
            <w:tcW w:w="2075" w:type="pct"/>
            <w:vMerge w:val="continue"/>
            <w:vAlign w:val="center"/>
          </w:tcPr>
          <w:p>
            <w:pPr>
              <w:spacing w:line="24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生态效益（5分）</w:t>
            </w:r>
          </w:p>
        </w:tc>
        <w:tc>
          <w:tcPr>
            <w:tcW w:w="248" w:type="pct"/>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部门履行职责对生态环境所带来的直接或间接影响。</w:t>
            </w:r>
          </w:p>
        </w:tc>
        <w:tc>
          <w:tcPr>
            <w:tcW w:w="2075" w:type="pct"/>
            <w:vMerge w:val="continue"/>
            <w:vAlign w:val="center"/>
          </w:tcPr>
          <w:p>
            <w:pPr>
              <w:spacing w:line="24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7"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社会公众</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或服务对</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象满意度（5分）</w:t>
            </w:r>
          </w:p>
        </w:tc>
        <w:tc>
          <w:tcPr>
            <w:tcW w:w="248"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社会公众或部门的服务对象对部门履职效果的满意程度。</w:t>
            </w:r>
          </w:p>
        </w:tc>
        <w:tc>
          <w:tcPr>
            <w:tcW w:w="2075"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cs="宋体" w:asciiTheme="majorEastAsia" w:hAnsiTheme="majorEastAsia" w:eastAsiaTheme="majorEastAsia"/>
                <w:szCs w:val="21"/>
              </w:rPr>
              <w:t>按收集到的服务对象的满意率计算得分（5分）</w:t>
            </w:r>
          </w:p>
        </w:tc>
      </w:tr>
    </w:tbl>
    <w:p>
      <w:pPr>
        <w:spacing w:line="80" w:lineRule="exact"/>
        <w:rPr>
          <w:rFonts w:hint="default" w:ascii="仿宋_GB2312" w:eastAsia="微软雅黑"/>
          <w:lang w:val="en-US" w:eastAsia="zh-CN"/>
        </w:rPr>
      </w:pPr>
    </w:p>
    <w:p>
      <w:pPr>
        <w:spacing w:line="600" w:lineRule="exact"/>
        <w:rPr>
          <w:rFonts w:ascii="黑体" w:eastAsia="黑体"/>
          <w:szCs w:val="32"/>
        </w:rPr>
      </w:pPr>
    </w:p>
    <w:p>
      <w:pPr>
        <w:spacing w:line="600" w:lineRule="exact"/>
        <w:rPr>
          <w:rFonts w:ascii="黑体" w:eastAsia="黑体"/>
          <w:szCs w:val="32"/>
        </w:rPr>
      </w:pPr>
    </w:p>
    <w:p>
      <w:pPr>
        <w:spacing w:line="220" w:lineRule="atLeast"/>
      </w:pPr>
    </w:p>
    <w:sectPr>
      <w:footerReference r:id="rId5" w:type="default"/>
      <w:footerReference r:id="rId6" w:type="even"/>
      <w:pgSz w:w="11906" w:h="16838"/>
      <w:pgMar w:top="2098" w:right="1474" w:bottom="1985" w:left="1588" w:header="851" w:footer="1701"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351EB"/>
    <w:rsid w:val="00157B98"/>
    <w:rsid w:val="001A342B"/>
    <w:rsid w:val="001F6474"/>
    <w:rsid w:val="00323B43"/>
    <w:rsid w:val="003D37D8"/>
    <w:rsid w:val="00426133"/>
    <w:rsid w:val="004358AB"/>
    <w:rsid w:val="006E7C85"/>
    <w:rsid w:val="00707917"/>
    <w:rsid w:val="008B7726"/>
    <w:rsid w:val="00B97CAC"/>
    <w:rsid w:val="00BF5B67"/>
    <w:rsid w:val="00D31D50"/>
    <w:rsid w:val="00E773A4"/>
    <w:rsid w:val="52000EC8"/>
    <w:rsid w:val="58F27E8A"/>
    <w:rsid w:val="5E340C63"/>
    <w:rsid w:val="7D79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3553</Words>
  <Characters>3684</Characters>
  <Lines>27</Lines>
  <Paragraphs>7</Paragraphs>
  <TotalTime>3</TotalTime>
  <ScaleCrop>false</ScaleCrop>
  <LinksUpToDate>false</LinksUpToDate>
  <CharactersWithSpaces>3706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2022-04-20T23:44:00Z</cp:lastPrinted>
  <dcterms:modified xsi:type="dcterms:W3CDTF">2022-04-21T23:18:21Z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0491C12AA1D04C08B1F80D88DD617E24</vt:lpwstr>
  </property>
</Properties>
</file>