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480" w:firstLineChars="200"/>
        <w:rPr>
          <w:rFonts w:ascii="黑体" w:eastAsia="黑体"/>
          <w:sz w:val="32"/>
          <w:szCs w:val="32"/>
        </w:rPr>
      </w:pPr>
      <w:r>
        <w:rPr>
          <w:rFonts w:hint="eastAsia" w:ascii="微软雅黑" w:hAnsi="微软雅黑" w:eastAsia="微软雅黑" w:cs="微软雅黑"/>
          <w:color w:val="333333"/>
          <w:sz w:val="24"/>
          <w:shd w:val="clear" w:color="auto" w:fill="FFFFFF"/>
        </w:rPr>
        <w:t>益阳市</w:t>
      </w:r>
      <w:r>
        <w:rPr>
          <w:rFonts w:ascii="微软雅黑" w:hAnsi="微软雅黑" w:eastAsia="微软雅黑" w:cs="微软雅黑"/>
          <w:color w:val="333333"/>
          <w:sz w:val="24"/>
          <w:shd w:val="clear" w:color="auto" w:fill="FFFFFF"/>
        </w:rPr>
        <w:t>赫山区</w:t>
      </w:r>
      <w:r>
        <w:rPr>
          <w:rFonts w:hint="eastAsia" w:ascii="微软雅黑" w:hAnsi="微软雅黑" w:eastAsia="微软雅黑" w:cs="微软雅黑"/>
          <w:color w:val="333333"/>
          <w:sz w:val="24"/>
          <w:shd w:val="clear" w:color="auto" w:fill="FFFFFF"/>
        </w:rPr>
        <w:t>退役军人事务局</w:t>
      </w:r>
      <w:r>
        <w:rPr>
          <w:rFonts w:ascii="微软雅黑" w:hAnsi="微软雅黑" w:eastAsia="微软雅黑" w:cs="微软雅黑"/>
          <w:color w:val="333333"/>
          <w:sz w:val="24"/>
          <w:shd w:val="clear" w:color="auto" w:fill="FFFFFF"/>
        </w:rPr>
        <w:t>202</w:t>
      </w:r>
      <w:r>
        <w:rPr>
          <w:rFonts w:hint="eastAsia" w:ascii="微软雅黑" w:hAnsi="微软雅黑" w:eastAsia="微软雅黑" w:cs="微软雅黑"/>
          <w:color w:val="333333"/>
          <w:sz w:val="24"/>
          <w:shd w:val="clear" w:color="auto" w:fill="FFFFFF"/>
        </w:rPr>
        <w:t>1</w:t>
      </w:r>
      <w:r>
        <w:rPr>
          <w:rFonts w:ascii="微软雅黑" w:hAnsi="微软雅黑" w:eastAsia="微软雅黑" w:cs="微软雅黑"/>
          <w:color w:val="333333"/>
          <w:sz w:val="24"/>
          <w:shd w:val="clear" w:color="auto" w:fill="FFFFFF"/>
        </w:rPr>
        <w:t>年部门整体支出绩效自评指标计分表</w:t>
      </w:r>
    </w:p>
    <w:tbl>
      <w:tblPr>
        <w:tblStyle w:val="3"/>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5"/>
        <w:gridCol w:w="667"/>
        <w:gridCol w:w="889"/>
        <w:gridCol w:w="667"/>
        <w:gridCol w:w="2802"/>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9" w:hRule="atLeast"/>
          <w:tblHeader/>
          <w:jc w:val="center"/>
        </w:trPr>
        <w:tc>
          <w:tcPr>
            <w:tcW w:w="545" w:type="dxa"/>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一级</w:t>
            </w:r>
            <w:r>
              <w:rPr>
                <w:rFonts w:ascii="宋体" w:cs="宋体"/>
                <w:b/>
                <w:bCs/>
              </w:rPr>
              <w:br w:type="textWrapping"/>
            </w:r>
            <w:r>
              <w:rPr>
                <w:rFonts w:hint="eastAsia" w:ascii="宋体" w:hAnsi="宋体" w:cs="宋体"/>
                <w:b/>
                <w:bCs/>
              </w:rPr>
              <w:t>指标</w:t>
            </w:r>
          </w:p>
        </w:tc>
        <w:tc>
          <w:tcPr>
            <w:tcW w:w="667" w:type="dxa"/>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889" w:type="dxa"/>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667" w:type="dxa"/>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2802" w:type="dxa"/>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3319" w:type="dxa"/>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2" w:hRule="atLeast"/>
          <w:jc w:val="center"/>
        </w:trPr>
        <w:tc>
          <w:tcPr>
            <w:tcW w:w="545" w:type="dxa"/>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667"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目标</w:t>
            </w:r>
            <w:r>
              <w:rPr>
                <w:rFonts w:ascii="宋体" w:cs="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2</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①是否符合国家法律法规、国民经济和社会发展总体规划；</w:t>
            </w:r>
            <w:r>
              <w:rPr>
                <w:rFonts w:ascii="宋体" w:cs="宋体"/>
              </w:rPr>
              <w:br w:type="textWrapping"/>
            </w:r>
            <w:r>
              <w:rPr>
                <w:rFonts w:hint="eastAsia" w:ascii="宋体" w:hAnsi="宋体" w:cs="宋体"/>
              </w:rPr>
              <w:t>②是否符合部门“三定”方案确定的职责；</w:t>
            </w:r>
            <w:r>
              <w:rPr>
                <w:rFonts w:ascii="宋体" w:cs="宋体"/>
              </w:rPr>
              <w:br w:type="textWrapping"/>
            </w: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7" w:hRule="atLeast"/>
          <w:jc w:val="center"/>
        </w:trPr>
        <w:tc>
          <w:tcPr>
            <w:tcW w:w="545" w:type="dxa"/>
            <w:vMerge w:val="continue"/>
            <w:vAlign w:val="center"/>
          </w:tcPr>
          <w:p>
            <w:pPr>
              <w:spacing w:line="240" w:lineRule="exact"/>
              <w:rPr>
                <w:rFonts w:ascii="宋体" w:cs="宋体"/>
              </w:rPr>
            </w:pPr>
          </w:p>
        </w:tc>
        <w:tc>
          <w:tcPr>
            <w:tcW w:w="667" w:type="dxa"/>
            <w:vMerge w:val="continue"/>
            <w:vAlign w:val="center"/>
          </w:tcPr>
          <w:p>
            <w:pPr>
              <w:spacing w:line="240" w:lineRule="exact"/>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3</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①是否将部门整体的绩效目标细化分解为具体的工作任务；</w:t>
            </w:r>
            <w:r>
              <w:rPr>
                <w:rFonts w:ascii="宋体" w:cs="宋体"/>
              </w:rPr>
              <w:br w:type="textWrapping"/>
            </w:r>
            <w:r>
              <w:rPr>
                <w:rFonts w:hint="eastAsia" w:ascii="宋体" w:hAnsi="宋体" w:cs="宋体"/>
              </w:rPr>
              <w:t>②是否通过清晰、可衡量的指标值予以体现。</w:t>
            </w:r>
            <w:r>
              <w:rPr>
                <w:rFonts w:ascii="宋体" w:hAnsi="宋体" w:cs="宋体"/>
              </w:rPr>
              <w:t xml:space="preserve">    </w:t>
            </w:r>
            <w:r>
              <w:rPr>
                <w:rFonts w:hint="eastAsia" w:ascii="宋体" w:hAnsi="宋体" w:cs="宋体"/>
              </w:rPr>
              <w:t>③是否与部门年度的任务数或计划数相对应；</w:t>
            </w:r>
            <w:r>
              <w:rPr>
                <w:rFonts w:ascii="宋体" w:cs="宋体"/>
              </w:rPr>
              <w:br w:type="textWrapping"/>
            </w: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31" w:hRule="atLeast"/>
          <w:jc w:val="center"/>
        </w:trPr>
        <w:tc>
          <w:tcPr>
            <w:tcW w:w="545" w:type="dxa"/>
            <w:vMerge w:val="continue"/>
            <w:vAlign w:val="center"/>
          </w:tcPr>
          <w:p>
            <w:pPr>
              <w:spacing w:line="240" w:lineRule="exact"/>
              <w:rPr>
                <w:rFonts w:ascii="宋体" w:cs="宋体"/>
              </w:rPr>
            </w:pPr>
          </w:p>
        </w:tc>
        <w:tc>
          <w:tcPr>
            <w:tcW w:w="667"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4</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在职人员数：部门实际在职人数，以财政部确定的部门决算编制口径为准。</w:t>
            </w:r>
            <w:r>
              <w:rPr>
                <w:rFonts w:ascii="宋体" w:cs="宋体"/>
              </w:rPr>
              <w:br w:type="textWrapping"/>
            </w: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0" w:hRule="atLeast"/>
          <w:jc w:val="center"/>
        </w:trPr>
        <w:tc>
          <w:tcPr>
            <w:tcW w:w="545" w:type="dxa"/>
            <w:vMerge w:val="continue"/>
            <w:vAlign w:val="center"/>
          </w:tcPr>
          <w:p>
            <w:pPr>
              <w:spacing w:line="240" w:lineRule="exact"/>
              <w:rPr>
                <w:rFonts w:ascii="宋体" w:cs="宋体"/>
              </w:rPr>
            </w:pPr>
          </w:p>
        </w:tc>
        <w:tc>
          <w:tcPr>
            <w:tcW w:w="667" w:type="dxa"/>
            <w:vMerge w:val="continue"/>
            <w:vAlign w:val="center"/>
          </w:tcPr>
          <w:p>
            <w:pPr>
              <w:spacing w:line="240" w:lineRule="exact"/>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5</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10" w:hRule="atLeast"/>
          <w:jc w:val="center"/>
        </w:trPr>
        <w:tc>
          <w:tcPr>
            <w:tcW w:w="545" w:type="dxa"/>
            <w:vMerge w:val="continue"/>
            <w:vAlign w:val="center"/>
          </w:tcPr>
          <w:p>
            <w:pPr>
              <w:spacing w:line="240" w:lineRule="exact"/>
              <w:rPr>
                <w:rFonts w:ascii="宋体" w:cs="宋体"/>
              </w:rPr>
            </w:pPr>
          </w:p>
        </w:tc>
        <w:tc>
          <w:tcPr>
            <w:tcW w:w="667" w:type="dxa"/>
            <w:vMerge w:val="continue"/>
            <w:vAlign w:val="center"/>
          </w:tcPr>
          <w:p>
            <w:pPr>
              <w:spacing w:line="240" w:lineRule="exact"/>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5</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重点预算支出：部门年度预算安排的，与本部门履职和发展密切相关、具有明显社会和经济影响、党委政府关心或社会比较关注的预算支出支出总额。</w:t>
            </w:r>
            <w:r>
              <w:rPr>
                <w:rFonts w:ascii="宋体" w:cs="宋体"/>
              </w:rPr>
              <w:br w:type="textWrapping"/>
            </w: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2" w:hRule="atLeast"/>
          <w:jc w:val="center"/>
        </w:trPr>
        <w:tc>
          <w:tcPr>
            <w:tcW w:w="545" w:type="dxa"/>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667"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执行（</w:t>
            </w:r>
            <w:r>
              <w:rPr>
                <w:rFonts w:ascii="宋体" w:hAnsi="宋体" w:cs="宋体"/>
              </w:rPr>
              <w:t>20</w:t>
            </w:r>
            <w:r>
              <w:rPr>
                <w:rFonts w:hint="eastAsia" w:ascii="宋体" w:hAnsi="宋体" w:cs="宋体"/>
              </w:rPr>
              <w:t>分）</w:t>
            </w: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4</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预算执行数：部门本年度实际完成的预算数。</w:t>
            </w:r>
            <w:r>
              <w:rPr>
                <w:rFonts w:ascii="宋体" w:cs="宋体"/>
              </w:rPr>
              <w:br w:type="textWrapping"/>
            </w: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4" w:hRule="atLeast"/>
          <w:jc w:val="center"/>
        </w:trPr>
        <w:tc>
          <w:tcPr>
            <w:tcW w:w="545" w:type="dxa"/>
            <w:vMerge w:val="continue"/>
            <w:vAlign w:val="center"/>
          </w:tcPr>
          <w:p>
            <w:pPr>
              <w:spacing w:line="240" w:lineRule="exact"/>
              <w:jc w:val="center"/>
              <w:rPr>
                <w:rFonts w:ascii="宋体" w:cs="宋体"/>
              </w:rPr>
            </w:pPr>
          </w:p>
        </w:tc>
        <w:tc>
          <w:tcPr>
            <w:tcW w:w="667" w:type="dxa"/>
            <w:vMerge w:val="continue"/>
            <w:vAlign w:val="center"/>
          </w:tcPr>
          <w:p>
            <w:pPr>
              <w:spacing w:line="240" w:lineRule="exact"/>
              <w:jc w:val="center"/>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2</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31" w:hRule="atLeast"/>
          <w:jc w:val="center"/>
        </w:trPr>
        <w:tc>
          <w:tcPr>
            <w:tcW w:w="545" w:type="dxa"/>
            <w:vMerge w:val="continue"/>
            <w:vAlign w:val="center"/>
          </w:tcPr>
          <w:p>
            <w:pPr>
              <w:spacing w:line="240" w:lineRule="exact"/>
              <w:jc w:val="center"/>
              <w:rPr>
                <w:rFonts w:ascii="宋体" w:cs="宋体"/>
              </w:rPr>
            </w:pPr>
          </w:p>
        </w:tc>
        <w:tc>
          <w:tcPr>
            <w:tcW w:w="667" w:type="dxa"/>
            <w:vMerge w:val="continue"/>
            <w:vAlign w:val="center"/>
          </w:tcPr>
          <w:p>
            <w:pPr>
              <w:spacing w:line="240" w:lineRule="exact"/>
              <w:jc w:val="center"/>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2</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实际支付进度：部门在某一时点的支出预算执行总数与年度支出预算数的比率。</w:t>
            </w:r>
            <w:r>
              <w:rPr>
                <w:rFonts w:ascii="宋体" w:cs="宋体"/>
              </w:rPr>
              <w:br w:type="textWrapping"/>
            </w: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9" w:hRule="atLeast"/>
          <w:jc w:val="center"/>
        </w:trPr>
        <w:tc>
          <w:tcPr>
            <w:tcW w:w="545" w:type="dxa"/>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667" w:type="dxa"/>
            <w:vMerge w:val="continue"/>
            <w:tcMar>
              <w:top w:w="10" w:type="dxa"/>
              <w:left w:w="10" w:type="dxa"/>
              <w:bottom w:w="0" w:type="dxa"/>
              <w:right w:w="10" w:type="dxa"/>
            </w:tcMar>
            <w:vAlign w:val="center"/>
          </w:tcPr>
          <w:p>
            <w:pPr>
              <w:spacing w:line="240" w:lineRule="exact"/>
              <w:jc w:val="center"/>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2</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3" w:hRule="atLeast"/>
          <w:jc w:val="center"/>
        </w:trPr>
        <w:tc>
          <w:tcPr>
            <w:tcW w:w="545" w:type="dxa"/>
            <w:vMerge w:val="continue"/>
            <w:vAlign w:val="center"/>
          </w:tcPr>
          <w:p>
            <w:pPr>
              <w:spacing w:line="240" w:lineRule="exact"/>
              <w:jc w:val="center"/>
              <w:rPr>
                <w:rFonts w:ascii="宋体" w:cs="宋体"/>
              </w:rPr>
            </w:pPr>
          </w:p>
        </w:tc>
        <w:tc>
          <w:tcPr>
            <w:tcW w:w="667" w:type="dxa"/>
            <w:vMerge w:val="continue"/>
            <w:vAlign w:val="center"/>
          </w:tcPr>
          <w:p>
            <w:pPr>
              <w:spacing w:line="240" w:lineRule="exact"/>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2</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5" w:hRule="atLeast"/>
          <w:jc w:val="center"/>
        </w:trPr>
        <w:tc>
          <w:tcPr>
            <w:tcW w:w="545" w:type="dxa"/>
            <w:vMerge w:val="continue"/>
            <w:vAlign w:val="center"/>
          </w:tcPr>
          <w:p>
            <w:pPr>
              <w:spacing w:line="240" w:lineRule="exact"/>
              <w:jc w:val="center"/>
              <w:rPr>
                <w:rFonts w:ascii="宋体" w:cs="宋体"/>
              </w:rPr>
            </w:pPr>
          </w:p>
        </w:tc>
        <w:tc>
          <w:tcPr>
            <w:tcW w:w="667" w:type="dxa"/>
            <w:vMerge w:val="continue"/>
            <w:vAlign w:val="center"/>
          </w:tcPr>
          <w:p>
            <w:pPr>
              <w:spacing w:line="240" w:lineRule="exact"/>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2</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8" w:hRule="atLeast"/>
          <w:jc w:val="center"/>
        </w:trPr>
        <w:tc>
          <w:tcPr>
            <w:tcW w:w="545" w:type="dxa"/>
            <w:vMerge w:val="continue"/>
            <w:vAlign w:val="center"/>
          </w:tcPr>
          <w:p>
            <w:pPr>
              <w:spacing w:line="240" w:lineRule="exact"/>
              <w:jc w:val="center"/>
              <w:rPr>
                <w:rFonts w:ascii="宋体" w:cs="宋体"/>
              </w:rPr>
            </w:pPr>
          </w:p>
        </w:tc>
        <w:tc>
          <w:tcPr>
            <w:tcW w:w="667" w:type="dxa"/>
            <w:vMerge w:val="continue"/>
            <w:vAlign w:val="center"/>
          </w:tcPr>
          <w:p>
            <w:pPr>
              <w:spacing w:line="240" w:lineRule="exact"/>
              <w:jc w:val="center"/>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2</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0" w:hRule="atLeast"/>
          <w:jc w:val="center"/>
        </w:trPr>
        <w:tc>
          <w:tcPr>
            <w:tcW w:w="545" w:type="dxa"/>
            <w:vMerge w:val="continue"/>
            <w:vAlign w:val="center"/>
          </w:tcPr>
          <w:p>
            <w:pPr>
              <w:spacing w:line="240" w:lineRule="exact"/>
              <w:jc w:val="center"/>
              <w:rPr>
                <w:rFonts w:ascii="宋体" w:cs="宋体"/>
              </w:rPr>
            </w:pPr>
          </w:p>
        </w:tc>
        <w:tc>
          <w:tcPr>
            <w:tcW w:w="667" w:type="dxa"/>
            <w:vMerge w:val="continue"/>
            <w:vAlign w:val="center"/>
          </w:tcPr>
          <w:p>
            <w:pPr>
              <w:spacing w:line="240" w:lineRule="exact"/>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3</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政府采购预算：采购机关根据事业发展计划和行政任务编制的、并经过规定程序批准的年度政府采购计划。</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29" w:hRule="atLeast"/>
          <w:jc w:val="center"/>
        </w:trPr>
        <w:tc>
          <w:tcPr>
            <w:tcW w:w="545" w:type="dxa"/>
            <w:vMerge w:val="restart"/>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667"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2</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①是否已制定或具有预算资金管理办法、内部财务管理制度、会计核算制度等管理制度；</w:t>
            </w:r>
            <w:r>
              <w:rPr>
                <w:rFonts w:ascii="宋体" w:cs="宋体"/>
              </w:rPr>
              <w:br w:type="textWrapping"/>
            </w:r>
            <w:r>
              <w:rPr>
                <w:rFonts w:hint="eastAsia" w:ascii="宋体" w:hAnsi="宋体" w:cs="宋体"/>
              </w:rPr>
              <w:t>②相关管理制度是否合法、合规、完整；</w:t>
            </w:r>
            <w:r>
              <w:rPr>
                <w:rFonts w:ascii="宋体" w:cs="宋体"/>
              </w:rPr>
              <w:br w:type="textWrapping"/>
            </w: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37" w:hRule="atLeast"/>
          <w:jc w:val="center"/>
        </w:trPr>
        <w:tc>
          <w:tcPr>
            <w:tcW w:w="545" w:type="dxa"/>
            <w:vMerge w:val="continue"/>
            <w:vAlign w:val="center"/>
          </w:tcPr>
          <w:p>
            <w:pPr>
              <w:spacing w:line="240" w:lineRule="exact"/>
              <w:jc w:val="center"/>
              <w:rPr>
                <w:rFonts w:ascii="宋体" w:cs="宋体"/>
              </w:rPr>
            </w:pPr>
          </w:p>
        </w:tc>
        <w:tc>
          <w:tcPr>
            <w:tcW w:w="667" w:type="dxa"/>
            <w:vMerge w:val="continue"/>
            <w:vAlign w:val="center"/>
          </w:tcPr>
          <w:p>
            <w:pPr>
              <w:spacing w:line="240" w:lineRule="exact"/>
              <w:jc w:val="center"/>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1</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①是否符合国家财经法规和财务管理制度规定以及有关预算支出管理办法的规定；</w:t>
            </w:r>
            <w:r>
              <w:rPr>
                <w:rFonts w:ascii="宋体" w:cs="宋体"/>
              </w:rPr>
              <w:br w:type="textWrapping"/>
            </w:r>
            <w:r>
              <w:rPr>
                <w:rFonts w:hint="eastAsia" w:ascii="宋体" w:hAnsi="宋体" w:cs="宋体"/>
              </w:rPr>
              <w:t>②资金的拨付是否有完整的审批程序和手续；</w:t>
            </w:r>
            <w:r>
              <w:rPr>
                <w:rFonts w:ascii="宋体" w:cs="宋体"/>
              </w:rPr>
              <w:br w:type="textWrapping"/>
            </w:r>
            <w:r>
              <w:rPr>
                <w:rFonts w:hint="eastAsia" w:ascii="宋体" w:hAnsi="宋体" w:cs="宋体"/>
              </w:rPr>
              <w:t>③预算支出的重大开支是否经过评估论证；</w:t>
            </w:r>
            <w:r>
              <w:rPr>
                <w:rFonts w:ascii="宋体" w:cs="宋体"/>
              </w:rPr>
              <w:br w:type="textWrapping"/>
            </w:r>
            <w:r>
              <w:rPr>
                <w:rFonts w:hint="eastAsia" w:ascii="宋体" w:hAnsi="宋体" w:cs="宋体"/>
              </w:rPr>
              <w:t>④是否符合部门预算批复的用途；</w:t>
            </w:r>
            <w:r>
              <w:rPr>
                <w:rFonts w:ascii="宋体" w:cs="宋体"/>
              </w:rPr>
              <w:br w:type="textWrapping"/>
            </w: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2" w:hRule="atLeast"/>
          <w:jc w:val="center"/>
        </w:trPr>
        <w:tc>
          <w:tcPr>
            <w:tcW w:w="545" w:type="dxa"/>
            <w:vMerge w:val="continue"/>
            <w:vAlign w:val="center"/>
          </w:tcPr>
          <w:p>
            <w:pPr>
              <w:spacing w:line="240" w:lineRule="exact"/>
              <w:jc w:val="center"/>
              <w:rPr>
                <w:rFonts w:ascii="宋体" w:cs="宋体"/>
              </w:rPr>
            </w:pPr>
          </w:p>
        </w:tc>
        <w:tc>
          <w:tcPr>
            <w:tcW w:w="667" w:type="dxa"/>
            <w:vMerge w:val="continue"/>
            <w:vAlign w:val="center"/>
          </w:tcPr>
          <w:p>
            <w:pPr>
              <w:spacing w:line="240" w:lineRule="exact"/>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1</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①是否按规定内容公开预决算信息；</w:t>
            </w:r>
            <w:r>
              <w:rPr>
                <w:rFonts w:ascii="宋体" w:cs="宋体"/>
              </w:rPr>
              <w:br w:type="textWrapping"/>
            </w:r>
            <w:r>
              <w:rPr>
                <w:rFonts w:hint="eastAsia" w:ascii="宋体" w:hAnsi="宋体" w:cs="宋体"/>
              </w:rPr>
              <w:t>②是否按规定时限公开预决算信息。</w:t>
            </w:r>
            <w:r>
              <w:rPr>
                <w:rFonts w:ascii="宋体" w:cs="宋体"/>
              </w:rPr>
              <w:br w:type="textWrapping"/>
            </w: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7" w:hRule="atLeast"/>
          <w:jc w:val="center"/>
        </w:trPr>
        <w:tc>
          <w:tcPr>
            <w:tcW w:w="545" w:type="dxa"/>
            <w:vMerge w:val="continue"/>
            <w:vAlign w:val="center"/>
          </w:tcPr>
          <w:p>
            <w:pPr>
              <w:spacing w:line="240" w:lineRule="exact"/>
              <w:jc w:val="center"/>
              <w:rPr>
                <w:rFonts w:ascii="宋体" w:cs="宋体"/>
              </w:rPr>
            </w:pPr>
          </w:p>
        </w:tc>
        <w:tc>
          <w:tcPr>
            <w:tcW w:w="667" w:type="dxa"/>
            <w:vMerge w:val="continue"/>
            <w:vAlign w:val="center"/>
          </w:tcPr>
          <w:p>
            <w:pPr>
              <w:spacing w:line="240" w:lineRule="exact"/>
              <w:jc w:val="center"/>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1</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①基础数据信息和会计信息资料是否真实；</w:t>
            </w:r>
            <w:r>
              <w:rPr>
                <w:rFonts w:ascii="宋体" w:cs="宋体"/>
              </w:rPr>
              <w:br w:type="textWrapping"/>
            </w:r>
            <w:r>
              <w:rPr>
                <w:rFonts w:hint="eastAsia" w:ascii="宋体" w:hAnsi="宋体" w:cs="宋体"/>
              </w:rPr>
              <w:t>②基础数据信息和会计信息资料是否完整；</w:t>
            </w:r>
            <w:r>
              <w:rPr>
                <w:rFonts w:ascii="宋体" w:cs="宋体"/>
              </w:rPr>
              <w:br w:type="textWrapping"/>
            </w: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89" w:hRule="atLeast"/>
          <w:jc w:val="center"/>
        </w:trPr>
        <w:tc>
          <w:tcPr>
            <w:tcW w:w="545" w:type="dxa"/>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667"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2</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①是否已制定或具有资产管理制度；</w:t>
            </w:r>
            <w:r>
              <w:rPr>
                <w:rFonts w:ascii="宋体" w:hAnsi="宋体" w:cs="宋体"/>
              </w:rPr>
              <w:t xml:space="preserve">           </w:t>
            </w:r>
            <w:r>
              <w:rPr>
                <w:rFonts w:hint="eastAsia" w:ascii="宋体" w:hAnsi="宋体" w:cs="宋体"/>
              </w:rPr>
              <w:t>②相关资金管理制度是否合法、合规、完整；</w:t>
            </w:r>
            <w:r>
              <w:rPr>
                <w:rFonts w:ascii="宋体" w:cs="宋体"/>
              </w:rPr>
              <w:br w:type="textWrapping"/>
            </w: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7" w:hRule="atLeast"/>
          <w:jc w:val="center"/>
        </w:trPr>
        <w:tc>
          <w:tcPr>
            <w:tcW w:w="545" w:type="dxa"/>
            <w:vMerge w:val="continue"/>
            <w:vAlign w:val="center"/>
          </w:tcPr>
          <w:p>
            <w:pPr>
              <w:spacing w:line="240" w:lineRule="exact"/>
              <w:jc w:val="center"/>
              <w:rPr>
                <w:rFonts w:ascii="宋体" w:cs="宋体"/>
              </w:rPr>
            </w:pPr>
          </w:p>
        </w:tc>
        <w:tc>
          <w:tcPr>
            <w:tcW w:w="667" w:type="dxa"/>
            <w:vMerge w:val="continue"/>
            <w:vAlign w:val="center"/>
          </w:tcPr>
          <w:p>
            <w:pPr>
              <w:spacing w:line="240" w:lineRule="exact"/>
              <w:jc w:val="center"/>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667" w:type="dxa"/>
          </w:tcPr>
          <w:p>
            <w:pPr>
              <w:tabs>
                <w:tab w:val="left" w:pos="761"/>
                <w:tab w:val="left" w:pos="2604"/>
              </w:tabs>
              <w:spacing w:line="240" w:lineRule="exact"/>
              <w:ind w:left="210" w:leftChars="100" w:right="105" w:rightChars="50" w:firstLine="96" w:firstLineChars="46"/>
              <w:jc w:val="distribute"/>
              <w:rPr>
                <w:rFonts w:ascii="宋体" w:cs="宋体"/>
              </w:rPr>
            </w:pPr>
            <w:r>
              <w:rPr>
                <w:rFonts w:hint="eastAsia" w:ascii="宋体" w:cs="宋体"/>
              </w:rPr>
              <w:t>2</w:t>
            </w:r>
          </w:p>
        </w:tc>
        <w:tc>
          <w:tcPr>
            <w:tcW w:w="2802" w:type="dxa"/>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①资产保存是否完整；</w:t>
            </w:r>
            <w:r>
              <w:rPr>
                <w:rFonts w:ascii="宋体" w:cs="宋体"/>
              </w:rPr>
              <w:br w:type="textWrapping"/>
            </w:r>
            <w:r>
              <w:rPr>
                <w:rFonts w:hint="eastAsia" w:ascii="宋体" w:hAnsi="宋体" w:cs="宋体"/>
              </w:rPr>
              <w:t>②资产配置是否合理；</w:t>
            </w:r>
            <w:r>
              <w:rPr>
                <w:rFonts w:ascii="宋体" w:cs="宋体"/>
              </w:rPr>
              <w:br w:type="textWrapping"/>
            </w:r>
            <w:r>
              <w:rPr>
                <w:rFonts w:hint="eastAsia" w:ascii="宋体" w:hAnsi="宋体" w:cs="宋体"/>
              </w:rPr>
              <w:t>③资产处置是否规范；</w:t>
            </w:r>
            <w:r>
              <w:rPr>
                <w:rFonts w:ascii="宋体" w:cs="宋体"/>
              </w:rPr>
              <w:br w:type="textWrapping"/>
            </w:r>
            <w:r>
              <w:rPr>
                <w:rFonts w:hint="eastAsia" w:ascii="宋体" w:hAnsi="宋体" w:cs="宋体"/>
              </w:rPr>
              <w:t>④资产账务管理是否合规，是否帐实相符；</w:t>
            </w:r>
            <w:r>
              <w:rPr>
                <w:rFonts w:ascii="宋体" w:cs="宋体"/>
              </w:rPr>
              <w:br w:type="textWrapping"/>
            </w: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5" w:hRule="atLeast"/>
          <w:jc w:val="center"/>
        </w:trPr>
        <w:tc>
          <w:tcPr>
            <w:tcW w:w="545" w:type="dxa"/>
            <w:vMerge w:val="continue"/>
            <w:vAlign w:val="center"/>
          </w:tcPr>
          <w:p>
            <w:pPr>
              <w:spacing w:line="240" w:lineRule="exact"/>
              <w:rPr>
                <w:rFonts w:ascii="宋体" w:cs="宋体"/>
              </w:rPr>
            </w:pPr>
          </w:p>
        </w:tc>
        <w:tc>
          <w:tcPr>
            <w:tcW w:w="667" w:type="dxa"/>
            <w:vMerge w:val="continue"/>
            <w:vAlign w:val="center"/>
          </w:tcPr>
          <w:p>
            <w:pPr>
              <w:spacing w:line="240" w:lineRule="exact"/>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1</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71" w:hRule="atLeast"/>
          <w:jc w:val="center"/>
        </w:trPr>
        <w:tc>
          <w:tcPr>
            <w:tcW w:w="545" w:type="dxa"/>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667"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职责</w:t>
            </w:r>
            <w:r>
              <w:rPr>
                <w:rFonts w:ascii="宋体" w:cs="宋体"/>
              </w:rPr>
              <w:br w:type="textWrapping"/>
            </w:r>
            <w:r>
              <w:rPr>
                <w:rFonts w:hint="eastAsia" w:ascii="宋体" w:hAnsi="宋体" w:cs="宋体"/>
              </w:rPr>
              <w:t>履行（</w:t>
            </w:r>
            <w:r>
              <w:rPr>
                <w:rFonts w:ascii="宋体" w:hAnsi="宋体" w:cs="宋体"/>
              </w:rPr>
              <w:t>30</w:t>
            </w:r>
            <w:r>
              <w:rPr>
                <w:rFonts w:hint="eastAsia" w:ascii="宋体" w:hAnsi="宋体" w:cs="宋体"/>
              </w:rPr>
              <w:t>分）</w:t>
            </w: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cs="宋体"/>
              </w:rPr>
            </w:pPr>
            <w:r>
              <w:rPr>
                <w:rFonts w:hint="eastAsia" w:ascii="宋体" w:hAnsi="宋体" w:cs="宋体"/>
              </w:rPr>
              <w:t>完成率（</w:t>
            </w:r>
            <w:r>
              <w:rPr>
                <w:rFonts w:ascii="宋体" w:hAnsi="宋体" w:cs="宋体"/>
              </w:rPr>
              <w:t>8</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7</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实际完成工作数：一定时期（年度或规划期）内部门实际完成工作任务的数量。</w:t>
            </w:r>
            <w:r>
              <w:rPr>
                <w:rFonts w:ascii="宋体" w:cs="宋体"/>
              </w:rPr>
              <w:br w:type="textWrapping"/>
            </w: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3" w:hRule="atLeast"/>
          <w:jc w:val="center"/>
        </w:trPr>
        <w:tc>
          <w:tcPr>
            <w:tcW w:w="545" w:type="dxa"/>
            <w:vMerge w:val="continue"/>
            <w:textDirection w:val="tbRlV"/>
            <w:vAlign w:val="center"/>
          </w:tcPr>
          <w:p>
            <w:pPr>
              <w:spacing w:line="240" w:lineRule="exact"/>
              <w:ind w:left="113"/>
              <w:jc w:val="center"/>
              <w:rPr>
                <w:rFonts w:ascii="宋体" w:cs="宋体"/>
              </w:rPr>
            </w:pPr>
          </w:p>
        </w:tc>
        <w:tc>
          <w:tcPr>
            <w:tcW w:w="667" w:type="dxa"/>
            <w:vMerge w:val="continue"/>
            <w:vAlign w:val="center"/>
          </w:tcPr>
          <w:p>
            <w:pPr>
              <w:spacing w:line="240" w:lineRule="exact"/>
              <w:jc w:val="center"/>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cs="宋体"/>
              </w:rPr>
            </w:pPr>
            <w:r>
              <w:rPr>
                <w:rFonts w:hint="eastAsia" w:ascii="宋体" w:hAnsi="宋体" w:cs="宋体"/>
              </w:rPr>
              <w:t>及时率（</w:t>
            </w:r>
            <w:r>
              <w:rPr>
                <w:rFonts w:ascii="宋体" w:hAnsi="宋体" w:cs="宋体"/>
              </w:rPr>
              <w:t>4</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4</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75" w:hRule="atLeast"/>
          <w:jc w:val="center"/>
        </w:trPr>
        <w:tc>
          <w:tcPr>
            <w:tcW w:w="545" w:type="dxa"/>
            <w:vMerge w:val="continue"/>
            <w:vAlign w:val="center"/>
          </w:tcPr>
          <w:p>
            <w:pPr>
              <w:spacing w:line="240" w:lineRule="exact"/>
              <w:rPr>
                <w:rFonts w:ascii="宋体" w:cs="宋体"/>
              </w:rPr>
            </w:pPr>
          </w:p>
        </w:tc>
        <w:tc>
          <w:tcPr>
            <w:tcW w:w="667" w:type="dxa"/>
            <w:vMerge w:val="continue"/>
            <w:vAlign w:val="center"/>
          </w:tcPr>
          <w:p>
            <w:pPr>
              <w:spacing w:line="240" w:lineRule="exact"/>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cs="宋体"/>
              </w:rPr>
            </w:pPr>
            <w:r>
              <w:rPr>
                <w:rFonts w:hint="eastAsia" w:ascii="宋体" w:hAnsi="宋体" w:cs="宋体"/>
              </w:rPr>
              <w:t>达标率（</w:t>
            </w:r>
            <w:r>
              <w:rPr>
                <w:rFonts w:ascii="宋体" w:hAnsi="宋体" w:cs="宋体"/>
              </w:rPr>
              <w:t>8</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8</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5" w:hRule="atLeast"/>
          <w:jc w:val="center"/>
        </w:trPr>
        <w:tc>
          <w:tcPr>
            <w:tcW w:w="545" w:type="dxa"/>
            <w:vMerge w:val="continue"/>
            <w:vAlign w:val="center"/>
          </w:tcPr>
          <w:p>
            <w:pPr>
              <w:spacing w:line="240" w:lineRule="exact"/>
              <w:rPr>
                <w:rFonts w:ascii="宋体" w:cs="宋体"/>
              </w:rPr>
            </w:pPr>
          </w:p>
        </w:tc>
        <w:tc>
          <w:tcPr>
            <w:tcW w:w="667" w:type="dxa"/>
            <w:vMerge w:val="continue"/>
            <w:vAlign w:val="center"/>
          </w:tcPr>
          <w:p>
            <w:pPr>
              <w:spacing w:line="240" w:lineRule="exact"/>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9</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545" w:type="dxa"/>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667"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履职</w:t>
            </w:r>
            <w:r>
              <w:rPr>
                <w:rFonts w:ascii="宋体" w:cs="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5</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3319" w:type="dxa"/>
            <w:vMerge w:val="restar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545" w:type="dxa"/>
            <w:vMerge w:val="continue"/>
            <w:vAlign w:val="center"/>
          </w:tcPr>
          <w:p>
            <w:pPr>
              <w:spacing w:line="240" w:lineRule="exact"/>
              <w:rPr>
                <w:rFonts w:ascii="宋体" w:cs="宋体"/>
              </w:rPr>
            </w:pPr>
          </w:p>
        </w:tc>
        <w:tc>
          <w:tcPr>
            <w:tcW w:w="667" w:type="dxa"/>
            <w:vMerge w:val="continue"/>
            <w:vAlign w:val="center"/>
          </w:tcPr>
          <w:p>
            <w:pPr>
              <w:spacing w:line="240" w:lineRule="exact"/>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5</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3319" w:type="dxa"/>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545" w:type="dxa"/>
            <w:vMerge w:val="continue"/>
            <w:vAlign w:val="center"/>
          </w:tcPr>
          <w:p>
            <w:pPr>
              <w:spacing w:line="240" w:lineRule="exact"/>
              <w:rPr>
                <w:rFonts w:ascii="宋体" w:cs="宋体"/>
              </w:rPr>
            </w:pPr>
          </w:p>
        </w:tc>
        <w:tc>
          <w:tcPr>
            <w:tcW w:w="667" w:type="dxa"/>
            <w:vMerge w:val="continue"/>
            <w:vAlign w:val="center"/>
          </w:tcPr>
          <w:p>
            <w:pPr>
              <w:spacing w:line="240" w:lineRule="exact"/>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5</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3319" w:type="dxa"/>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3" w:hRule="atLeast"/>
          <w:jc w:val="center"/>
        </w:trPr>
        <w:tc>
          <w:tcPr>
            <w:tcW w:w="545" w:type="dxa"/>
            <w:vMerge w:val="continue"/>
            <w:vAlign w:val="center"/>
          </w:tcPr>
          <w:p>
            <w:pPr>
              <w:spacing w:line="240" w:lineRule="exact"/>
              <w:rPr>
                <w:rFonts w:ascii="宋体" w:cs="宋体"/>
              </w:rPr>
            </w:pPr>
          </w:p>
        </w:tc>
        <w:tc>
          <w:tcPr>
            <w:tcW w:w="667" w:type="dxa"/>
            <w:vMerge w:val="continue"/>
            <w:vAlign w:val="center"/>
          </w:tcPr>
          <w:p>
            <w:pPr>
              <w:spacing w:line="240" w:lineRule="exact"/>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4</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2" w:hRule="atLeast"/>
          <w:jc w:val="center"/>
        </w:trPr>
        <w:tc>
          <w:tcPr>
            <w:tcW w:w="545" w:type="dxa"/>
            <w:vAlign w:val="center"/>
          </w:tcPr>
          <w:p>
            <w:pPr>
              <w:spacing w:line="240" w:lineRule="exact"/>
              <w:rPr>
                <w:rFonts w:ascii="宋体" w:cs="宋体"/>
              </w:rPr>
            </w:pPr>
            <w:r>
              <w:rPr>
                <w:rFonts w:hint="eastAsia" w:ascii="宋体" w:hAnsi="宋体" w:cs="宋体"/>
              </w:rPr>
              <w:t>总分</w:t>
            </w:r>
          </w:p>
        </w:tc>
        <w:tc>
          <w:tcPr>
            <w:tcW w:w="667" w:type="dxa"/>
            <w:vAlign w:val="center"/>
          </w:tcPr>
          <w:p>
            <w:pPr>
              <w:spacing w:line="240" w:lineRule="exact"/>
              <w:rPr>
                <w:rFonts w:ascii="宋体" w:cs="宋体"/>
              </w:rPr>
            </w:pPr>
          </w:p>
        </w:tc>
        <w:tc>
          <w:tcPr>
            <w:tcW w:w="889" w:type="dxa"/>
            <w:tcMar>
              <w:top w:w="10" w:type="dxa"/>
              <w:left w:w="10" w:type="dxa"/>
              <w:bottom w:w="0" w:type="dxa"/>
              <w:right w:w="10" w:type="dxa"/>
            </w:tcMar>
            <w:vAlign w:val="center"/>
          </w:tcPr>
          <w:p>
            <w:pPr>
              <w:spacing w:line="240" w:lineRule="exact"/>
              <w:jc w:val="center"/>
              <w:rPr>
                <w:rFonts w:ascii="宋体" w:cs="宋体"/>
              </w:rPr>
            </w:pPr>
          </w:p>
        </w:tc>
        <w:tc>
          <w:tcPr>
            <w:tcW w:w="667" w:type="dxa"/>
          </w:tcPr>
          <w:p>
            <w:pPr>
              <w:tabs>
                <w:tab w:val="left" w:pos="2604"/>
              </w:tabs>
              <w:spacing w:line="240" w:lineRule="exact"/>
              <w:ind w:left="210" w:leftChars="100" w:right="105" w:rightChars="50" w:firstLine="96" w:firstLineChars="46"/>
              <w:jc w:val="distribute"/>
              <w:rPr>
                <w:rFonts w:ascii="宋体" w:cs="宋体"/>
              </w:rPr>
            </w:pPr>
            <w:r>
              <w:rPr>
                <w:rFonts w:hint="eastAsia" w:ascii="宋体" w:cs="宋体"/>
              </w:rPr>
              <w:t>95</w:t>
            </w:r>
          </w:p>
        </w:tc>
        <w:tc>
          <w:tcPr>
            <w:tcW w:w="2802"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3319" w:type="dxa"/>
            <w:tcMar>
              <w:top w:w="10" w:type="dxa"/>
              <w:left w:w="10" w:type="dxa"/>
              <w:bottom w:w="0" w:type="dxa"/>
              <w:right w:w="10" w:type="dxa"/>
            </w:tcMar>
            <w:vAlign w:val="center"/>
          </w:tcPr>
          <w:p>
            <w:pPr>
              <w:spacing w:line="240" w:lineRule="exact"/>
              <w:ind w:left="105" w:leftChars="50" w:right="105" w:rightChars="50"/>
              <w:rPr>
                <w:rFonts w:ascii="宋体" w:cs="宋体"/>
              </w:rPr>
            </w:pPr>
          </w:p>
        </w:tc>
      </w:tr>
    </w:tbl>
    <w:p/>
    <w:p>
      <w:pPr>
        <w:spacing w:line="600" w:lineRule="exac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3A1C"/>
    <w:rsid w:val="003D1E23"/>
    <w:rsid w:val="00883A1C"/>
    <w:rsid w:val="20D30D67"/>
    <w:rsid w:val="21251DF0"/>
    <w:rsid w:val="21427F1F"/>
    <w:rsid w:val="49615D77"/>
    <w:rsid w:val="4A3F4BFF"/>
    <w:rsid w:val="58177291"/>
    <w:rsid w:val="68923C00"/>
    <w:rsid w:val="6E12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6253</Words>
  <Characters>646</Characters>
  <Lines>5</Lines>
  <Paragraphs>13</Paragraphs>
  <TotalTime>19</TotalTime>
  <ScaleCrop>false</ScaleCrop>
  <LinksUpToDate>false</LinksUpToDate>
  <CharactersWithSpaces>6886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2021-07-21T08:35:00Z</dcterms:created>
  <dc:creator>Administrator</dc:creator>
  <cp:lastModifiedBy>梅</cp:lastModifiedBy>
  <cp:lastPrinted>2022-05-26T09:23:00Z</cp:lastPrinted>
  <dcterms:modified xsi:type="dcterms:W3CDTF">2022-05-30T01:44:54Z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9827E0E2116C47339235EA318F478FF6</vt:lpwstr>
  </property>
</Properties>
</file>