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10C" w:rsidRDefault="005A510C" w:rsidP="005A510C">
      <w:pPr>
        <w:widowControl w:val="0"/>
        <w:spacing w:line="560" w:lineRule="exact"/>
        <w:rPr>
          <w:rFonts w:ascii="仿宋_GB2312" w:eastAsia="仿宋_GB2312"/>
          <w:sz w:val="32"/>
          <w:szCs w:val="32"/>
          <w:highlight w:val="white"/>
        </w:rPr>
      </w:pPr>
    </w:p>
    <w:p w:rsidR="007F0723" w:rsidRPr="005A510C" w:rsidRDefault="00945276" w:rsidP="005A510C">
      <w:pPr>
        <w:widowControl w:val="0"/>
        <w:spacing w:line="560" w:lineRule="exact"/>
        <w:jc w:val="center"/>
        <w:rPr>
          <w:rFonts w:ascii="方正小标宋简体" w:eastAsia="方正小标宋简体"/>
          <w:sz w:val="42"/>
          <w:szCs w:val="42"/>
          <w:highlight w:val="white"/>
        </w:rPr>
      </w:pPr>
      <w:r w:rsidRPr="005A510C">
        <w:rPr>
          <w:rFonts w:ascii="方正小标宋简体" w:eastAsia="方正小标宋简体" w:hint="eastAsia"/>
          <w:sz w:val="42"/>
          <w:szCs w:val="42"/>
          <w:highlight w:val="white"/>
        </w:rPr>
        <w:t>2020年度益阳市赫山区供销社部门决算</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7F0723" w:rsidRPr="005A510C" w:rsidRDefault="00945276" w:rsidP="005A510C">
      <w:pPr>
        <w:widowControl w:val="0"/>
        <w:spacing w:line="560" w:lineRule="exact"/>
        <w:jc w:val="center"/>
        <w:rPr>
          <w:rFonts w:ascii="黑体" w:eastAsia="黑体" w:hAnsi="黑体"/>
          <w:sz w:val="32"/>
          <w:szCs w:val="32"/>
          <w:highlight w:val="white"/>
        </w:rPr>
      </w:pPr>
      <w:r w:rsidRPr="005A510C">
        <w:rPr>
          <w:rFonts w:ascii="黑体" w:eastAsia="黑体" w:hAnsi="黑体" w:hint="eastAsia"/>
          <w:sz w:val="32"/>
          <w:szCs w:val="32"/>
          <w:highlight w:val="white"/>
        </w:rPr>
        <w:t>目    录</w:t>
      </w:r>
    </w:p>
    <w:p w:rsidR="007F0723" w:rsidRPr="005A510C" w:rsidRDefault="00945276" w:rsidP="005A510C">
      <w:pPr>
        <w:widowControl w:val="0"/>
        <w:spacing w:line="560" w:lineRule="exact"/>
        <w:ind w:firstLineChars="200" w:firstLine="640"/>
        <w:rPr>
          <w:rFonts w:ascii="黑体" w:eastAsia="黑体" w:hAnsi="黑体"/>
          <w:sz w:val="32"/>
          <w:szCs w:val="32"/>
          <w:highlight w:val="white"/>
        </w:rPr>
      </w:pPr>
      <w:r w:rsidRPr="005A510C">
        <w:rPr>
          <w:rFonts w:ascii="黑体" w:eastAsia="黑体" w:hAnsi="黑体" w:hint="eastAsia"/>
          <w:sz w:val="32"/>
          <w:szCs w:val="32"/>
          <w:highlight w:val="white"/>
        </w:rPr>
        <w:t>第一部分益 单位概况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一、部门职责</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二、机构设置</w:t>
      </w:r>
    </w:p>
    <w:p w:rsidR="007F0723" w:rsidRPr="005A510C" w:rsidRDefault="00945276" w:rsidP="005A510C">
      <w:pPr>
        <w:widowControl w:val="0"/>
        <w:spacing w:line="560" w:lineRule="exact"/>
        <w:ind w:firstLineChars="200" w:firstLine="640"/>
        <w:rPr>
          <w:rFonts w:ascii="黑体" w:eastAsia="黑体" w:hAnsi="黑体"/>
          <w:sz w:val="32"/>
          <w:szCs w:val="32"/>
          <w:highlight w:val="white"/>
        </w:rPr>
      </w:pPr>
      <w:r w:rsidRPr="005A510C">
        <w:rPr>
          <w:rFonts w:ascii="黑体" w:eastAsia="黑体" w:hAnsi="黑体" w:hint="eastAsia"/>
          <w:sz w:val="32"/>
          <w:szCs w:val="32"/>
          <w:highlight w:val="white"/>
        </w:rPr>
        <w:t>第二部分 2020年度部门决算表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一、收入支出决算总表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二、收入决算表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三、支出决算表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四、财政拨款收入支出决算总表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五、一般公共预算财政拨款支出决算表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六、一般公共预算财政拨款基本支出决算表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七、一般公共预算财政拨款“三公”经费支出决算表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八、政府性基金预算财政拨款收入支出决算表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九、国有资本经营预算财政拨款收入支出决算表</w:t>
      </w:r>
    </w:p>
    <w:p w:rsidR="007F0723" w:rsidRPr="005A510C" w:rsidRDefault="00945276" w:rsidP="005A510C">
      <w:pPr>
        <w:widowControl w:val="0"/>
        <w:spacing w:line="560" w:lineRule="exact"/>
        <w:ind w:firstLineChars="200" w:firstLine="640"/>
        <w:rPr>
          <w:rFonts w:ascii="黑体" w:eastAsia="黑体" w:hAnsi="黑体"/>
          <w:sz w:val="32"/>
          <w:szCs w:val="32"/>
          <w:highlight w:val="white"/>
        </w:rPr>
      </w:pPr>
      <w:r w:rsidRPr="005A510C">
        <w:rPr>
          <w:rFonts w:ascii="黑体" w:eastAsia="黑体" w:hAnsi="黑体" w:hint="eastAsia"/>
          <w:sz w:val="32"/>
          <w:szCs w:val="32"/>
          <w:highlight w:val="white"/>
        </w:rPr>
        <w:t>第三部分 2020年度部门决算情况说明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一、收入支出决算总体情况说明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二、收入决算情况说明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lastRenderedPageBreak/>
        <w:t>三、支出决算情况说明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四、财政拨款收入支出决算总体情况说明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五、一般公共预算财政拨款支出决算情况说明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六、一般公共预算财政拨款基本支出决算情况说明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七、一般公共预算财政拨款三公经费支出决算情况说明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八、政府性基金预算收入支出决算情况</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九、国有资本经营预算财政拨款支出决算情况</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十、关于机关运行经费支出说明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十一、一般性支出情况</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十二、关于政府采购支出说明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十三、关于国有资产占用情况说明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十四、关于2020年度预算绩效情况的说明</w:t>
      </w:r>
    </w:p>
    <w:p w:rsidR="007F0723" w:rsidRPr="005A510C" w:rsidRDefault="00945276" w:rsidP="005A510C">
      <w:pPr>
        <w:widowControl w:val="0"/>
        <w:spacing w:line="560" w:lineRule="exact"/>
        <w:ind w:firstLineChars="200" w:firstLine="640"/>
        <w:rPr>
          <w:rFonts w:ascii="黑体" w:eastAsia="黑体" w:hAnsi="黑体"/>
          <w:sz w:val="32"/>
          <w:szCs w:val="32"/>
          <w:highlight w:val="white"/>
        </w:rPr>
      </w:pPr>
      <w:r w:rsidRPr="005A510C">
        <w:rPr>
          <w:rFonts w:ascii="黑体" w:eastAsia="黑体" w:hAnsi="黑体" w:hint="eastAsia"/>
          <w:sz w:val="32"/>
          <w:szCs w:val="32"/>
          <w:highlight w:val="white"/>
        </w:rPr>
        <w:t>第四部分 名词解释</w:t>
      </w:r>
    </w:p>
    <w:p w:rsidR="007F0723" w:rsidRPr="005A510C" w:rsidRDefault="00945276" w:rsidP="005A510C">
      <w:pPr>
        <w:widowControl w:val="0"/>
        <w:spacing w:line="560" w:lineRule="exact"/>
        <w:ind w:firstLineChars="200" w:firstLine="640"/>
        <w:rPr>
          <w:rFonts w:ascii="黑体" w:eastAsia="黑体" w:hAnsi="黑体"/>
          <w:sz w:val="32"/>
          <w:szCs w:val="32"/>
          <w:highlight w:val="white"/>
        </w:rPr>
      </w:pPr>
      <w:r w:rsidRPr="005A510C">
        <w:rPr>
          <w:rFonts w:ascii="黑体" w:eastAsia="黑体" w:hAnsi="黑体" w:hint="eastAsia"/>
          <w:sz w:val="32"/>
          <w:szCs w:val="32"/>
          <w:highlight w:val="white"/>
        </w:rPr>
        <w:t>第五部分 附件</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2243A8" w:rsidRDefault="002243A8">
      <w:pPr>
        <w:jc w:val="left"/>
        <w:rPr>
          <w:rFonts w:ascii="仿宋_GB2312" w:eastAsia="仿宋_GB2312"/>
          <w:sz w:val="32"/>
          <w:szCs w:val="32"/>
          <w:highlight w:val="white"/>
        </w:rPr>
      </w:pPr>
      <w:r>
        <w:rPr>
          <w:rFonts w:ascii="仿宋_GB2312" w:eastAsia="仿宋_GB2312"/>
          <w:sz w:val="32"/>
          <w:szCs w:val="32"/>
          <w:highlight w:val="white"/>
        </w:rPr>
        <w:br w:type="page"/>
      </w:r>
    </w:p>
    <w:p w:rsidR="002243A8" w:rsidRPr="002243A8" w:rsidRDefault="00945276" w:rsidP="002243A8">
      <w:pPr>
        <w:widowControl w:val="0"/>
        <w:spacing w:line="560" w:lineRule="exact"/>
        <w:rPr>
          <w:rFonts w:ascii="黑体" w:eastAsia="黑体" w:hAnsi="黑体"/>
          <w:sz w:val="32"/>
          <w:szCs w:val="32"/>
          <w:highlight w:val="white"/>
        </w:rPr>
      </w:pPr>
      <w:r w:rsidRPr="002243A8">
        <w:rPr>
          <w:rFonts w:ascii="黑体" w:eastAsia="黑体" w:hAnsi="黑体" w:hint="eastAsia"/>
          <w:sz w:val="32"/>
          <w:szCs w:val="32"/>
          <w:highlight w:val="white"/>
        </w:rPr>
        <w:lastRenderedPageBreak/>
        <w:t>第一部分</w:t>
      </w:r>
      <w:r w:rsidR="002243A8" w:rsidRPr="002243A8">
        <w:rPr>
          <w:rFonts w:ascii="黑体" w:eastAsia="黑体" w:hAnsi="黑体" w:hint="eastAsia"/>
          <w:sz w:val="32"/>
          <w:szCs w:val="32"/>
          <w:highlight w:val="white"/>
        </w:rPr>
        <w:t>：</w:t>
      </w:r>
    </w:p>
    <w:p w:rsidR="007F0723" w:rsidRPr="002243A8" w:rsidRDefault="00945276" w:rsidP="002243A8">
      <w:pPr>
        <w:widowControl w:val="0"/>
        <w:spacing w:line="560" w:lineRule="exact"/>
        <w:jc w:val="center"/>
        <w:rPr>
          <w:rFonts w:ascii="方正小标宋简体" w:eastAsia="方正小标宋简体"/>
          <w:sz w:val="42"/>
          <w:szCs w:val="42"/>
          <w:highlight w:val="white"/>
        </w:rPr>
      </w:pPr>
      <w:r w:rsidRPr="002243A8">
        <w:rPr>
          <w:rFonts w:ascii="方正小标宋简体" w:eastAsia="方正小标宋简体" w:hint="eastAsia"/>
          <w:sz w:val="42"/>
          <w:szCs w:val="42"/>
          <w:highlight w:val="white"/>
        </w:rPr>
        <w:t>单位概况</w:t>
      </w:r>
    </w:p>
    <w:p w:rsidR="002243A8" w:rsidRDefault="002243A8" w:rsidP="005A510C">
      <w:pPr>
        <w:widowControl w:val="0"/>
        <w:spacing w:line="560" w:lineRule="exact"/>
        <w:ind w:firstLineChars="200" w:firstLine="640"/>
        <w:rPr>
          <w:rFonts w:ascii="仿宋_GB2312" w:eastAsia="仿宋_GB2312"/>
          <w:sz w:val="32"/>
          <w:szCs w:val="32"/>
          <w:highlight w:val="white"/>
        </w:rPr>
      </w:pP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一、部门职责</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赫山区供销社是区委、区政府直属正科级公益一类事业单位。主要职责是：</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（一）贯彻落实中央、省、市区委及上级社的方针、政策部署，针对本地区农业供给侧结构改革的要求，发展农村合作经济组织、服务美丽乡村建设，打造为农、务农、姓农的综合服务体系。</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二）研究和完善全区深化供销合作社综合改革实施方案，探索一条符合本区实际的综合改革路径，指导和监督社有企业改革与发展，引导农业龙头企业和各类农业经营主体采取资金合作，技术合作，劳务合作等形式发展新型农村合作经济组织，进一步完善供销合作社的基层组织建设，进一步夯实为农服务平台。</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（三）指导全区供销合作社联合社的业务活动，抓好专业市场管理，探索新时代农村现代流通网络建设，引导和带动农村专业合作社的发展。</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（四）负责管理全系统现有资产，确保资产收益的最大化；协调有关部门维护供销合作组织和社有企业合法企业。</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（五）加快深化我区供销综合改革步伐，使供销社成为与农民</w:t>
      </w:r>
      <w:r w:rsidRPr="005A510C">
        <w:rPr>
          <w:rFonts w:ascii="仿宋_GB2312" w:eastAsia="仿宋_GB2312" w:hint="eastAsia"/>
          <w:sz w:val="32"/>
          <w:szCs w:val="32"/>
        </w:rPr>
        <w:lastRenderedPageBreak/>
        <w:t>连接更紧密，为农服务功能更完备，市场化运行更高效的合作经济组织体系；成为服务农民生产生活的生力军和综合平台。</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（六）完成区委、区政府交办的其他任务。</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二、机构设置</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（一）内设机构设置</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益阳市赫山区供销社单位内设机构7个包括：办公室、人事股、财务审计股、资产管理股、合作指导股、监事会办公室和再生资源管理办公室。定编26人，实有在职人数22人，离退休人员39人。</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（二）决算单位构成</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从决算单位构成看，益阳市赫山区供销社部门决算包括：益阳市赫山区部门决算本级决算。</w:t>
      </w:r>
    </w:p>
    <w:p w:rsidR="007F0723" w:rsidRPr="005A510C" w:rsidRDefault="007F0723" w:rsidP="005A510C">
      <w:pPr>
        <w:widowControl w:val="0"/>
        <w:spacing w:line="560" w:lineRule="exact"/>
        <w:ind w:firstLineChars="200" w:firstLine="640"/>
        <w:rPr>
          <w:rFonts w:ascii="仿宋_GB2312" w:eastAsia="仿宋_GB2312"/>
          <w:sz w:val="32"/>
          <w:szCs w:val="32"/>
        </w:rPr>
      </w:pPr>
    </w:p>
    <w:p w:rsidR="002243A8" w:rsidRPr="002243A8" w:rsidRDefault="002243A8" w:rsidP="002243A8">
      <w:pPr>
        <w:widowControl w:val="0"/>
        <w:spacing w:line="560" w:lineRule="exact"/>
        <w:rPr>
          <w:rFonts w:ascii="黑体" w:eastAsia="黑体" w:hAnsi="黑体"/>
          <w:sz w:val="32"/>
          <w:szCs w:val="32"/>
        </w:rPr>
      </w:pPr>
      <w:r w:rsidRPr="002243A8">
        <w:rPr>
          <w:rFonts w:ascii="黑体" w:eastAsia="黑体" w:hAnsi="黑体" w:hint="eastAsia"/>
          <w:sz w:val="32"/>
          <w:szCs w:val="32"/>
        </w:rPr>
        <w:t>第</w:t>
      </w:r>
      <w:r w:rsidRPr="002243A8">
        <w:rPr>
          <w:rFonts w:ascii="黑体" w:eastAsia="黑体" w:hAnsi="黑体"/>
          <w:sz w:val="32"/>
          <w:szCs w:val="32"/>
        </w:rPr>
        <w:t>二部分：</w:t>
      </w:r>
    </w:p>
    <w:p w:rsidR="007F0723" w:rsidRPr="002243A8" w:rsidRDefault="00945276" w:rsidP="002243A8">
      <w:pPr>
        <w:widowControl w:val="0"/>
        <w:spacing w:line="560" w:lineRule="exact"/>
        <w:jc w:val="center"/>
        <w:rPr>
          <w:rFonts w:ascii="方正小标宋简体" w:eastAsia="方正小标宋简体"/>
          <w:sz w:val="42"/>
          <w:szCs w:val="42"/>
          <w:highlight w:val="white"/>
        </w:rPr>
      </w:pPr>
      <w:r w:rsidRPr="002243A8">
        <w:rPr>
          <w:rFonts w:ascii="方正小标宋简体" w:eastAsia="方正小标宋简体" w:hint="eastAsia"/>
          <w:sz w:val="42"/>
          <w:szCs w:val="42"/>
          <w:highlight w:val="white"/>
        </w:rPr>
        <w:t>2020年度部门决算表（见附表）</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2243A8" w:rsidRPr="002243A8" w:rsidRDefault="00945276" w:rsidP="002243A8">
      <w:pPr>
        <w:widowControl w:val="0"/>
        <w:spacing w:line="560" w:lineRule="exact"/>
        <w:rPr>
          <w:rFonts w:ascii="黑体" w:eastAsia="黑体" w:hAnsi="黑体"/>
          <w:sz w:val="32"/>
          <w:szCs w:val="32"/>
          <w:highlight w:val="white"/>
        </w:rPr>
      </w:pPr>
      <w:r w:rsidRPr="002243A8">
        <w:rPr>
          <w:rFonts w:ascii="黑体" w:eastAsia="黑体" w:hAnsi="黑体" w:hint="eastAsia"/>
          <w:sz w:val="32"/>
          <w:szCs w:val="32"/>
          <w:highlight w:val="white"/>
        </w:rPr>
        <w:t>第三部分</w:t>
      </w:r>
      <w:r w:rsidR="002243A8" w:rsidRPr="002243A8">
        <w:rPr>
          <w:rFonts w:ascii="黑体" w:eastAsia="黑体" w:hAnsi="黑体" w:hint="eastAsia"/>
          <w:sz w:val="32"/>
          <w:szCs w:val="32"/>
          <w:highlight w:val="white"/>
        </w:rPr>
        <w:t>：</w:t>
      </w:r>
    </w:p>
    <w:p w:rsidR="007F0723" w:rsidRPr="002243A8" w:rsidRDefault="00945276" w:rsidP="002243A8">
      <w:pPr>
        <w:widowControl w:val="0"/>
        <w:spacing w:line="560" w:lineRule="exact"/>
        <w:jc w:val="center"/>
        <w:rPr>
          <w:rFonts w:ascii="方正小标宋简体" w:eastAsia="方正小标宋简体"/>
          <w:sz w:val="42"/>
          <w:szCs w:val="42"/>
          <w:highlight w:val="white"/>
        </w:rPr>
      </w:pPr>
      <w:r w:rsidRPr="002243A8">
        <w:rPr>
          <w:rFonts w:ascii="方正小标宋简体" w:eastAsia="方正小标宋简体" w:hint="eastAsia"/>
          <w:sz w:val="42"/>
          <w:szCs w:val="42"/>
          <w:highlight w:val="white"/>
        </w:rPr>
        <w:t>2020年度部门决算情况说明</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一、收入支出决算总体情况说明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highlight w:val="white"/>
        </w:rPr>
        <w:t>2020年度收入771.60万元，年初结转和结余413.90万元，</w:t>
      </w:r>
      <w:r w:rsidRPr="005A510C">
        <w:rPr>
          <w:rFonts w:ascii="仿宋_GB2312" w:eastAsia="仿宋_GB2312" w:hint="eastAsia"/>
          <w:sz w:val="32"/>
          <w:szCs w:val="32"/>
          <w:highlight w:val="white"/>
        </w:rPr>
        <w:lastRenderedPageBreak/>
        <w:t>总计1185.49万元，与2019年收入（518.75万元）相比，增加252.85万元，增长48.74%，主要原因一是商业流通发展专项增加216.00万元，二是其他收入增加38.00万元</w:t>
      </w:r>
      <w:r w:rsidRPr="005A510C">
        <w:rPr>
          <w:rFonts w:ascii="仿宋_GB2312" w:eastAsia="仿宋_GB2312" w:hint="eastAsia"/>
          <w:sz w:val="32"/>
          <w:szCs w:val="32"/>
        </w:rPr>
        <w:t>。</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2020年度支出811.05万元，结余分配180.72万元，年末结转和结余193.73万元，总计1185.49万元，与2019年支出（518.75万元）相比，增加292.30万元，增长56.35%，主要原因一是</w:t>
      </w:r>
      <w:r w:rsidRPr="005A510C">
        <w:rPr>
          <w:rFonts w:ascii="仿宋_GB2312" w:eastAsia="仿宋_GB2312" w:hint="eastAsia"/>
          <w:sz w:val="32"/>
          <w:szCs w:val="32"/>
          <w:highlight w:val="white"/>
        </w:rPr>
        <w:t>商业流通发展专项增加216.00万元，二是部分支出跨年度支出。</w:t>
      </w:r>
    </w:p>
    <w:p w:rsidR="007F0723" w:rsidRPr="002243A8" w:rsidRDefault="002243A8" w:rsidP="005A510C">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二</w:t>
      </w:r>
      <w:r>
        <w:rPr>
          <w:rFonts w:ascii="黑体" w:eastAsia="黑体" w:hAnsi="黑体"/>
          <w:sz w:val="32"/>
          <w:szCs w:val="32"/>
          <w:highlight w:val="white"/>
        </w:rPr>
        <w:t>、</w:t>
      </w:r>
      <w:r w:rsidR="00945276" w:rsidRPr="002243A8">
        <w:rPr>
          <w:rFonts w:ascii="黑体" w:eastAsia="黑体" w:hAnsi="黑体" w:hint="eastAsia"/>
          <w:sz w:val="32"/>
          <w:szCs w:val="32"/>
          <w:highlight w:val="white"/>
        </w:rPr>
        <w:t>收入决算情况说明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本年收入合计771.6万元，其中：一般公共预算财政拨款收入749.23万元，占97.10%；其他收入22.36万元，占2.90%。</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三、支出决算情况说明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本年支出合计811.05万元，其中：基本支出535.05万元，占65.97%；项目支出276.00万元，占34.03%</w:t>
      </w:r>
      <w:r w:rsidR="000D00B8">
        <w:rPr>
          <w:rFonts w:ascii="仿宋_GB2312" w:eastAsia="仿宋_GB2312" w:hint="eastAsia"/>
          <w:sz w:val="32"/>
          <w:szCs w:val="32"/>
          <w:highlight w:val="white"/>
        </w:rPr>
        <w:t>。</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 xml:space="preserve">四、财政拨款收入支出决算总体情况说明 </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rPr>
        <w:t>2020年度财政拨款收入749.23万元，年初财政拨款结转和结余174.32万元，总计923.55万元，与2019年财政拨款收入（518.75万元）相比，增加230.48万元，增长44.43%,</w:t>
      </w:r>
      <w:r w:rsidRPr="005A510C">
        <w:rPr>
          <w:rFonts w:ascii="仿宋_GB2312" w:eastAsia="仿宋_GB2312" w:hint="eastAsia"/>
          <w:sz w:val="32"/>
          <w:szCs w:val="32"/>
          <w:highlight w:val="white"/>
        </w:rPr>
        <w:t>主要原因是</w:t>
      </w:r>
      <w:r w:rsidRPr="005A510C">
        <w:rPr>
          <w:rFonts w:ascii="仿宋_GB2312" w:eastAsia="仿宋_GB2312" w:hint="eastAsia"/>
          <w:sz w:val="32"/>
          <w:szCs w:val="32"/>
        </w:rPr>
        <w:t>商业流通发展专项资金增加216万元</w:t>
      </w:r>
      <w:r w:rsidRPr="005A510C">
        <w:rPr>
          <w:rFonts w:ascii="仿宋_GB2312" w:eastAsia="仿宋_GB2312" w:hint="eastAsia"/>
          <w:sz w:val="32"/>
          <w:szCs w:val="32"/>
          <w:highlight w:val="white"/>
        </w:rPr>
        <w:t>。</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2020年度财政拨款支出729.82万元，年末财政拨款结转和结余193.73万元，总计923.55万元，与2019年财政拨款支出（518.75</w:t>
      </w:r>
      <w:r w:rsidRPr="005A510C">
        <w:rPr>
          <w:rFonts w:ascii="仿宋_GB2312" w:eastAsia="仿宋_GB2312" w:hint="eastAsia"/>
          <w:sz w:val="32"/>
          <w:szCs w:val="32"/>
          <w:highlight w:val="white"/>
        </w:rPr>
        <w:lastRenderedPageBreak/>
        <w:t>万元）相比，增长40.69%，主要原因是</w:t>
      </w:r>
      <w:r w:rsidRPr="005A510C">
        <w:rPr>
          <w:rFonts w:ascii="仿宋_GB2312" w:eastAsia="仿宋_GB2312" w:hint="eastAsia"/>
          <w:sz w:val="32"/>
          <w:szCs w:val="32"/>
        </w:rPr>
        <w:t>商业流通发展专项资金增加216.00万元。</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五、一般公共预算财政拨款支出决算情况说明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（一）一般公共预算财政拨款支出决算总体情况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度一般公共预算财政拨款支出729.82万元，占本年支出合计的89.98%。与2019年度相比，一般公共预算财政拨款支出增加211.07万元，增长40.69%,主要原因是2020年申报省惠农综合服务工程规范化商业流通发展专项资金216.00万元。</w:t>
      </w:r>
    </w:p>
    <w:p w:rsidR="007F0723" w:rsidRPr="005A510C" w:rsidRDefault="000D00B8"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945276" w:rsidRPr="005A510C">
        <w:rPr>
          <w:rFonts w:ascii="仿宋_GB2312" w:eastAsia="仿宋_GB2312" w:hint="eastAsia"/>
          <w:sz w:val="32"/>
          <w:szCs w:val="32"/>
          <w:highlight w:val="white"/>
        </w:rPr>
        <w:t>一般公共预算财政拨款支出决算结构情况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2020年度一般公共预算财政拨款支出729.82万元，主要用于以下方面：社会保障和就业（类）支出53.93万元，占7.39%；商业服务业等（类）支出635.87万元，占87.13%；住房保障（类）支出40.03万元，占5.48%；</w:t>
      </w:r>
    </w:p>
    <w:p w:rsidR="007F0723" w:rsidRPr="005A510C" w:rsidRDefault="000D00B8" w:rsidP="000D00B8">
      <w:pPr>
        <w:widowControl w:val="0"/>
        <w:spacing w:line="560" w:lineRule="exact"/>
        <w:ind w:firstLineChars="250" w:firstLine="800"/>
        <w:rPr>
          <w:rFonts w:ascii="仿宋_GB2312" w:eastAsia="仿宋_GB2312"/>
          <w:sz w:val="32"/>
          <w:szCs w:val="32"/>
          <w:highlight w:val="white"/>
        </w:rPr>
      </w:pPr>
      <w:r>
        <w:rPr>
          <w:rFonts w:ascii="仿宋_GB2312" w:eastAsia="仿宋_GB2312" w:hint="eastAsia"/>
          <w:sz w:val="32"/>
          <w:szCs w:val="32"/>
          <w:highlight w:val="white"/>
        </w:rPr>
        <w:t>（三）</w:t>
      </w:r>
      <w:r w:rsidR="00945276" w:rsidRPr="005A510C">
        <w:rPr>
          <w:rFonts w:ascii="仿宋_GB2312" w:eastAsia="仿宋_GB2312" w:hint="eastAsia"/>
          <w:sz w:val="32"/>
          <w:szCs w:val="32"/>
          <w:highlight w:val="white"/>
        </w:rPr>
        <w:t>一般公共预算财政拨款支出决算具体情况</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highlight w:val="white"/>
        </w:rPr>
        <w:t>2020年度一般公共预算财政拨款支出年初预算为345.56万元，支出决算为729.82万元，完成年初预算的</w:t>
      </w:r>
      <w:r w:rsidRPr="005A510C">
        <w:rPr>
          <w:rFonts w:ascii="仿宋_GB2312" w:eastAsia="仿宋_GB2312" w:hint="eastAsia"/>
          <w:sz w:val="32"/>
          <w:szCs w:val="32"/>
        </w:rPr>
        <w:t>211.20%。其中：</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1.208社会保障和就业支出（类）05行政事业单位养老支出（款）05机关事业单位基本养老保险缴费支出（项）年初预算为23.47万元，支出决算为36.21万元，完成年初预算的154.28%，决算数大于年初预算数的主要原因是：预算调整增加12.74</w:t>
      </w:r>
      <w:r w:rsidR="000D00B8">
        <w:rPr>
          <w:rFonts w:ascii="仿宋_GB2312" w:eastAsia="仿宋_GB2312" w:hint="eastAsia"/>
          <w:sz w:val="32"/>
          <w:szCs w:val="32"/>
        </w:rPr>
        <w:t>万元。</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lastRenderedPageBreak/>
        <w:t>2.208社会保障和就业支出（类）05行政事业单位养老支出（款）06机关事业单位职业年金缴费支出（项）年初预算为20.34万元，支出决算为0万元，决算数小于年初预算数的主要原因是：预算调整减少20.34</w:t>
      </w:r>
      <w:r w:rsidR="000D00B8">
        <w:rPr>
          <w:rFonts w:ascii="仿宋_GB2312" w:eastAsia="仿宋_GB2312" w:hint="eastAsia"/>
          <w:sz w:val="32"/>
          <w:szCs w:val="32"/>
        </w:rPr>
        <w:t>万元。</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2.208社会保障和就业支出（类）08抚恤（款）01死亡抚恤（项）年初预算为0万元，支出决算为17.72万元，决算数大于年初预算数的主要原因是：追着退休人员死亡抚恤指标，预算调整增加17.72</w:t>
      </w:r>
      <w:r w:rsidR="000D00B8">
        <w:rPr>
          <w:rFonts w:ascii="仿宋_GB2312" w:eastAsia="仿宋_GB2312" w:hint="eastAsia"/>
          <w:sz w:val="32"/>
          <w:szCs w:val="32"/>
        </w:rPr>
        <w:t>万元。</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3.216商业服务业等支出（类）02商业流通事务（款）01行政运行（项）年初预算为195.74万元，支出决算为359.87万元，完成年初预算的183.85%，决算数大于年初预算数的主要原因是：人员经费增加，调整预算增加164.13</w:t>
      </w:r>
      <w:r w:rsidR="000D00B8">
        <w:rPr>
          <w:rFonts w:ascii="仿宋_GB2312" w:eastAsia="仿宋_GB2312" w:hint="eastAsia"/>
          <w:sz w:val="32"/>
          <w:szCs w:val="32"/>
        </w:rPr>
        <w:t>万元。</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4.216商业服务业等支出（类）02商业流通事务（款）99其他商业流通事务支出（项）年初预算为88.61万元，支出决算为276.00万元，完成年初预算的311.48%，决算数大于年初预算数的主要原因是：商业流通发展专项增加，调整预算增加187.39</w:t>
      </w:r>
      <w:r w:rsidR="000D00B8">
        <w:rPr>
          <w:rFonts w:ascii="仿宋_GB2312" w:eastAsia="仿宋_GB2312" w:hint="eastAsia"/>
          <w:sz w:val="32"/>
          <w:szCs w:val="32"/>
        </w:rPr>
        <w:t>万元。</w:t>
      </w:r>
    </w:p>
    <w:p w:rsidR="007F0723" w:rsidRPr="005A510C" w:rsidRDefault="00945276" w:rsidP="000D00B8">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5.221住房保障支出（类）02住房改革支出（款）01住房公积金（项）年初预算为17.40万元，支出决算为40.03万元，完成年初预算的230.05%，决算数大于年初预算数的主要原因是：差额和自收自支人员住房公积金未纳入预算，调整预算增加22.63万元。</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lastRenderedPageBreak/>
        <w:t xml:space="preserve"> 六、一般公共预算财政拨款基本支出决算情况说明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 xml:space="preserve">2020年度财政拨款基本支出453.82万元，其中:人员经费374.11万元，占基本支出的82.44%，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79.71万元，占基本支出的17.56%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    </w:t>
      </w:r>
    </w:p>
    <w:p w:rsidR="007F0723" w:rsidRPr="002243A8" w:rsidRDefault="00945276" w:rsidP="005A510C">
      <w:pPr>
        <w:widowControl w:val="0"/>
        <w:spacing w:line="560" w:lineRule="exact"/>
        <w:ind w:firstLineChars="200" w:firstLine="640"/>
        <w:rPr>
          <w:rFonts w:ascii="黑体" w:eastAsia="黑体" w:hAnsi="黑体"/>
          <w:sz w:val="32"/>
          <w:szCs w:val="32"/>
          <w:highlight w:val="white"/>
        </w:rPr>
      </w:pPr>
      <w:r w:rsidRPr="002243A8">
        <w:rPr>
          <w:rFonts w:ascii="黑体" w:eastAsia="黑体" w:hAnsi="黑体" w:hint="eastAsia"/>
          <w:sz w:val="32"/>
          <w:szCs w:val="32"/>
          <w:highlight w:val="white"/>
        </w:rPr>
        <w:t>七、一般公共预算财政拨款“三公”经费支出决算情况说明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（一）“三公”经费财政拨款支出决算总体情况说明。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2020年度“三公”经费财政拨款支出预算为11.00万元，支出决算为9.78万元,完成预算的88.90%，主要是认真贯彻落实中</w:t>
      </w:r>
      <w:r w:rsidRPr="005A510C">
        <w:rPr>
          <w:rFonts w:ascii="仿宋_GB2312" w:eastAsia="仿宋_GB2312" w:hint="eastAsia"/>
          <w:sz w:val="32"/>
          <w:szCs w:val="32"/>
          <w:highlight w:val="white"/>
        </w:rPr>
        <w:lastRenderedPageBreak/>
        <w:t>央八项规定精神，从严控制三公经费开支，全年实际支出比预算有所节约。</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 xml:space="preserve">无因公出国（境）费支出预算与决算；   </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 xml:space="preserve">无公务用车购置费及运行维护费支出预算与决算；   </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公务接待费支出预算为11.00万元，支出决算为9.78万元,完成预算的88.9%, 我单位严格按预算执行决算。与上年相比减少0.02万元，减少0.21%,减少主要原因是认真贯彻落实中央“八项规定”精神和厉行节约要求，从严控制“三公”经费开支，全年支出比上年有所压减。</w:t>
      </w:r>
    </w:p>
    <w:p w:rsidR="007F0723" w:rsidRPr="005A510C" w:rsidRDefault="002243A8"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945276" w:rsidRPr="005A510C">
        <w:rPr>
          <w:rFonts w:ascii="仿宋_GB2312" w:eastAsia="仿宋_GB2312" w:hint="eastAsia"/>
          <w:sz w:val="32"/>
          <w:szCs w:val="32"/>
          <w:highlight w:val="white"/>
        </w:rPr>
        <w:t>“三公”经费财政拨款支出决算具体情况说明。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2020年度“三公”经费财政拨款支出决算中，因公出国（境）费支出决算0万元，公务用车购置费及运行维护费支出决算0万元，公务接待费支出决算9.78万元，占88.9%。</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公务接待费支出决算为9.78万元，其中：其他国内公务接待支出9.78万元。主要用于与有关单位交流工作情况及接受相关部门检查指导工作发生的接待支出。益阳市赫山区供销社2020年共接待国内公务接待批次80个、接待人次785人次（不包括陪同人员）。</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八、政府性基金预算收入支出决算情况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2020年本单位没有使用政府性基金预算财政拨款安排的收支。</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lastRenderedPageBreak/>
        <w:t>九、国有资本经营预算财政拨款支出情况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本单位2020年无国有资本经营预算支出。</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十、关于机关运行经费支出说明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益阳市赫山区供销社2020年机关运行经费支出79.71万元，比2019年度127.3万元减少47.59万元，下降37.38%，主要原因是部分支出跨年度支付。</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十一、一般性支出情况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2020年本部门开支会议费7.01万元，主要原因是2020年10月召开赫山区供销社第一次社代会暨农合联成立大会，参加人数120人，支出6.22万元元；支出培训费0.84万元，主要是参加系统内组织的改革培训。</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十二、关于政府采购支出说明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 xml:space="preserve">益阳市赫山区供销社2020年度政府采购支出总额6.07万元，其中：政府采购货物支出6.07万元； 授予中小企业合同金额6.07万元，占政府采购支出总额的100%， 其中：授予小微企业合同金额6.07万元，占政府采购支出总额的100%。 </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十三、关于国有资产占有情况说明</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本单位年末无车辆；年末无单价50万元以上通用设备，年末无单价100万元以上专用设备。</w:t>
      </w:r>
    </w:p>
    <w:p w:rsidR="007F0723" w:rsidRPr="000756D3" w:rsidRDefault="00945276" w:rsidP="005A510C">
      <w:pPr>
        <w:widowControl w:val="0"/>
        <w:spacing w:line="560" w:lineRule="exact"/>
        <w:ind w:firstLineChars="200" w:firstLine="640"/>
        <w:rPr>
          <w:rFonts w:ascii="黑体" w:eastAsia="黑体" w:hAnsi="黑体"/>
          <w:sz w:val="32"/>
          <w:szCs w:val="32"/>
        </w:rPr>
      </w:pPr>
      <w:r w:rsidRPr="000756D3">
        <w:rPr>
          <w:rFonts w:ascii="黑体" w:eastAsia="黑体" w:hAnsi="黑体" w:hint="eastAsia"/>
          <w:sz w:val="32"/>
          <w:szCs w:val="32"/>
        </w:rPr>
        <w:t>十四、关于2020年度预算绩效情况的说明</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highlight w:val="white"/>
        </w:rPr>
        <w:lastRenderedPageBreak/>
        <w:t>（一）绩效管理工作开展情况。</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为进一步规范财政资金管理，牢固树立预算绩效理念，强化责任，提高财政资金使用效益，根据《预算法》及上级有关部门要求，成立了由一把手、分管领导、财务、业务、监事会人员参加的绩效自评小组，对部门整体支出特别是津补贴落实、资产管理、三公经费、预决算公开、区委政府年度绩效目标个性指标完成等情况进行评价。</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highlight w:val="white"/>
        </w:rPr>
        <w:t>（二）部门决算中项目绩效自评结果。</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按照区委、区政府及市供销社要求，围绕保系统安全、保系统稳定、保资产增值、保机关运转的目标，不断提升供销社服务水平，保障有关人员待遇落实，推进供销社综合改革，抓好农村现代网络建设，全面提升供销社发展水平，完成区委、区政府交办的各项中心工作。</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（三）以部门为主体开展的重点绩效评价结果。</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为规范财政资金管理，提高财政资金使用效益，我社加强了对部门整体支出，特别是津补贴落实，资产管理、三公经费，预决算公开及区委、区政府年度绩效目标个性指标完成情况的评价。按照区委、区政府要求，围绕保系统安全，保系统稳定，保资产增值，保机关运转的目标，不断提升服务水平，保障有关人员待遇落实，推进供销社综合改革，全面提升供销社发展水平，较好完成了各级</w:t>
      </w:r>
      <w:r w:rsidRPr="005A510C">
        <w:rPr>
          <w:rFonts w:ascii="仿宋_GB2312" w:eastAsia="仿宋_GB2312" w:hint="eastAsia"/>
          <w:sz w:val="32"/>
          <w:szCs w:val="32"/>
        </w:rPr>
        <w:lastRenderedPageBreak/>
        <w:t>交办的工作任务。</w:t>
      </w:r>
    </w:p>
    <w:p w:rsidR="007F0723" w:rsidRPr="005A510C" w:rsidRDefault="00945276" w:rsidP="005A510C">
      <w:pPr>
        <w:widowControl w:val="0"/>
        <w:spacing w:line="560" w:lineRule="exact"/>
        <w:ind w:firstLineChars="200" w:firstLine="640"/>
        <w:rPr>
          <w:rFonts w:ascii="仿宋_GB2312" w:eastAsia="仿宋_GB2312"/>
          <w:sz w:val="32"/>
          <w:szCs w:val="32"/>
        </w:rPr>
      </w:pPr>
      <w:r w:rsidRPr="005A510C">
        <w:rPr>
          <w:rFonts w:ascii="仿宋_GB2312" w:eastAsia="仿宋_GB2312" w:hint="eastAsia"/>
          <w:sz w:val="32"/>
          <w:szCs w:val="32"/>
        </w:rPr>
        <w:t>2020年，全系统完成商品购进总额97995万元，完成年计划91175万元的107.48%：实现销售115415万元，完成年计划112214万元的106.39%，同比增长5.46%：实现利润678万元，为年计划641万元的105.77%，同比增长4.32%。新增农民专业合作社2个，综合服务社5个，并通过做好（包括涉军人员615人在内的）全系统645人各下岗人员，823名失业人员的服务工作，基本维护了系统安全稳定。  同时，成功召开了赫山区供销社第一次社代会暨区农合联成立大会，选出了供销社新一届理事会、监事会，为供销社改革的进一步深化奠定了坚实的基础。</w:t>
      </w:r>
    </w:p>
    <w:p w:rsidR="007F0723" w:rsidRPr="005A510C" w:rsidRDefault="007F0723" w:rsidP="005A510C">
      <w:pPr>
        <w:widowControl w:val="0"/>
        <w:spacing w:line="560" w:lineRule="exact"/>
        <w:ind w:firstLineChars="200" w:firstLine="640"/>
        <w:rPr>
          <w:rFonts w:ascii="仿宋_GB2312" w:eastAsia="仿宋_GB2312"/>
          <w:sz w:val="32"/>
          <w:szCs w:val="32"/>
        </w:rPr>
      </w:pPr>
    </w:p>
    <w:p w:rsidR="000756D3" w:rsidRPr="000756D3" w:rsidRDefault="00945276" w:rsidP="000756D3">
      <w:pPr>
        <w:widowControl w:val="0"/>
        <w:spacing w:line="560" w:lineRule="exact"/>
        <w:rPr>
          <w:rFonts w:ascii="黑体" w:eastAsia="黑体" w:hAnsi="黑体"/>
          <w:sz w:val="32"/>
          <w:szCs w:val="32"/>
        </w:rPr>
      </w:pPr>
      <w:r w:rsidRPr="000756D3">
        <w:rPr>
          <w:rFonts w:ascii="黑体" w:eastAsia="黑体" w:hAnsi="黑体" w:hint="eastAsia"/>
          <w:sz w:val="32"/>
          <w:szCs w:val="32"/>
        </w:rPr>
        <w:t>第四部分</w:t>
      </w:r>
      <w:r w:rsidR="000756D3" w:rsidRPr="000756D3">
        <w:rPr>
          <w:rFonts w:ascii="黑体" w:eastAsia="黑体" w:hAnsi="黑体" w:hint="eastAsia"/>
          <w:sz w:val="32"/>
          <w:szCs w:val="32"/>
        </w:rPr>
        <w:t>：</w:t>
      </w:r>
    </w:p>
    <w:p w:rsidR="007F0723" w:rsidRPr="000756D3" w:rsidRDefault="00945276" w:rsidP="000756D3">
      <w:pPr>
        <w:widowControl w:val="0"/>
        <w:spacing w:line="560" w:lineRule="exact"/>
        <w:jc w:val="center"/>
        <w:rPr>
          <w:rFonts w:ascii="方正小标宋简体" w:eastAsia="方正小标宋简体"/>
          <w:sz w:val="42"/>
          <w:szCs w:val="42"/>
        </w:rPr>
      </w:pPr>
      <w:r w:rsidRPr="000756D3">
        <w:rPr>
          <w:rFonts w:ascii="方正小标宋简体" w:eastAsia="方正小标宋简体" w:hint="eastAsia"/>
          <w:sz w:val="42"/>
          <w:szCs w:val="42"/>
        </w:rPr>
        <w:t>名词解释</w:t>
      </w:r>
    </w:p>
    <w:p w:rsidR="000756D3" w:rsidRDefault="000756D3" w:rsidP="005A510C">
      <w:pPr>
        <w:widowControl w:val="0"/>
        <w:spacing w:line="560" w:lineRule="exact"/>
        <w:ind w:firstLineChars="200" w:firstLine="640"/>
        <w:rPr>
          <w:rFonts w:ascii="仿宋_GB2312" w:eastAsia="仿宋_GB2312"/>
          <w:sz w:val="32"/>
          <w:szCs w:val="32"/>
          <w:highlight w:val="white"/>
        </w:rPr>
      </w:pP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财政拨款收入：指本级财政当年拨付的资金。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其他收入：指除上述“财政拨款收入”、“上级补助收入”、“事业收入”、“经营收入”、“附属单位上缴收入”等以外的收入。</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上年结转和结余：指以前年度尚未完成、结转到本年按有关规定继续使用的资金。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lastRenderedPageBreak/>
        <w:t>结余分配：指事业单位按规定对非财政补助结余资金提取的职工福利基金、事业基金和缴纳的所得税，以及减少单位按规定应缴回的基本建设竣工项目结余资金。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商业服务业等支出（类）：是指用于商业服务业等方面的支出,包括保障机构正常运转、完成日常和特定的工作任务或事业发展目标的支出。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基本支出：指保障机构正常运转、完成支日常工作任务而发生的人员支出和公用支出。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项目支出：指在基本支出之外为完成特定行政任务和事业发展目标所发生的支出。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“三公”经费：指用财政拨款安排的因公出国（境）费、公务</w:t>
      </w:r>
      <w:r w:rsidRPr="005A510C">
        <w:rPr>
          <w:rFonts w:ascii="仿宋_GB2312" w:eastAsia="仿宋_GB2312" w:hint="eastAsia"/>
          <w:sz w:val="32"/>
          <w:szCs w:val="32"/>
          <w:highlight w:val="white"/>
        </w:rPr>
        <w:lastRenderedPageBreak/>
        <w:t>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津贴补贴：反映经国家批准建立的机关事业单位艰苦边远地区</w:t>
      </w:r>
      <w:r w:rsidRPr="005A510C">
        <w:rPr>
          <w:rFonts w:ascii="仿宋_GB2312" w:eastAsia="仿宋_GB2312" w:hint="eastAsia"/>
          <w:sz w:val="32"/>
          <w:szCs w:val="32"/>
          <w:highlight w:val="white"/>
        </w:rPr>
        <w:lastRenderedPageBreak/>
        <w:t>津贴、机关工作人员地区附加津贴、机关工作人员岗位津贴、事业单位工作人员特殊岗位津贴补贴等。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奖金：反映机关工作人员年终一次性奖金。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伙食补助费：反映单位发给职工的伙食补助费，如误餐补助等。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职工基本医疗保险缴费：反映单位为职工缴纳的基本医疗保险费。</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w:t>
      </w:r>
      <w:r w:rsidRPr="005A510C">
        <w:rPr>
          <w:rFonts w:ascii="仿宋_GB2312" w:eastAsia="仿宋_GB2312" w:hint="eastAsia"/>
          <w:sz w:val="32"/>
          <w:szCs w:val="32"/>
          <w:highlight w:val="white"/>
        </w:rPr>
        <w:lastRenderedPageBreak/>
        <w:t>作并按规定参加企业职工基本养老保险后给予的一次性补贴等。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商品和服务支出：反映单位购买商品和服务的支出（不包括用于购置固定资产的支出、战略性和应急储备支出）。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办公费：反映单位购买按财务会计制度规定不符合固定资产确认标准的日常办公用品、书报杂志等支出。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印刷费：反映单位的印刷费支出。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水费：反映单位支付的水费、污水处理费等支出。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电费：反映单位的电费支出。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邮电费：反映单位开支的信函、包裹、货物等物品的邮寄费及电话费、电报费、传真费、网络通讯费等。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差旅费：反映单位工作人员出差发生的城市间交通费、住宿费、伙食补贴费和市内交通费。</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会议费：反映会议中按规定开支的住宿费、伙食费、会议室租金、交通费、文件印刷费、医药费等。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培训费：反映除因公出国（境）培训费以外的各类培训支出。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公务接待费：反映单位按规定开支的各类公务接待（含外宾接待）费用。</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lastRenderedPageBreak/>
        <w:t>工会经费：反映单位按规定提取的工会经费。</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对个人和家庭的补助：反映政府用于对个人和家庭的补助支出。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离休费：反映行政事业单位和军队移交政府安置的离休人员的离休费、护理费和其他补贴。</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退休费：反映行政事业单位和军队移交政府安置的退休人员的退休费和其他补贴。</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抚恤金：反映按规定开支的烈士遗属、牺牲病故人员遗属的一次性和定期抚恤金，伤残人员的抚恤金，离退休人员等其他人员的各项抚恤金。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专用设备购置：反映用于购置具有专门用途、并按财务会计制度规定纳入固定资产核算范围的各类专用设备的支出。如通信设备、</w:t>
      </w:r>
      <w:r w:rsidRPr="005A510C">
        <w:rPr>
          <w:rFonts w:ascii="仿宋_GB2312" w:eastAsia="仿宋_GB2312" w:hint="eastAsia"/>
          <w:sz w:val="32"/>
          <w:szCs w:val="32"/>
          <w:highlight w:val="white"/>
        </w:rPr>
        <w:lastRenderedPageBreak/>
        <w:t>发电设备、交通监控设备、卫星转发器、气象设备、进出口监管设备等，以及按规定提取的修购基金。</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7F0723" w:rsidRPr="000756D3" w:rsidRDefault="00945276" w:rsidP="000756D3">
      <w:pPr>
        <w:widowControl w:val="0"/>
        <w:spacing w:line="560" w:lineRule="exact"/>
        <w:rPr>
          <w:rFonts w:ascii="黑体" w:eastAsia="黑体" w:hAnsi="黑体"/>
          <w:sz w:val="32"/>
          <w:szCs w:val="32"/>
        </w:rPr>
      </w:pPr>
      <w:r w:rsidRPr="000756D3">
        <w:rPr>
          <w:rFonts w:ascii="黑体" w:eastAsia="黑体" w:hAnsi="黑体" w:hint="eastAsia"/>
          <w:sz w:val="32"/>
          <w:szCs w:val="32"/>
        </w:rPr>
        <w:t>第五部分</w:t>
      </w:r>
      <w:r w:rsidR="000756D3" w:rsidRPr="000756D3">
        <w:rPr>
          <w:rFonts w:ascii="黑体" w:eastAsia="黑体" w:hAnsi="黑体" w:hint="eastAsia"/>
          <w:sz w:val="32"/>
          <w:szCs w:val="32"/>
        </w:rPr>
        <w:t>：</w:t>
      </w:r>
      <w:r w:rsidRPr="000756D3">
        <w:rPr>
          <w:rFonts w:ascii="黑体" w:eastAsia="黑体" w:hAnsi="黑体" w:hint="eastAsia"/>
          <w:sz w:val="32"/>
          <w:szCs w:val="32"/>
        </w:rPr>
        <w:t>附件</w:t>
      </w:r>
    </w:p>
    <w:p w:rsidR="007F0723" w:rsidRPr="000756D3" w:rsidRDefault="00945276" w:rsidP="000756D3">
      <w:pPr>
        <w:widowControl w:val="0"/>
        <w:spacing w:line="560" w:lineRule="exact"/>
        <w:jc w:val="center"/>
        <w:rPr>
          <w:rFonts w:ascii="方正小标宋简体" w:eastAsia="方正小标宋简体"/>
          <w:sz w:val="42"/>
          <w:szCs w:val="42"/>
          <w:highlight w:val="white"/>
        </w:rPr>
      </w:pPr>
      <w:r w:rsidRPr="000756D3">
        <w:rPr>
          <w:rFonts w:ascii="方正小标宋简体" w:eastAsia="方正小标宋简体" w:hint="eastAsia"/>
          <w:sz w:val="42"/>
          <w:szCs w:val="42"/>
          <w:highlight w:val="white"/>
        </w:rPr>
        <w:t>赫山区供销社2020年度整体支出绩效评价报告</w:t>
      </w:r>
    </w:p>
    <w:p w:rsidR="007F0723" w:rsidRPr="005A510C" w:rsidRDefault="007F0723" w:rsidP="005A510C">
      <w:pPr>
        <w:widowControl w:val="0"/>
        <w:spacing w:line="560" w:lineRule="exact"/>
        <w:ind w:firstLineChars="200" w:firstLine="640"/>
        <w:rPr>
          <w:rFonts w:ascii="仿宋_GB2312" w:eastAsia="仿宋_GB2312"/>
          <w:sz w:val="32"/>
          <w:szCs w:val="32"/>
          <w:highlight w:val="white"/>
        </w:rPr>
      </w:pPr>
    </w:p>
    <w:p w:rsidR="000756D3"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为确实做好2020年度预算绩效自评价工作，提高财政资金使用效益，结合实际，现将我社整体支出绩效自评结果报告如下：</w:t>
      </w:r>
    </w:p>
    <w:p w:rsidR="007F0723" w:rsidRPr="000756D3" w:rsidRDefault="00945276" w:rsidP="005A510C">
      <w:pPr>
        <w:widowControl w:val="0"/>
        <w:spacing w:line="560" w:lineRule="exact"/>
        <w:ind w:firstLineChars="200" w:firstLine="640"/>
        <w:rPr>
          <w:rFonts w:ascii="黑体" w:eastAsia="黑体" w:hAnsi="黑体"/>
          <w:sz w:val="32"/>
          <w:szCs w:val="32"/>
        </w:rPr>
      </w:pPr>
      <w:r w:rsidRPr="000756D3">
        <w:rPr>
          <w:rFonts w:ascii="黑体" w:eastAsia="黑体" w:hAnsi="黑体" w:hint="eastAsia"/>
          <w:sz w:val="32"/>
          <w:szCs w:val="32"/>
          <w:highlight w:val="white"/>
        </w:rPr>
        <w:t>一、单位基本情况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赫山区供销社为公益一类全额拨款事业单位，主要职责有：（一）贯彻落实中央、省市区委及上级社的方针、政策部署，针对本地区农业供给侧结构改革的要求，发展农村合作经济组织，服务美丽乡村建设，打造为农、务农、姓农的综合服务体系。（二）研究和完善全区深化供销社合作社综合改革实施方案，探索一条符合本区实际的综合改革路径，指导和监督社有企业改革与发展，引导农业龙</w:t>
      </w:r>
      <w:r w:rsidRPr="005A510C">
        <w:rPr>
          <w:rFonts w:ascii="仿宋_GB2312" w:eastAsia="仿宋_GB2312" w:hint="eastAsia"/>
          <w:sz w:val="32"/>
          <w:szCs w:val="32"/>
          <w:highlight w:val="white"/>
        </w:rPr>
        <w:lastRenderedPageBreak/>
        <w:t>头企业和各类农业经营主体采取资金合作，技术合作，劳务合作等形式发展新型农村合作经济组织，进一步完善供销合作社的基层组织建设，进一步夯实为农服务平台。（三）指导全区供销合作社联合社的业务活动，抓好专业市场管理，探索新时代农村现代流通网络建设，引导和带动农民专业合作社的发展。（四）负责管理全系统现有资产，确保资产收益最大化；协调有关部门维护供销合作组织和社有企业合法权益。（五）加快深化我区供销综合改革步伐，使供销社成为与农民联结更紧密，为农服务功能更完善，市场化运行更高效的合作经济组织体系；成为服务农民生产生活的生力军和综合平台。（六）完成区委、区政府交办的其他任务。赫山供销社下属企业共计16家，干部职工3680人。机关定编26人，实有在职人员22人，离退休人员39人。</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二、一般公共预算支出情况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（一）基本支出情况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2020年区财政拨款555.05万元，支出总额555.05万元。</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w:t>
      </w:r>
      <w:r w:rsidR="00945276" w:rsidRPr="005A510C">
        <w:rPr>
          <w:rFonts w:ascii="仿宋_GB2312" w:eastAsia="仿宋_GB2312" w:hint="eastAsia"/>
          <w:sz w:val="32"/>
          <w:szCs w:val="32"/>
          <w:highlight w:val="white"/>
        </w:rPr>
        <w:t>工资福利支出340.10万元，其中：基本工资117.14万元，津贴补贴79.87万元,奖金33.12万元，绩效工资22.63万元，伙食补助12.59万元，其他社会保障缴费37.36万元，住房公积金17.40万元。其他工资福利支出19.98万元。</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w:t>
      </w:r>
      <w:r w:rsidR="00945276" w:rsidRPr="005A510C">
        <w:rPr>
          <w:rFonts w:ascii="仿宋_GB2312" w:eastAsia="仿宋_GB2312" w:hint="eastAsia"/>
          <w:sz w:val="32"/>
          <w:szCs w:val="32"/>
          <w:highlight w:val="white"/>
        </w:rPr>
        <w:t>商品服务支出137.76万元，其中：办公费14.88万元，印</w:t>
      </w:r>
      <w:r w:rsidR="00945276" w:rsidRPr="005A510C">
        <w:rPr>
          <w:rFonts w:ascii="仿宋_GB2312" w:eastAsia="仿宋_GB2312" w:hint="eastAsia"/>
          <w:sz w:val="32"/>
          <w:szCs w:val="32"/>
          <w:highlight w:val="white"/>
        </w:rPr>
        <w:lastRenderedPageBreak/>
        <w:t>刷费0.18万元，水费0.57万元，电费3.45万元，邮电费0.02万元，差旅费3.10万元，维护费5.05万元，租赁费18.00万元，会议费7.01万元，培训费0.84万元，公务接待费9.78万元，劳务费13.68万元，工会经费11.92万元，其他交通费用15.00万元，其他商品和服务支出34.28万元。</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3.</w:t>
      </w:r>
      <w:r w:rsidR="00945276" w:rsidRPr="005A510C">
        <w:rPr>
          <w:rFonts w:ascii="仿宋_GB2312" w:eastAsia="仿宋_GB2312" w:hint="eastAsia"/>
          <w:sz w:val="32"/>
          <w:szCs w:val="32"/>
          <w:highlight w:val="white"/>
        </w:rPr>
        <w:t>对个人和家庭的补助111.12万元，其中：离休费：15.41万元，退休费13.20万元，抚恤金17.02万元，生活补助16.21万元，救济费16.00万元，其他对个人和家庭的补助支出33.29万元。</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（二）项目支出情况</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w:t>
      </w:r>
      <w:r w:rsidR="00945276" w:rsidRPr="005A510C">
        <w:rPr>
          <w:rFonts w:ascii="仿宋_GB2312" w:eastAsia="仿宋_GB2312" w:hint="eastAsia"/>
          <w:sz w:val="32"/>
          <w:szCs w:val="32"/>
          <w:highlight w:val="white"/>
        </w:rPr>
        <w:t>惠农项目支出216.00万元，其中农产品展示中心门面购置129.00万（自筹资金20.00万），龙光桥街道供销惠农有限公司参股 20.00万，岳家桥镇供销惠农有限公司参股 20.00万，衡龙桥镇供销惠农有限公司参股 20.00万元，华林村惠农综合服务社建设 10.00万， 砂岭村惠农综合服务社建设 10.00万，岭湖村惠农综合服务社建设 3.00万，水满村惠农综合服务社建设 3.00万，提卡子村惠农综合服务社建设 3.00万，金家堤村惠农综合服务社建设 3.00万，惠农服务公司办公室翻修 15.00万。</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w:t>
      </w:r>
      <w:r w:rsidR="00945276" w:rsidRPr="005A510C">
        <w:rPr>
          <w:rFonts w:ascii="仿宋_GB2312" w:eastAsia="仿宋_GB2312" w:hint="eastAsia"/>
          <w:sz w:val="32"/>
          <w:szCs w:val="32"/>
          <w:highlight w:val="white"/>
        </w:rPr>
        <w:t>系统年底解困专项资金40.00万元元。主要用于解决系统遗留原企业退休行政干部比照行政退休发放津补贴、系统维稳经费、解决系统改制、未改制企业历史遗留问题。</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lastRenderedPageBreak/>
        <w:t>三、单位整体支出资金使用情况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2020年总支出811.05万元，主要包括工资福利支出、商品服务支出、对家庭和个人的补助支出以及专项支出等。2020年我社严格按照财经制度认真贯彻落实厉行节约，严控“三公”经费、降低一般运行经费、加强日常支出管理等方面取得了一定的成绩。实行了“三公”经费预算和公示制度，有效地控制了“三公”经费支出。实际支出没有超出预算规模、范围和标准。2020年我单位“三公”经费支出合计9.79万元，较上年有减少，公务用车购置费0万元，公务用车运行维护费0万元，因公出国（境）费0万元。</w:t>
      </w:r>
    </w:p>
    <w:p w:rsidR="007F0723" w:rsidRPr="000756D3" w:rsidRDefault="00945276" w:rsidP="005A510C">
      <w:pPr>
        <w:widowControl w:val="0"/>
        <w:spacing w:line="560" w:lineRule="exact"/>
        <w:ind w:firstLineChars="200" w:firstLine="640"/>
        <w:rPr>
          <w:rFonts w:ascii="黑体" w:eastAsia="黑体" w:hAnsi="黑体"/>
          <w:sz w:val="32"/>
          <w:szCs w:val="32"/>
          <w:highlight w:val="white"/>
        </w:rPr>
      </w:pPr>
      <w:r w:rsidRPr="000756D3">
        <w:rPr>
          <w:rFonts w:ascii="黑体" w:eastAsia="黑体" w:hAnsi="黑体" w:hint="eastAsia"/>
          <w:sz w:val="32"/>
          <w:szCs w:val="32"/>
          <w:highlight w:val="white"/>
        </w:rPr>
        <w:t>四、绩效评价工作情况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为进一步规范财政资金管理，牢固树立预算绩效理念，强化责任，提高财政资金使用效益，根据《预算法》及上级有关部门要求，成立了由一把手、分管领导、财务、业务、监事会人员参加的绩效自评小组，对部门整体支出特别是津补贴落实、资产管理、三公经费、预决算公开、区委政府年度绩效目标个性指标完成等情况进行评价。</w:t>
      </w:r>
    </w:p>
    <w:p w:rsidR="007F0723" w:rsidRPr="00591414" w:rsidRDefault="00945276" w:rsidP="005A510C">
      <w:pPr>
        <w:widowControl w:val="0"/>
        <w:spacing w:line="560" w:lineRule="exact"/>
        <w:ind w:firstLineChars="200" w:firstLine="640"/>
        <w:rPr>
          <w:rFonts w:ascii="黑体" w:eastAsia="黑体" w:hAnsi="黑体"/>
          <w:sz w:val="32"/>
          <w:szCs w:val="32"/>
          <w:highlight w:val="white"/>
        </w:rPr>
      </w:pPr>
      <w:r w:rsidRPr="00591414">
        <w:rPr>
          <w:rFonts w:ascii="黑体" w:eastAsia="黑体" w:hAnsi="黑体" w:hint="eastAsia"/>
          <w:sz w:val="32"/>
          <w:szCs w:val="32"/>
          <w:highlight w:val="white"/>
        </w:rPr>
        <w:t>五、主要绩效及评价结论</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按照区委、区政府及市供销社要求，围绕保系统安全、保系统稳定、保资产增值、保机关运转的目标，不断提升供销社服务水平，保障有关人员待遇落实，推进供销社综合改革，抓好农村现代网络</w:t>
      </w:r>
      <w:r w:rsidRPr="005A510C">
        <w:rPr>
          <w:rFonts w:ascii="仿宋_GB2312" w:eastAsia="仿宋_GB2312" w:hint="eastAsia"/>
          <w:sz w:val="32"/>
          <w:szCs w:val="32"/>
          <w:highlight w:val="white"/>
        </w:rPr>
        <w:lastRenderedPageBreak/>
        <w:t>建设，全面提升供销社发展水平，完成区委、区政府交办的各项中心工作。</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一）全系统完成商品销售总额112214万元，为年初计划105415万元的106.45%，实现利润678万元，为年初计划641万元的105.77%；资产总额15576万元，为年初计划10062万元的154.8%。全年新增农民专业合作社2个，综合服务社5个，全部完成了区委、区政府下达的个性指标任务。</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二）有序推进改革，组织体系日臻完善。按照区委区政府益赫发（2017）7号文件《关于深化供销合作社综合改革的意见》，积极拓展经营服务领域、履行为农服务职责：一是整合再生资源回收利用，在确保以往网点正常运转的前提下，投入近15万元，新增5余个回收示范点，依法取缔违规网点，并通过开展业务培训，积极参与农村环境综合治理，为我区农村清洁工程做出了努力。二是发展农村电子商务网点达到29个，全年实现线上销售农产品（含加工）9035多万元。三是拓展农业社会化服务，以所属农业服务公司、基层社、专业社为主体，开展合作、托管、订单式农业社会化服务，全系统全年流转、托管土地15万亩，服务面积19万多亩。四是积极申报惠农综合服务示范县项目，在区政府及市供销社的大力支持下，成功申报了湖南省惠农综合服务示范县项目，项目资金216万元。四是把握底线，实现系统平安稳定。全系统共下岗人员</w:t>
      </w:r>
      <w:r w:rsidRPr="005A510C">
        <w:rPr>
          <w:rFonts w:ascii="仿宋_GB2312" w:eastAsia="仿宋_GB2312" w:hint="eastAsia"/>
          <w:sz w:val="32"/>
          <w:szCs w:val="32"/>
          <w:highlight w:val="white"/>
        </w:rPr>
        <w:lastRenderedPageBreak/>
        <w:t>645人，失业人员840人，其中涉军人员615人，养老金欠费5500多万，不稳定因素众多。我们对安全生产隐患和不稳定因素，坚持一月一调度，定期排查；把来信来访与维护稳定有机结合，采取三邦一，五邦一，不厌其烦做工作，并积极向上级反映，争取政府及有关部门支持，解决了部分人员退休垫付的应由单位负担的社保金。同时区社机关挤出资金解决特困家庭困难等，争取职工的理解与支持，基本维护了系统的安全稳定。</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（三）勤俭节约,确保机关运转。通过制定严格规章制度，严格执行有关规定，在部门经费不足的情况下，确保了机关正常运转。</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（四）强化系统资产管理，完善了资产办法管理台账及使用登记，统一了资产租赁合同和备案管理，规范了资产处置办法，确保了资产的保值增值。</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五）统筹抓好中心工作，完成了区委、政府交办的工作任务。根据上级要求我们对党风廉政建设、文明创建、精准扶贫、法治建设常抓不懈，使系统党风、政风根本好转；形成了文明创建的良好氛围。同时，发挥工会作用，有效维护了职工切身利益。</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91414">
        <w:rPr>
          <w:rFonts w:ascii="黑体" w:eastAsia="黑体" w:hAnsi="黑体" w:hint="eastAsia"/>
          <w:sz w:val="32"/>
          <w:szCs w:val="32"/>
          <w:highlight w:val="white"/>
        </w:rPr>
        <w:t>六、存在的问题</w:t>
      </w:r>
      <w:r w:rsidRPr="00591414">
        <w:rPr>
          <w:rFonts w:ascii="黑体" w:eastAsia="黑体" w:hAnsi="黑体" w:hint="eastAsia"/>
          <w:sz w:val="32"/>
          <w:szCs w:val="32"/>
          <w:highlight w:val="white"/>
        </w:rPr>
        <w:br/>
      </w:r>
      <w:r w:rsidRPr="005A510C">
        <w:rPr>
          <w:rFonts w:ascii="仿宋_GB2312" w:eastAsia="仿宋_GB2312" w:hint="eastAsia"/>
          <w:sz w:val="32"/>
          <w:szCs w:val="32"/>
          <w:highlight w:val="white"/>
        </w:rPr>
        <w:t>  </w:t>
      </w:r>
      <w:r w:rsidRPr="005A510C">
        <w:rPr>
          <w:rFonts w:ascii="仿宋_GB2312" w:eastAsia="仿宋_GB2312" w:hint="eastAsia"/>
          <w:sz w:val="32"/>
          <w:szCs w:val="32"/>
          <w:highlight w:val="white"/>
        </w:rPr>
        <w:t>收入支出与预算有差距，对收入支出合理的预算缺乏有效的管理；另外单位历史遗留问题情况复杂，协调处理困难。</w:t>
      </w:r>
      <w:r w:rsidRPr="005A510C">
        <w:rPr>
          <w:rFonts w:ascii="仿宋_GB2312" w:eastAsia="仿宋_GB2312" w:hint="eastAsia"/>
          <w:sz w:val="32"/>
          <w:szCs w:val="32"/>
          <w:highlight w:val="white"/>
        </w:rPr>
        <w:t> </w:t>
      </w:r>
    </w:p>
    <w:p w:rsidR="007F0723" w:rsidRPr="00591414" w:rsidRDefault="00945276" w:rsidP="005A510C">
      <w:pPr>
        <w:widowControl w:val="0"/>
        <w:spacing w:line="560" w:lineRule="exact"/>
        <w:ind w:firstLineChars="200" w:firstLine="640"/>
        <w:rPr>
          <w:rFonts w:ascii="黑体" w:eastAsia="黑体" w:hAnsi="黑体"/>
          <w:sz w:val="32"/>
          <w:szCs w:val="32"/>
          <w:highlight w:val="white"/>
        </w:rPr>
      </w:pPr>
      <w:r w:rsidRPr="00591414">
        <w:rPr>
          <w:rFonts w:ascii="黑体" w:eastAsia="黑体" w:hAnsi="黑体" w:hint="eastAsia"/>
          <w:sz w:val="32"/>
          <w:szCs w:val="32"/>
          <w:highlight w:val="white"/>
        </w:rPr>
        <w:t>七、工作建议</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（一）</w:t>
      </w:r>
      <w:r w:rsidR="00945276" w:rsidRPr="005A510C">
        <w:rPr>
          <w:rFonts w:ascii="仿宋_GB2312" w:eastAsia="仿宋_GB2312" w:hint="eastAsia"/>
          <w:sz w:val="32"/>
          <w:szCs w:val="32"/>
          <w:highlight w:val="white"/>
        </w:rPr>
        <w:t>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945276" w:rsidRPr="005A510C">
        <w:rPr>
          <w:rFonts w:ascii="仿宋_GB2312" w:eastAsia="仿宋_GB2312" w:hint="eastAsia"/>
          <w:sz w:val="32"/>
          <w:szCs w:val="32"/>
          <w:highlight w:val="white"/>
        </w:rPr>
        <w:t>在日常预算管理过程中，进一步加强预算支出的审核、跟踪及预算执行情况分析。</w:t>
      </w:r>
    </w:p>
    <w:p w:rsidR="00591414"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w:t>
      </w:r>
      <w:r w:rsidR="00945276" w:rsidRPr="005A510C">
        <w:rPr>
          <w:rFonts w:ascii="仿宋_GB2312" w:eastAsia="仿宋_GB2312" w:hint="eastAsia"/>
          <w:sz w:val="32"/>
          <w:szCs w:val="32"/>
          <w:highlight w:val="white"/>
        </w:rPr>
        <w:t>统一思想，加强领导，明确责任，完善绩效评价管理制度，为绩效评价工作开展创造好的条件。</w:t>
      </w:r>
      <w:r w:rsidR="00945276" w:rsidRPr="005A510C">
        <w:rPr>
          <w:rFonts w:ascii="仿宋_GB2312" w:eastAsia="仿宋_GB2312" w:hint="eastAsia"/>
          <w:sz w:val="32"/>
          <w:szCs w:val="32"/>
          <w:highlight w:val="white"/>
        </w:rPr>
        <w:t> </w:t>
      </w:r>
    </w:p>
    <w:p w:rsidR="007F0723" w:rsidRPr="005A510C" w:rsidRDefault="00591414" w:rsidP="005A510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（四）</w:t>
      </w:r>
      <w:r w:rsidR="00945276" w:rsidRPr="005A510C">
        <w:rPr>
          <w:rFonts w:ascii="仿宋_GB2312" w:eastAsia="仿宋_GB2312" w:hint="eastAsia"/>
          <w:sz w:val="32"/>
          <w:szCs w:val="32"/>
          <w:highlight w:val="white"/>
        </w:rPr>
        <w:t>把绩效评价工作作为一项日常性工作，完善绩效评价管理工作考核的长效机制。</w:t>
      </w:r>
    </w:p>
    <w:p w:rsidR="007F0723" w:rsidRPr="00591414" w:rsidRDefault="00945276" w:rsidP="005A510C">
      <w:pPr>
        <w:widowControl w:val="0"/>
        <w:spacing w:line="560" w:lineRule="exact"/>
        <w:ind w:firstLineChars="200" w:firstLine="640"/>
        <w:rPr>
          <w:rFonts w:ascii="黑体" w:eastAsia="黑体" w:hAnsi="黑体"/>
          <w:sz w:val="32"/>
          <w:szCs w:val="32"/>
          <w:highlight w:val="white"/>
        </w:rPr>
      </w:pPr>
      <w:r w:rsidRPr="00591414">
        <w:rPr>
          <w:rFonts w:ascii="黑体" w:eastAsia="黑体" w:hAnsi="黑体" w:hint="eastAsia"/>
          <w:sz w:val="32"/>
          <w:szCs w:val="32"/>
          <w:highlight w:val="white"/>
        </w:rPr>
        <w:t>八、其他需要说明的情况</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无。</w:t>
      </w:r>
    </w:p>
    <w:p w:rsidR="007F0723" w:rsidRPr="005A510C" w:rsidRDefault="00945276" w:rsidP="005A510C">
      <w:pPr>
        <w:widowControl w:val="0"/>
        <w:spacing w:line="560" w:lineRule="exact"/>
        <w:ind w:firstLineChars="200" w:firstLine="640"/>
        <w:rPr>
          <w:rFonts w:ascii="仿宋_GB2312" w:eastAsia="仿宋_GB2312"/>
          <w:sz w:val="32"/>
          <w:szCs w:val="32"/>
          <w:highlight w:val="white"/>
        </w:rPr>
      </w:pPr>
      <w:r w:rsidRPr="005A510C">
        <w:rPr>
          <w:rFonts w:ascii="仿宋_GB2312" w:eastAsia="仿宋_GB2312" w:hint="eastAsia"/>
          <w:sz w:val="32"/>
          <w:szCs w:val="32"/>
          <w:highlight w:val="white"/>
        </w:rPr>
        <w:t>                </w:t>
      </w:r>
      <w:r w:rsidRPr="005A510C">
        <w:rPr>
          <w:rFonts w:ascii="仿宋_GB2312" w:eastAsia="仿宋_GB2312" w:hint="eastAsia"/>
          <w:sz w:val="32"/>
          <w:szCs w:val="32"/>
          <w:highlight w:val="white"/>
        </w:rPr>
        <w:t>                                           益阳市赫山区供销合作社联合社</w:t>
      </w:r>
    </w:p>
    <w:p w:rsidR="007F0723" w:rsidRDefault="00945276" w:rsidP="00591414">
      <w:pPr>
        <w:widowControl w:val="0"/>
        <w:spacing w:line="560" w:lineRule="exact"/>
        <w:ind w:firstLineChars="1650" w:firstLine="5280"/>
        <w:rPr>
          <w:rFonts w:ascii="宋体"/>
          <w:color w:val="000000"/>
          <w:kern w:val="0"/>
          <w:sz w:val="18"/>
          <w:highlight w:val="white"/>
          <w:lang w:val="zh-CN"/>
        </w:rPr>
      </w:pPr>
      <w:r w:rsidRPr="005A510C">
        <w:rPr>
          <w:rFonts w:ascii="仿宋_GB2312" w:eastAsia="仿宋_GB2312" w:hint="eastAsia"/>
          <w:sz w:val="32"/>
          <w:szCs w:val="32"/>
          <w:highlight w:val="white"/>
        </w:rPr>
        <w:t>2021</w:t>
      </w:r>
      <w:r w:rsidR="00591414">
        <w:rPr>
          <w:rFonts w:ascii="仿宋_GB2312" w:eastAsia="仿宋_GB2312" w:hint="eastAsia"/>
          <w:sz w:val="32"/>
          <w:szCs w:val="32"/>
          <w:highlight w:val="white"/>
        </w:rPr>
        <w:t>年</w:t>
      </w:r>
      <w:r w:rsidRPr="005A510C">
        <w:rPr>
          <w:rFonts w:ascii="仿宋_GB2312" w:eastAsia="仿宋_GB2312" w:hint="eastAsia"/>
          <w:sz w:val="32"/>
          <w:szCs w:val="32"/>
          <w:highlight w:val="white"/>
        </w:rPr>
        <w:t>7</w:t>
      </w:r>
      <w:r w:rsidR="00591414">
        <w:rPr>
          <w:rFonts w:ascii="仿宋_GB2312" w:eastAsia="仿宋_GB2312" w:hint="eastAsia"/>
          <w:sz w:val="32"/>
          <w:szCs w:val="32"/>
          <w:highlight w:val="white"/>
        </w:rPr>
        <w:t>月</w:t>
      </w:r>
      <w:r w:rsidRPr="005A510C">
        <w:rPr>
          <w:rFonts w:ascii="仿宋_GB2312" w:eastAsia="仿宋_GB2312" w:hint="eastAsia"/>
          <w:sz w:val="32"/>
          <w:szCs w:val="32"/>
          <w:highlight w:val="white"/>
        </w:rPr>
        <w:t>27</w:t>
      </w:r>
      <w:r w:rsidR="00591414">
        <w:rPr>
          <w:rFonts w:ascii="仿宋_GB2312" w:eastAsia="仿宋_GB2312" w:hint="eastAsia"/>
          <w:sz w:val="32"/>
          <w:szCs w:val="32"/>
          <w:highlight w:val="white"/>
        </w:rPr>
        <w:t>日</w:t>
      </w:r>
    </w:p>
    <w:p w:rsidR="007F0723" w:rsidRDefault="007F0723">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hint="eastAsia"/>
          <w:color w:val="000000"/>
          <w:kern w:val="0"/>
          <w:sz w:val="18"/>
          <w:highlight w:val="white"/>
          <w:lang w:val="zh-CN"/>
        </w:rPr>
      </w:pPr>
    </w:p>
    <w:p w:rsidR="000D00B8" w:rsidRDefault="000D00B8">
      <w:pPr>
        <w:rPr>
          <w:rFonts w:ascii="宋体"/>
          <w:color w:val="000000"/>
          <w:kern w:val="0"/>
          <w:sz w:val="18"/>
          <w:highlight w:val="white"/>
          <w:lang w:val="zh-CN"/>
        </w:rPr>
      </w:pPr>
    </w:p>
    <w:p w:rsidR="007F0723" w:rsidRPr="00591414" w:rsidRDefault="00945276" w:rsidP="007C2AFF">
      <w:pPr>
        <w:spacing w:line="460" w:lineRule="exact"/>
        <w:jc w:val="center"/>
        <w:rPr>
          <w:rFonts w:ascii="方正小标宋简体" w:eastAsia="方正小标宋简体" w:hAnsi="黑体"/>
          <w:color w:val="000000"/>
          <w:kern w:val="0"/>
          <w:sz w:val="42"/>
          <w:szCs w:val="42"/>
          <w:highlight w:val="white"/>
          <w:lang w:val="zh-CN"/>
        </w:rPr>
      </w:pPr>
      <w:r w:rsidRPr="00591414">
        <w:rPr>
          <w:rFonts w:ascii="方正小标宋简体" w:eastAsia="方正小标宋简体" w:hAnsi="黑体" w:hint="eastAsia"/>
          <w:color w:val="000000"/>
          <w:kern w:val="0"/>
          <w:sz w:val="42"/>
          <w:szCs w:val="42"/>
          <w:highlight w:val="white"/>
          <w:lang w:val="zh-CN"/>
        </w:rPr>
        <w:lastRenderedPageBreak/>
        <w:t>2020年度部门整体支出绩效自评指标计分表</w:t>
      </w:r>
    </w:p>
    <w:tbl>
      <w:tblPr>
        <w:tblpPr w:leftFromText="180" w:rightFromText="180" w:vertAnchor="text" w:horzAnchor="page" w:tblpX="1775" w:tblpY="630"/>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39"/>
        <w:gridCol w:w="811"/>
        <w:gridCol w:w="970"/>
        <w:gridCol w:w="883"/>
        <w:gridCol w:w="2607"/>
        <w:gridCol w:w="3216"/>
      </w:tblGrid>
      <w:tr w:rsidR="007F0723" w:rsidTr="007C2AFF">
        <w:trPr>
          <w:trHeight w:val="509"/>
          <w:tblHeader/>
        </w:trPr>
        <w:tc>
          <w:tcPr>
            <w:tcW w:w="400" w:type="pct"/>
            <w:shd w:val="clear" w:color="auto" w:fill="auto"/>
            <w:noWrap/>
            <w:tcMar>
              <w:top w:w="10" w:type="dxa"/>
              <w:left w:w="10" w:type="dxa"/>
              <w:bottom w:w="0" w:type="dxa"/>
              <w:right w:w="10" w:type="dxa"/>
            </w:tcMar>
            <w:vAlign w:val="center"/>
          </w:tcPr>
          <w:p w:rsidR="007F0723" w:rsidRDefault="00945276" w:rsidP="007C2AFF">
            <w:pPr>
              <w:jc w:val="center"/>
              <w:rPr>
                <w:rFonts w:ascii="宋体"/>
                <w:color w:val="000000"/>
                <w:kern w:val="0"/>
                <w:sz w:val="18"/>
                <w:highlight w:val="white"/>
                <w:lang w:val="zh-CN"/>
              </w:rPr>
            </w:pPr>
            <w:bookmarkStart w:id="0" w:name="_GoBack" w:colFirst="0" w:colLast="5"/>
            <w:r>
              <w:rPr>
                <w:rFonts w:ascii="宋体" w:hint="eastAsia"/>
                <w:color w:val="000000"/>
                <w:kern w:val="0"/>
                <w:sz w:val="18"/>
                <w:highlight w:val="white"/>
                <w:lang w:val="zh-CN"/>
              </w:rPr>
              <w:t>一级</w:t>
            </w:r>
            <w:r>
              <w:rPr>
                <w:rFonts w:ascii="宋体" w:hint="eastAsia"/>
                <w:color w:val="000000"/>
                <w:kern w:val="0"/>
                <w:sz w:val="18"/>
                <w:highlight w:val="white"/>
                <w:lang w:val="zh-CN"/>
              </w:rPr>
              <w:br/>
              <w:t>指标</w:t>
            </w:r>
          </w:p>
        </w:tc>
        <w:tc>
          <w:tcPr>
            <w:tcW w:w="439" w:type="pct"/>
            <w:shd w:val="clear" w:color="auto" w:fill="auto"/>
            <w:noWrap/>
            <w:tcMar>
              <w:top w:w="10" w:type="dxa"/>
              <w:left w:w="10" w:type="dxa"/>
              <w:bottom w:w="0" w:type="dxa"/>
              <w:right w:w="10" w:type="dxa"/>
            </w:tcMar>
            <w:vAlign w:val="center"/>
          </w:tcPr>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二级</w:t>
            </w:r>
          </w:p>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指标</w:t>
            </w:r>
          </w:p>
        </w:tc>
        <w:tc>
          <w:tcPr>
            <w:tcW w:w="525" w:type="pct"/>
            <w:shd w:val="clear" w:color="auto" w:fill="auto"/>
            <w:noWrap/>
            <w:tcMar>
              <w:top w:w="10" w:type="dxa"/>
              <w:left w:w="10" w:type="dxa"/>
              <w:bottom w:w="0" w:type="dxa"/>
              <w:right w:w="10" w:type="dxa"/>
            </w:tcMar>
            <w:vAlign w:val="center"/>
          </w:tcPr>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三级</w:t>
            </w:r>
          </w:p>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指标</w:t>
            </w:r>
          </w:p>
        </w:tc>
        <w:tc>
          <w:tcPr>
            <w:tcW w:w="478" w:type="pct"/>
            <w:shd w:val="clear" w:color="auto" w:fill="auto"/>
            <w:noWrap/>
            <w:tcMar>
              <w:top w:w="0" w:type="dxa"/>
              <w:left w:w="0" w:type="dxa"/>
              <w:bottom w:w="0" w:type="dxa"/>
              <w:right w:w="0" w:type="dxa"/>
            </w:tcMar>
            <w:vAlign w:val="center"/>
          </w:tcPr>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自评分</w:t>
            </w:r>
          </w:p>
        </w:tc>
        <w:tc>
          <w:tcPr>
            <w:tcW w:w="1412" w:type="pct"/>
            <w:shd w:val="clear" w:color="auto" w:fill="auto"/>
            <w:noWrap/>
            <w:tcMar>
              <w:top w:w="10" w:type="dxa"/>
              <w:left w:w="10" w:type="dxa"/>
              <w:bottom w:w="0" w:type="dxa"/>
              <w:right w:w="10" w:type="dxa"/>
            </w:tcMar>
            <w:vAlign w:val="center"/>
          </w:tcPr>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指标解释</w:t>
            </w:r>
          </w:p>
        </w:tc>
        <w:tc>
          <w:tcPr>
            <w:tcW w:w="1742" w:type="pct"/>
            <w:shd w:val="clear" w:color="auto" w:fill="auto"/>
            <w:noWrap/>
            <w:tcMar>
              <w:top w:w="10" w:type="dxa"/>
              <w:left w:w="10" w:type="dxa"/>
              <w:bottom w:w="0" w:type="dxa"/>
              <w:right w:w="10" w:type="dxa"/>
            </w:tcMar>
            <w:vAlign w:val="center"/>
          </w:tcPr>
          <w:p w:rsidR="007F0723" w:rsidRDefault="00945276" w:rsidP="007C2AFF">
            <w:pPr>
              <w:jc w:val="center"/>
              <w:rPr>
                <w:rFonts w:ascii="宋体"/>
                <w:color w:val="000000"/>
                <w:kern w:val="0"/>
                <w:sz w:val="18"/>
                <w:highlight w:val="white"/>
                <w:lang w:val="zh-CN"/>
              </w:rPr>
            </w:pPr>
            <w:r>
              <w:rPr>
                <w:rFonts w:ascii="宋体" w:hint="eastAsia"/>
                <w:color w:val="000000"/>
                <w:kern w:val="0"/>
                <w:sz w:val="18"/>
                <w:highlight w:val="white"/>
                <w:lang w:val="zh-CN"/>
              </w:rPr>
              <w:t>指标说明</w:t>
            </w:r>
          </w:p>
        </w:tc>
      </w:tr>
      <w:bookmarkEnd w:id="0"/>
      <w:tr w:rsidR="007F0723" w:rsidTr="007C2AFF">
        <w:trPr>
          <w:trHeight w:val="1568"/>
        </w:trPr>
        <w:tc>
          <w:tcPr>
            <w:tcW w:w="400"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投</w:t>
            </w:r>
            <w:r>
              <w:rPr>
                <w:rFonts w:ascii="宋体" w:hint="eastAsia"/>
                <w:color w:val="000000"/>
                <w:kern w:val="0"/>
                <w:sz w:val="18"/>
                <w:highlight w:val="white"/>
                <w:lang w:val="zh-CN"/>
              </w:rPr>
              <w:t>   </w:t>
            </w:r>
            <w:r>
              <w:rPr>
                <w:rFonts w:ascii="宋体" w:hint="eastAsia"/>
                <w:color w:val="000000"/>
                <w:kern w:val="0"/>
                <w:sz w:val="18"/>
                <w:highlight w:val="white"/>
                <w:lang w:val="zh-CN"/>
              </w:rPr>
              <w:t>入（20分）</w:t>
            </w:r>
          </w:p>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目标</w:t>
            </w:r>
            <w:r>
              <w:rPr>
                <w:rFonts w:ascii="宋体" w:hint="eastAsia"/>
                <w:color w:val="000000"/>
                <w:kern w:val="0"/>
                <w:sz w:val="18"/>
                <w:highlight w:val="white"/>
                <w:lang w:val="zh-CN"/>
              </w:rPr>
              <w:br/>
              <w:t>设定（5分）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绩效目标</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合理性（2分）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部门所设立的整体绩效目标依据是否充分，是否符合客观实际，用以反映和考核部门整体绩效目标与部门履职、年度工作任务的相符性情况。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①是否符合国家法律法规、国民经济和社会发展总体规划；</w:t>
            </w:r>
            <w:r>
              <w:rPr>
                <w:rFonts w:ascii="宋体" w:hint="eastAsia"/>
                <w:color w:val="000000"/>
                <w:kern w:val="0"/>
                <w:sz w:val="18"/>
                <w:highlight w:val="white"/>
                <w:lang w:val="zh-CN"/>
              </w:rPr>
              <w:br/>
              <w:t>②是否符合部门“三定”方案确定的职责；</w:t>
            </w:r>
            <w:r>
              <w:rPr>
                <w:rFonts w:ascii="宋体" w:hint="eastAsia"/>
                <w:color w:val="000000"/>
                <w:kern w:val="0"/>
                <w:sz w:val="18"/>
                <w:highlight w:val="white"/>
                <w:lang w:val="zh-CN"/>
              </w:rPr>
              <w:br/>
              <w:t>③是否符合部门制定的中长期实施规划。</w:t>
            </w:r>
          </w:p>
        </w:tc>
      </w:tr>
      <w:tr w:rsidR="007F0723" w:rsidTr="007C2AFF">
        <w:trPr>
          <w:trHeight w:val="1392"/>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绩效指标</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明确性（3分）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3</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部门依据整体绩效目标所设定的绩效指标是否清晰、细化、可衡量，用以反映和考核部门整体绩效目标的明细化情况。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①是否将部门整体的绩效目标细化分解为具体的工作任务；</w:t>
            </w:r>
            <w:r>
              <w:rPr>
                <w:rFonts w:ascii="宋体" w:hint="eastAsia"/>
                <w:color w:val="000000"/>
                <w:kern w:val="0"/>
                <w:sz w:val="18"/>
                <w:highlight w:val="white"/>
                <w:lang w:val="zh-CN"/>
              </w:rPr>
              <w:br/>
              <w:t>②是否通过清晰、可衡量的指标值予以体现。</w:t>
            </w:r>
            <w:r>
              <w:rPr>
                <w:rFonts w:ascii="宋体" w:hint="eastAsia"/>
                <w:color w:val="000000"/>
                <w:kern w:val="0"/>
                <w:sz w:val="18"/>
                <w:highlight w:val="white"/>
                <w:lang w:val="zh-CN"/>
              </w:rPr>
              <w:t>    </w:t>
            </w:r>
            <w:r>
              <w:rPr>
                <w:rFonts w:ascii="宋体" w:hint="eastAsia"/>
                <w:color w:val="000000"/>
                <w:kern w:val="0"/>
                <w:sz w:val="18"/>
                <w:highlight w:val="white"/>
                <w:lang w:val="zh-CN"/>
              </w:rPr>
              <w:t>③是否与部门年度的任务数或计划数相对应；</w:t>
            </w:r>
            <w:r>
              <w:rPr>
                <w:rFonts w:ascii="宋体" w:hint="eastAsia"/>
                <w:color w:val="000000"/>
                <w:kern w:val="0"/>
                <w:sz w:val="18"/>
                <w:highlight w:val="white"/>
                <w:lang w:val="zh-CN"/>
              </w:rPr>
              <w:br/>
              <w:t>④是否与本年度部门预算资金相匹配。</w:t>
            </w:r>
          </w:p>
        </w:tc>
      </w:tr>
      <w:tr w:rsidR="007F0723" w:rsidTr="007C2AFF">
        <w:trPr>
          <w:trHeight w:val="1931"/>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w:t>
            </w:r>
            <w:r>
              <w:rPr>
                <w:rFonts w:ascii="宋体" w:hint="eastAsia"/>
                <w:color w:val="000000"/>
                <w:kern w:val="0"/>
                <w:sz w:val="18"/>
                <w:highlight w:val="white"/>
                <w:lang w:val="zh-CN"/>
              </w:rPr>
              <w:br/>
              <w:t>配置（15分）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在职人员</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控制率（5分）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部门本年度实际在职人员数与编制数的比率，用以反映和考核部门对人员成本的控制程度。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在职人员控制率=（在职人员数/编制数）×100%。</w:t>
            </w:r>
            <w:r>
              <w:rPr>
                <w:rFonts w:ascii="宋体" w:hint="eastAsia"/>
                <w:color w:val="000000"/>
                <w:kern w:val="0"/>
                <w:sz w:val="18"/>
                <w:highlight w:val="white"/>
                <w:lang w:val="zh-CN"/>
              </w:rPr>
              <w:br/>
              <w:t>在职人员数：部门实际在职人数，以财政部确定的部门决算编制口径为准。</w:t>
            </w:r>
            <w:r>
              <w:rPr>
                <w:rFonts w:ascii="宋体" w:hint="eastAsia"/>
                <w:color w:val="000000"/>
                <w:kern w:val="0"/>
                <w:sz w:val="18"/>
                <w:highlight w:val="white"/>
                <w:lang w:val="zh-CN"/>
              </w:rPr>
              <w:br/>
              <w:t>编制数：机构编制部门核定批复的部门的人员编制数。</w:t>
            </w:r>
          </w:p>
        </w:tc>
      </w:tr>
      <w:tr w:rsidR="007F0723" w:rsidTr="007C2AFF">
        <w:trPr>
          <w:trHeight w:val="2030"/>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“三公经费”</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变动率（5分）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部门本年度“三公经费”预算数与上年度“三公经费”预算数的变动比率，用以反映和考核部门对控制重点行政成本的努力程度。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“三公经费”变动率=[（本年度“三公经费”总额-上年度“三公经费”总额）/上年度“三公经费”总额]×100%。</w:t>
            </w:r>
            <w:r>
              <w:rPr>
                <w:rFonts w:ascii="宋体" w:hint="eastAsia"/>
                <w:color w:val="000000"/>
                <w:kern w:val="0"/>
                <w:sz w:val="18"/>
                <w:highlight w:val="white"/>
                <w:lang w:val="zh-CN"/>
              </w:rPr>
              <w:br/>
              <w:t>“三公经费”：年度预算安排的因公出国（境）费、公务车辆购置及运行费和公务招待费。</w:t>
            </w:r>
          </w:p>
        </w:tc>
      </w:tr>
      <w:tr w:rsidR="007F0723" w:rsidTr="007C2AFF">
        <w:trPr>
          <w:trHeight w:val="2510"/>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重点支出</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安排率（5分）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部门本年度预算安排的重点预算支出与部门预算总支出的比率，用以反映和考核部门对履行主要职责或完成重点任务的保障程度。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重点支出安排率=（重点预算支出/预算总支出）×100%。</w:t>
            </w:r>
            <w:r>
              <w:rPr>
                <w:rFonts w:ascii="宋体" w:hint="eastAsia"/>
                <w:color w:val="000000"/>
                <w:kern w:val="0"/>
                <w:sz w:val="18"/>
                <w:highlight w:val="white"/>
                <w:lang w:val="zh-CN"/>
              </w:rPr>
              <w:br/>
              <w:t>重点预算支出：部门年度预算安排的，与本部门履职和发展密切相关、具有明显社会和经济影响、党委政府关心或社会比较关注的预算支出支出总额。</w:t>
            </w:r>
            <w:r>
              <w:rPr>
                <w:rFonts w:ascii="宋体" w:hint="eastAsia"/>
                <w:color w:val="000000"/>
                <w:kern w:val="0"/>
                <w:sz w:val="18"/>
                <w:highlight w:val="white"/>
                <w:lang w:val="zh-CN"/>
              </w:rPr>
              <w:br/>
              <w:t>预算总支出：部门年度预算安排的预算支出支出总额。</w:t>
            </w:r>
          </w:p>
        </w:tc>
      </w:tr>
      <w:tr w:rsidR="007F0723" w:rsidTr="007C2AFF">
        <w:trPr>
          <w:trHeight w:val="1462"/>
        </w:trPr>
        <w:tc>
          <w:tcPr>
            <w:tcW w:w="400"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lastRenderedPageBreak/>
              <w:t>过</w:t>
            </w:r>
            <w:r>
              <w:rPr>
                <w:rFonts w:ascii="宋体" w:hint="eastAsia"/>
                <w:color w:val="000000"/>
                <w:kern w:val="0"/>
                <w:sz w:val="18"/>
                <w:highlight w:val="white"/>
                <w:lang w:val="zh-CN"/>
              </w:rPr>
              <w:t>   </w:t>
            </w:r>
            <w:r>
              <w:rPr>
                <w:rFonts w:ascii="宋体" w:hint="eastAsia"/>
                <w:color w:val="000000"/>
                <w:kern w:val="0"/>
                <w:sz w:val="18"/>
                <w:highlight w:val="white"/>
                <w:lang w:val="zh-CN"/>
              </w:rPr>
              <w:t>程（30分）</w:t>
            </w:r>
          </w:p>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w:t>
            </w:r>
            <w:r>
              <w:rPr>
                <w:rFonts w:ascii="宋体" w:hint="eastAsia"/>
                <w:color w:val="000000"/>
                <w:kern w:val="0"/>
                <w:sz w:val="18"/>
                <w:highlight w:val="white"/>
                <w:lang w:val="zh-CN"/>
              </w:rPr>
              <w:br/>
              <w:t>执行（20分）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执行率（4分）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4</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部门本年度预算完成数与预算数的比率，用以反映和考核部门预算完成程度。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预算执行率=（预算执行数/预算数）×100%。</w:t>
            </w:r>
            <w:r>
              <w:rPr>
                <w:rFonts w:ascii="宋体" w:hint="eastAsia"/>
                <w:color w:val="000000"/>
                <w:kern w:val="0"/>
                <w:sz w:val="18"/>
                <w:highlight w:val="white"/>
                <w:lang w:val="zh-CN"/>
              </w:rPr>
              <w:br/>
              <w:t>预算执行数：部门本年度实际完成的预算数。</w:t>
            </w:r>
            <w:r>
              <w:rPr>
                <w:rFonts w:ascii="宋体" w:hint="eastAsia"/>
                <w:color w:val="000000"/>
                <w:kern w:val="0"/>
                <w:sz w:val="18"/>
                <w:highlight w:val="white"/>
                <w:lang w:val="zh-CN"/>
              </w:rPr>
              <w:br/>
              <w:t>预算数：财政部门批复的本年度部门预算数。</w:t>
            </w:r>
          </w:p>
        </w:tc>
      </w:tr>
      <w:tr w:rsidR="007F0723" w:rsidTr="007C2AFF">
        <w:trPr>
          <w:trHeight w:val="1472"/>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调整率（2分）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部门本年度预算调整数与预算数的比率，用以反映和考核部门预算的调整程度。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预算调整率=（预算调整数/预算数）×100%。</w:t>
            </w:r>
            <w:r>
              <w:rPr>
                <w:rFonts w:ascii="宋体" w:hint="eastAsia"/>
                <w:color w:val="000000"/>
                <w:kern w:val="0"/>
                <w:sz w:val="18"/>
                <w:highlight w:val="white"/>
                <w:lang w:val="zh-CN"/>
              </w:rPr>
              <w:br/>
              <w:t>预算调整数：部门在本年度内涉及预算的追加、追减或结构调整的资金总和（因落实国家政策、发生不可抗力、上级部门或本级党委政府临时交办而产生的调整除外）。</w:t>
            </w:r>
          </w:p>
        </w:tc>
      </w:tr>
      <w:tr w:rsidR="007F0723" w:rsidTr="007C2AFF">
        <w:trPr>
          <w:trHeight w:val="1753"/>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支付</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进度率（2分）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部门实际支付进度与既定支付进度的比率，用以反映和考核部门预算执行的及时性和均衡性程度。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支付进度率=（实际支付进度/既定支付进度）×100%。</w:t>
            </w:r>
            <w:r>
              <w:rPr>
                <w:rFonts w:ascii="宋体" w:hint="eastAsia"/>
                <w:color w:val="000000"/>
                <w:kern w:val="0"/>
                <w:sz w:val="18"/>
                <w:highlight w:val="white"/>
                <w:lang w:val="zh-CN"/>
              </w:rPr>
              <w:br/>
              <w:t>实际支付进度：部门在某一时点的支出预算执行总数与年度支出预算数的比率。</w:t>
            </w:r>
            <w:r>
              <w:rPr>
                <w:rFonts w:ascii="宋体" w:hint="eastAsia"/>
                <w:color w:val="000000"/>
                <w:kern w:val="0"/>
                <w:sz w:val="18"/>
                <w:highlight w:val="white"/>
                <w:lang w:val="zh-CN"/>
              </w:rPr>
              <w:br/>
              <w:t>既定支付进度：由部门在申报部门整体绩效目标时，参照序时支付进度、前三年支付进度、本级部门平均支付进度水平等确定的，在某一时点应达到的支付进度（比率）。</w:t>
            </w:r>
          </w:p>
        </w:tc>
      </w:tr>
      <w:tr w:rsidR="007F0723" w:rsidTr="007C2AFF">
        <w:trPr>
          <w:trHeight w:val="1209"/>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结转</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结余率（2分）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部门本年度结转结余总额与支出预算数的比率，用以反映和考核部门对本年度结转结余资金的实际控制程度。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结转结余率=结转结余总额/支出预算数×100%。</w:t>
            </w:r>
            <w:r>
              <w:rPr>
                <w:rFonts w:ascii="宋体" w:hint="eastAsia"/>
                <w:color w:val="000000"/>
                <w:kern w:val="0"/>
                <w:sz w:val="18"/>
                <w:highlight w:val="white"/>
                <w:lang w:val="zh-CN"/>
              </w:rPr>
              <w:br/>
              <w:t>结转结余总额：部门本年度的结转资金与结余资金之和（以决算数为准）。</w:t>
            </w:r>
          </w:p>
        </w:tc>
      </w:tr>
      <w:tr w:rsidR="007F0723" w:rsidTr="007C2AFF">
        <w:trPr>
          <w:trHeight w:val="1113"/>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结转结余</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变动率（2分）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部门本年度结转结余资金总额与上年度结转结余资金总额的变动比率，用以反映和考核部门对控制结转结余资金的努力程度。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结转结余变动率=[（本年度累计结转结余资金总额-上年度累计结转结余资金总额）/上年度累计结转结余资金总额]×100%。</w:t>
            </w:r>
          </w:p>
        </w:tc>
      </w:tr>
      <w:tr w:rsidR="007F0723" w:rsidTr="007C2AFF">
        <w:trPr>
          <w:trHeight w:val="1315"/>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公用经费</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控制率（2分）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部门本年度实际支出的公用经费总额与预算安排的公用经费总额的比率，用以反映和考核部门对机构运转成本的实际控制程度。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公用经费控制率=（实际支出公用经费总额/预算安排公用经费总额）×100%。</w:t>
            </w:r>
          </w:p>
        </w:tc>
      </w:tr>
      <w:tr w:rsidR="007F0723" w:rsidTr="007C2AFF">
        <w:trPr>
          <w:trHeight w:val="1018"/>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“三公经费”控制率（2分）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部门本年度“三公经费”实际支出数与预算安排数的比率，用以反映和考核部门对“三公经费”的实际控制程度。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“三公经费”控制率=（“三公经费”实际支出数/“三公经费”预算安排数）×100%。</w:t>
            </w:r>
          </w:p>
        </w:tc>
      </w:tr>
      <w:tr w:rsidR="007F0723" w:rsidTr="007C2AFF">
        <w:trPr>
          <w:trHeight w:val="1320"/>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政府采购</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执行率（4分）</w:t>
            </w:r>
          </w:p>
        </w:tc>
        <w:tc>
          <w:tcPr>
            <w:tcW w:w="478" w:type="pct"/>
            <w:shd w:val="clear" w:color="auto" w:fill="auto"/>
            <w:noWrap/>
            <w:tcMar>
              <w:top w:w="0" w:type="dxa"/>
              <w:left w:w="0" w:type="dxa"/>
              <w:bottom w:w="0" w:type="dxa"/>
              <w:right w:w="0" w:type="dxa"/>
            </w:tcMar>
            <w:vAlign w:val="center"/>
          </w:tcPr>
          <w:p w:rsidR="007F0723" w:rsidRDefault="00945276">
            <w:pPr>
              <w:tabs>
                <w:tab w:val="left" w:pos="556"/>
              </w:tabs>
              <w:jc w:val="center"/>
              <w:rPr>
                <w:rFonts w:ascii="宋体"/>
                <w:color w:val="000000"/>
                <w:kern w:val="0"/>
                <w:sz w:val="18"/>
                <w:highlight w:val="white"/>
              </w:rPr>
            </w:pPr>
            <w:r>
              <w:rPr>
                <w:rFonts w:ascii="宋体" w:hint="eastAsia"/>
                <w:color w:val="000000"/>
                <w:kern w:val="0"/>
                <w:sz w:val="18"/>
                <w:highlight w:val="white"/>
              </w:rPr>
              <w:t>3</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部门本年度实际政府采购金额与年初政府采购预算的比率，用以反映和考核部门政府采购预算执行情况。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政府采购执行率=（实际政府采购金额/政府采购预算数）×100%；</w:t>
            </w:r>
            <w:r>
              <w:rPr>
                <w:rFonts w:ascii="宋体" w:hint="eastAsia"/>
                <w:color w:val="000000"/>
                <w:kern w:val="0"/>
                <w:sz w:val="18"/>
                <w:highlight w:val="white"/>
                <w:lang w:val="zh-CN"/>
              </w:rPr>
              <w:br/>
              <w:t>政府采购预算：采购机关根据事业发展计划和行政任务编制的、并经过规定程序批准的年度政府采购计划。</w:t>
            </w:r>
            <w:r>
              <w:rPr>
                <w:rFonts w:ascii="宋体" w:hint="eastAsia"/>
                <w:color w:val="000000"/>
                <w:kern w:val="0"/>
                <w:sz w:val="18"/>
                <w:highlight w:val="white"/>
                <w:lang w:val="zh-CN"/>
              </w:rPr>
              <w:t> </w:t>
            </w:r>
          </w:p>
        </w:tc>
      </w:tr>
      <w:tr w:rsidR="007F0723" w:rsidTr="007C2AFF">
        <w:trPr>
          <w:trHeight w:val="2029"/>
        </w:trPr>
        <w:tc>
          <w:tcPr>
            <w:tcW w:w="400" w:type="pct"/>
            <w:vMerge w:val="restart"/>
            <w:shd w:val="clear" w:color="auto" w:fill="auto"/>
            <w:noWrap/>
            <w:tcMar>
              <w:top w:w="0" w:type="dxa"/>
              <w:left w:w="0" w:type="dxa"/>
              <w:bottom w:w="0" w:type="dxa"/>
              <w:right w:w="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lastRenderedPageBreak/>
              <w:t>过</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程（30分）</w:t>
            </w:r>
          </w:p>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预算</w:t>
            </w:r>
            <w:r>
              <w:rPr>
                <w:rFonts w:ascii="宋体" w:hint="eastAsia"/>
                <w:color w:val="000000"/>
                <w:kern w:val="0"/>
                <w:sz w:val="18"/>
                <w:highlight w:val="white"/>
                <w:lang w:val="zh-CN"/>
              </w:rPr>
              <w:br/>
              <w:t>管理（5分）</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管理制度</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健全性（2分）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部门为加强预算管理、规范财务行为而制定的管理制度是否健全完整，用以反映和考核部门预算管理制度对完成主要职责或促进事业发展的保障情况。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①是否已制定或具有预算资金管理办法、内部财务管理制度、会计核算制度等管理制度；</w:t>
            </w:r>
            <w:r>
              <w:rPr>
                <w:rFonts w:ascii="宋体" w:hint="eastAsia"/>
                <w:color w:val="000000"/>
                <w:kern w:val="0"/>
                <w:sz w:val="18"/>
                <w:highlight w:val="white"/>
                <w:lang w:val="zh-CN"/>
              </w:rPr>
              <w:br/>
              <w:t>②相关管理制度是否合法、合规、完整；</w:t>
            </w:r>
            <w:r>
              <w:rPr>
                <w:rFonts w:ascii="宋体" w:hint="eastAsia"/>
                <w:color w:val="000000"/>
                <w:kern w:val="0"/>
                <w:sz w:val="18"/>
                <w:highlight w:val="white"/>
                <w:lang w:val="zh-CN"/>
              </w:rPr>
              <w:br/>
              <w:t>③相关管理制度是否得到有效执行。</w:t>
            </w:r>
          </w:p>
        </w:tc>
      </w:tr>
      <w:tr w:rsidR="007F0723" w:rsidTr="007C2AFF">
        <w:trPr>
          <w:trHeight w:val="2537"/>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资金使用</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合规性（1分）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1</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部门使用预算资金是否符合相关的预算财务管理制度的规定，用以反映和考核部门预算资金的规范运行情况。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①是否符合国家财经法规和财务管理制度规定以及有关预算支出管理办法的规定；</w:t>
            </w:r>
            <w:r>
              <w:rPr>
                <w:rFonts w:ascii="宋体" w:hint="eastAsia"/>
                <w:color w:val="000000"/>
                <w:kern w:val="0"/>
                <w:sz w:val="18"/>
                <w:highlight w:val="white"/>
                <w:lang w:val="zh-CN"/>
              </w:rPr>
              <w:br/>
              <w:t>②资金的拨付是否有完整的审批程序和手续；</w:t>
            </w:r>
            <w:r>
              <w:rPr>
                <w:rFonts w:ascii="宋体" w:hint="eastAsia"/>
                <w:color w:val="000000"/>
                <w:kern w:val="0"/>
                <w:sz w:val="18"/>
                <w:highlight w:val="white"/>
                <w:lang w:val="zh-CN"/>
              </w:rPr>
              <w:br/>
              <w:t>③预算支出的重大开支是否经过评估论证；</w:t>
            </w:r>
            <w:r>
              <w:rPr>
                <w:rFonts w:ascii="宋体" w:hint="eastAsia"/>
                <w:color w:val="000000"/>
                <w:kern w:val="0"/>
                <w:sz w:val="18"/>
                <w:highlight w:val="white"/>
                <w:lang w:val="zh-CN"/>
              </w:rPr>
              <w:br/>
              <w:t>④是否符合部门预算批复的用途；</w:t>
            </w:r>
            <w:r>
              <w:rPr>
                <w:rFonts w:ascii="宋体" w:hint="eastAsia"/>
                <w:color w:val="000000"/>
                <w:kern w:val="0"/>
                <w:sz w:val="18"/>
                <w:highlight w:val="white"/>
                <w:lang w:val="zh-CN"/>
              </w:rPr>
              <w:br/>
              <w:t>⑤是否存在截留、挤占、挪用、虚列支出等情况。</w:t>
            </w:r>
          </w:p>
        </w:tc>
      </w:tr>
      <w:tr w:rsidR="007F0723" w:rsidTr="007C2AFF">
        <w:trPr>
          <w:trHeight w:val="1272"/>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预决算信</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息公开性（1分）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1</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部门是否按照政府信息公开有关规定公开相关预决算信息，用以反映和考核部门预决算管理的公开透明情况。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①是否按规定内容公开预决算信息；</w:t>
            </w:r>
            <w:r>
              <w:rPr>
                <w:rFonts w:ascii="宋体" w:hint="eastAsia"/>
                <w:color w:val="000000"/>
                <w:kern w:val="0"/>
                <w:sz w:val="18"/>
                <w:highlight w:val="white"/>
                <w:lang w:val="zh-CN"/>
              </w:rPr>
              <w:br/>
              <w:t>②是否按规定时限公开预决算信息。</w:t>
            </w:r>
            <w:r>
              <w:rPr>
                <w:rFonts w:ascii="宋体" w:hint="eastAsia"/>
                <w:color w:val="000000"/>
                <w:kern w:val="0"/>
                <w:sz w:val="18"/>
                <w:highlight w:val="white"/>
                <w:lang w:val="zh-CN"/>
              </w:rPr>
              <w:br/>
              <w:t>预决算信息是指与部门预算、执行、决算、监督、绩效等管理相关的信息。</w:t>
            </w:r>
          </w:p>
        </w:tc>
      </w:tr>
      <w:tr w:rsidR="007F0723" w:rsidTr="007C2AFF">
        <w:trPr>
          <w:trHeight w:val="1737"/>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基础信息</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完善性（1分）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1</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部门基础信息是否完善，用以反映和考核基础信息对预算管理工作的支撑情况。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①基础数据信息和会计信息资料是否真实；</w:t>
            </w:r>
            <w:r>
              <w:rPr>
                <w:rFonts w:ascii="宋体" w:hint="eastAsia"/>
                <w:color w:val="000000"/>
                <w:kern w:val="0"/>
                <w:sz w:val="18"/>
                <w:highlight w:val="white"/>
                <w:lang w:val="zh-CN"/>
              </w:rPr>
              <w:br/>
              <w:t>②基础数据信息和会计信息资料是否完整；</w:t>
            </w:r>
            <w:r>
              <w:rPr>
                <w:rFonts w:ascii="宋体" w:hint="eastAsia"/>
                <w:color w:val="000000"/>
                <w:kern w:val="0"/>
                <w:sz w:val="18"/>
                <w:highlight w:val="white"/>
                <w:lang w:val="zh-CN"/>
              </w:rPr>
              <w:br/>
              <w:t>③基础数据信息和会计信息资料是否准确。</w:t>
            </w:r>
          </w:p>
        </w:tc>
      </w:tr>
      <w:tr w:rsidR="007F0723" w:rsidTr="007C2AFF">
        <w:trPr>
          <w:trHeight w:val="1389"/>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资产</w:t>
            </w:r>
            <w:r>
              <w:rPr>
                <w:rFonts w:ascii="宋体" w:hint="eastAsia"/>
                <w:color w:val="000000"/>
                <w:kern w:val="0"/>
                <w:sz w:val="18"/>
                <w:highlight w:val="white"/>
                <w:lang w:val="zh-CN"/>
              </w:rPr>
              <w:br/>
              <w:t>管理（5分）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管理制度</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健全性（2分）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部门为加强资产管理、规范资产管理行为而制定的管理制度是否健全完整，用以反映和考核部门资产管理制度对完成主要职责或促进社会发展的保障情况。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①是否已制定或具有资产管理制度；</w:t>
            </w:r>
            <w:r>
              <w:rPr>
                <w:rFonts w:ascii="宋体" w:hint="eastAsia"/>
                <w:color w:val="000000"/>
                <w:kern w:val="0"/>
                <w:sz w:val="18"/>
                <w:highlight w:val="white"/>
                <w:lang w:val="zh-CN"/>
              </w:rPr>
              <w:t>           </w:t>
            </w:r>
            <w:r>
              <w:rPr>
                <w:rFonts w:ascii="宋体" w:hint="eastAsia"/>
                <w:color w:val="000000"/>
                <w:kern w:val="0"/>
                <w:sz w:val="18"/>
                <w:highlight w:val="white"/>
                <w:lang w:val="zh-CN"/>
              </w:rPr>
              <w:t>②相关资金管理制度是否合法、合规、完整；</w:t>
            </w:r>
            <w:r>
              <w:rPr>
                <w:rFonts w:ascii="宋体" w:hint="eastAsia"/>
                <w:color w:val="000000"/>
                <w:kern w:val="0"/>
                <w:sz w:val="18"/>
                <w:highlight w:val="white"/>
                <w:lang w:val="zh-CN"/>
              </w:rPr>
              <w:br/>
              <w:t>③相关资产管理制度是否得到有效执行。</w:t>
            </w:r>
          </w:p>
        </w:tc>
      </w:tr>
      <w:tr w:rsidR="007F0723" w:rsidTr="007C2AFF">
        <w:trPr>
          <w:trHeight w:val="1887"/>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资产管理</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安全性（2分）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2</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部门的资产是否保存完整、使用合规、配置合理、处置规范、收入及时足额上缴，用以反映和考核部门资产安全运行情况。</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评价要点：</w:t>
            </w:r>
            <w:r>
              <w:rPr>
                <w:rFonts w:ascii="宋体" w:hint="eastAsia"/>
                <w:color w:val="000000"/>
                <w:kern w:val="0"/>
                <w:sz w:val="18"/>
                <w:highlight w:val="white"/>
                <w:lang w:val="zh-CN"/>
              </w:rPr>
              <w:br/>
              <w:t>①资产保存是否完整；</w:t>
            </w:r>
            <w:r>
              <w:rPr>
                <w:rFonts w:ascii="宋体" w:hint="eastAsia"/>
                <w:color w:val="000000"/>
                <w:kern w:val="0"/>
                <w:sz w:val="18"/>
                <w:highlight w:val="white"/>
                <w:lang w:val="zh-CN"/>
              </w:rPr>
              <w:br/>
              <w:t>②资产配置是否合理；</w:t>
            </w:r>
            <w:r>
              <w:rPr>
                <w:rFonts w:ascii="宋体" w:hint="eastAsia"/>
                <w:color w:val="000000"/>
                <w:kern w:val="0"/>
                <w:sz w:val="18"/>
                <w:highlight w:val="white"/>
                <w:lang w:val="zh-CN"/>
              </w:rPr>
              <w:br/>
              <w:t>③资产处置是否规范；</w:t>
            </w:r>
            <w:r>
              <w:rPr>
                <w:rFonts w:ascii="宋体" w:hint="eastAsia"/>
                <w:color w:val="000000"/>
                <w:kern w:val="0"/>
                <w:sz w:val="18"/>
                <w:highlight w:val="white"/>
                <w:lang w:val="zh-CN"/>
              </w:rPr>
              <w:br/>
              <w:t>④资产账务管理是否合规，是否帐实相符；</w:t>
            </w:r>
            <w:r>
              <w:rPr>
                <w:rFonts w:ascii="宋体" w:hint="eastAsia"/>
                <w:color w:val="000000"/>
                <w:kern w:val="0"/>
                <w:sz w:val="18"/>
                <w:highlight w:val="white"/>
                <w:lang w:val="zh-CN"/>
              </w:rPr>
              <w:br/>
              <w:t>⑤资产是否有偿使用及处置收入及时足额上缴。</w:t>
            </w:r>
          </w:p>
        </w:tc>
      </w:tr>
      <w:tr w:rsidR="007F0723" w:rsidTr="007C2AFF">
        <w:trPr>
          <w:trHeight w:val="895"/>
        </w:trPr>
        <w:tc>
          <w:tcPr>
            <w:tcW w:w="400" w:type="pct"/>
            <w:vMerge/>
            <w:shd w:val="clear" w:color="auto" w:fill="auto"/>
            <w:noWrap/>
            <w:tcMar>
              <w:top w:w="0" w:type="dxa"/>
              <w:left w:w="0" w:type="dxa"/>
              <w:bottom w:w="0" w:type="dxa"/>
              <w:right w:w="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固定资产</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利用率（1分）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1</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部门实际在用固定资产总额与所有固定资产总额的比率，用以反映和考核部门固定资产使用效率程度。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固定资产利用率=（实际在用固定资产总额/所有固定资产总额）×100%。</w:t>
            </w:r>
          </w:p>
        </w:tc>
      </w:tr>
      <w:tr w:rsidR="007F0723" w:rsidTr="007C2AFF">
        <w:trPr>
          <w:trHeight w:val="2171"/>
        </w:trPr>
        <w:tc>
          <w:tcPr>
            <w:tcW w:w="400"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产</w:t>
            </w:r>
            <w:r>
              <w:rPr>
                <w:rFonts w:ascii="宋体" w:hint="eastAsia"/>
                <w:color w:val="000000"/>
                <w:kern w:val="0"/>
                <w:sz w:val="18"/>
                <w:highlight w:val="white"/>
                <w:lang w:val="zh-CN"/>
              </w:rPr>
              <w:t>   </w:t>
            </w:r>
            <w:r>
              <w:rPr>
                <w:rFonts w:ascii="宋体" w:hint="eastAsia"/>
                <w:color w:val="000000"/>
                <w:kern w:val="0"/>
                <w:sz w:val="18"/>
                <w:highlight w:val="white"/>
                <w:lang w:val="zh-CN"/>
              </w:rPr>
              <w:t>出（30分）</w:t>
            </w:r>
          </w:p>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职责</w:t>
            </w:r>
            <w:r>
              <w:rPr>
                <w:rFonts w:ascii="宋体" w:hint="eastAsia"/>
                <w:color w:val="000000"/>
                <w:kern w:val="0"/>
                <w:sz w:val="18"/>
                <w:highlight w:val="white"/>
                <w:lang w:val="zh-CN"/>
              </w:rPr>
              <w:br/>
              <w:t>履行（30分）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实际</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完成率（8分）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8</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部门履行职责而实际完成工作数与计划工作数的比率，用以反映和考核部门履职工作任务目标的实现程度。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实际完成率=（实际完成工作数/计划工作数）×100%。</w:t>
            </w:r>
            <w:r>
              <w:rPr>
                <w:rFonts w:ascii="宋体" w:hint="eastAsia"/>
                <w:color w:val="000000"/>
                <w:kern w:val="0"/>
                <w:sz w:val="18"/>
                <w:highlight w:val="white"/>
                <w:lang w:val="zh-CN"/>
              </w:rPr>
              <w:br/>
              <w:t>实际完成工作数：一定时期（年度或规划期）内部门实际完成工作任务的数量。</w:t>
            </w:r>
            <w:r>
              <w:rPr>
                <w:rFonts w:ascii="宋体" w:hint="eastAsia"/>
                <w:color w:val="000000"/>
                <w:kern w:val="0"/>
                <w:sz w:val="18"/>
                <w:highlight w:val="white"/>
                <w:lang w:val="zh-CN"/>
              </w:rPr>
              <w:br/>
              <w:t>计划工作数：部门整体绩效目标确定的一定时期（年度或规划期）内预计完成工作任务的数量。</w:t>
            </w:r>
          </w:p>
        </w:tc>
      </w:tr>
      <w:tr w:rsidR="007F0723" w:rsidTr="007C2AFF">
        <w:trPr>
          <w:trHeight w:val="1393"/>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完成</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及时率（4分）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4</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部门在规定时限内及时完成的实际工作数与计划工作数的比率,用以反映和考核部门履职时效目标的实现程度。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完成及时率=（及时完成实际工作数/计划工作数）×100%。</w:t>
            </w:r>
            <w:r>
              <w:rPr>
                <w:rFonts w:ascii="宋体" w:hint="eastAsia"/>
                <w:color w:val="000000"/>
                <w:kern w:val="0"/>
                <w:sz w:val="18"/>
                <w:highlight w:val="white"/>
                <w:lang w:val="zh-CN"/>
              </w:rPr>
              <w:br/>
              <w:t>及时完成实际工作数：部门按照整体绩效目标确定的时限实际完成的工作任务数量。</w:t>
            </w:r>
          </w:p>
        </w:tc>
      </w:tr>
      <w:tr w:rsidR="007F0723" w:rsidTr="007C2AFF">
        <w:trPr>
          <w:trHeight w:val="1675"/>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质量</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达标率（8分）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8</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达到质量标准（绩效标准值）的实际工作数与计划工作数的比率,用以反映和考核部门履职质量目标的实现程度。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质量达标率=（质量达标实际工作数/计划工作数）×100%。</w:t>
            </w:r>
            <w:r>
              <w:rPr>
                <w:rFonts w:ascii="宋体" w:hint="eastAsia"/>
                <w:color w:val="000000"/>
                <w:kern w:val="0"/>
                <w:sz w:val="18"/>
                <w:highlight w:val="white"/>
                <w:lang w:val="zh-CN"/>
              </w:rPr>
              <w:br/>
              <w:t>质量达标实际工作数：一定时期（年度或规划期）内部门实际完成工作数中达到部门绩效目标要求（绩效标准值）的工作任务数量。</w:t>
            </w:r>
          </w:p>
        </w:tc>
      </w:tr>
      <w:tr w:rsidR="007F0723" w:rsidTr="007C2AFF">
        <w:trPr>
          <w:trHeight w:val="1125"/>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重点工作</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办结率（10分）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9</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部门年度重点工作实际完成数与交办或下达数的比率，用以反映部门对重点工作的办理落实程度。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重点工作办结率=（重点工作实际完成数/交办或下达数）×100%。</w:t>
            </w:r>
            <w:r>
              <w:rPr>
                <w:rFonts w:ascii="宋体" w:hint="eastAsia"/>
                <w:color w:val="000000"/>
                <w:kern w:val="0"/>
                <w:sz w:val="18"/>
                <w:highlight w:val="white"/>
                <w:lang w:val="zh-CN"/>
              </w:rPr>
              <w:br/>
              <w:t>重点工作是指党委、政府、人大、相关部门交办或下达的工作任务。</w:t>
            </w:r>
          </w:p>
        </w:tc>
      </w:tr>
      <w:tr w:rsidR="007F0723" w:rsidTr="007C2AFF">
        <w:trPr>
          <w:trHeight w:val="709"/>
        </w:trPr>
        <w:tc>
          <w:tcPr>
            <w:tcW w:w="400"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效</w:t>
            </w:r>
            <w:r>
              <w:rPr>
                <w:rFonts w:ascii="宋体" w:hint="eastAsia"/>
                <w:color w:val="000000"/>
                <w:kern w:val="0"/>
                <w:sz w:val="18"/>
                <w:highlight w:val="white"/>
                <w:lang w:val="zh-CN"/>
              </w:rPr>
              <w:t>   </w:t>
            </w:r>
            <w:r>
              <w:rPr>
                <w:rFonts w:ascii="宋体" w:hint="eastAsia"/>
                <w:color w:val="000000"/>
                <w:kern w:val="0"/>
                <w:sz w:val="18"/>
                <w:highlight w:val="white"/>
                <w:lang w:val="zh-CN"/>
              </w:rPr>
              <w:t>果（20分）</w:t>
            </w:r>
          </w:p>
        </w:tc>
        <w:tc>
          <w:tcPr>
            <w:tcW w:w="439"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履职</w:t>
            </w:r>
            <w:r>
              <w:rPr>
                <w:rFonts w:ascii="宋体" w:hint="eastAsia"/>
                <w:color w:val="000000"/>
                <w:kern w:val="0"/>
                <w:sz w:val="18"/>
                <w:highlight w:val="white"/>
                <w:lang w:val="zh-CN"/>
              </w:rPr>
              <w:br/>
              <w:t>效益（20分）</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经济效益（5分）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部门履行职责对经济发展所带来的直接或间接影响。</w:t>
            </w:r>
          </w:p>
        </w:tc>
        <w:tc>
          <w:tcPr>
            <w:tcW w:w="1742" w:type="pct"/>
            <w:vMerge w:val="restar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此三项指标为设置部门整体支出绩效评价指标时必须考虑的共性要素，可根据部门实际并结合部门整体支出绩效目标设立情况有选择的进行设置，并将其细化为相应的个性化指标。</w:t>
            </w:r>
          </w:p>
        </w:tc>
      </w:tr>
      <w:tr w:rsidR="007F0723" w:rsidTr="007C2AFF">
        <w:trPr>
          <w:trHeight w:val="709"/>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社会效益（5分）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部门履行职责对社会发展所带来的直接或间接影响。</w:t>
            </w:r>
          </w:p>
        </w:tc>
        <w:tc>
          <w:tcPr>
            <w:tcW w:w="1742" w:type="pct"/>
            <w:vMerge/>
            <w:shd w:val="clear" w:color="auto" w:fill="auto"/>
            <w:noWrap/>
            <w:tcMar>
              <w:top w:w="10" w:type="dxa"/>
              <w:left w:w="10" w:type="dxa"/>
              <w:bottom w:w="0" w:type="dxa"/>
              <w:right w:w="10" w:type="dxa"/>
            </w:tcMar>
            <w:vAlign w:val="center"/>
          </w:tcPr>
          <w:p w:rsidR="007F0723" w:rsidRDefault="007F0723"/>
        </w:tc>
      </w:tr>
      <w:tr w:rsidR="007F0723" w:rsidTr="007C2AFF">
        <w:trPr>
          <w:trHeight w:val="709"/>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生态效益（5分）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部门履行职责对生态环境所带来的直接或间接影响。</w:t>
            </w:r>
          </w:p>
        </w:tc>
        <w:tc>
          <w:tcPr>
            <w:tcW w:w="1742" w:type="pct"/>
            <w:vMerge/>
            <w:shd w:val="clear" w:color="auto" w:fill="auto"/>
            <w:noWrap/>
            <w:tcMar>
              <w:top w:w="10" w:type="dxa"/>
              <w:left w:w="10" w:type="dxa"/>
              <w:bottom w:w="0" w:type="dxa"/>
              <w:right w:w="10" w:type="dxa"/>
            </w:tcMar>
            <w:vAlign w:val="center"/>
          </w:tcPr>
          <w:p w:rsidR="007F0723" w:rsidRDefault="007F0723"/>
        </w:tc>
      </w:tr>
      <w:tr w:rsidR="007F0723" w:rsidTr="007C2AFF">
        <w:trPr>
          <w:trHeight w:val="1063"/>
        </w:trPr>
        <w:tc>
          <w:tcPr>
            <w:tcW w:w="400" w:type="pct"/>
            <w:vMerge/>
            <w:shd w:val="clear" w:color="auto" w:fill="auto"/>
            <w:noWrap/>
            <w:tcMar>
              <w:top w:w="10" w:type="dxa"/>
              <w:left w:w="10" w:type="dxa"/>
              <w:bottom w:w="0" w:type="dxa"/>
              <w:right w:w="10" w:type="dxa"/>
            </w:tcMar>
            <w:vAlign w:val="center"/>
          </w:tcPr>
          <w:p w:rsidR="007F0723" w:rsidRDefault="007F0723"/>
        </w:tc>
        <w:tc>
          <w:tcPr>
            <w:tcW w:w="439" w:type="pct"/>
            <w:vMerge/>
            <w:shd w:val="clear" w:color="auto" w:fill="auto"/>
            <w:noWrap/>
            <w:tcMar>
              <w:top w:w="10" w:type="dxa"/>
              <w:left w:w="10" w:type="dxa"/>
              <w:bottom w:w="0" w:type="dxa"/>
              <w:right w:w="10" w:type="dxa"/>
            </w:tcMar>
            <w:vAlign w:val="center"/>
          </w:tcPr>
          <w:p w:rsidR="007F0723" w:rsidRDefault="007F0723"/>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社会公众</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或服务对</w:t>
            </w:r>
          </w:p>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象满意度（5分）</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5</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社会公众或部门的服务对象对部门履职效果的满意程度。</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社会公众或服务对象是指部门履行职责而影响到的部门、群体或个人。一般采取社会调查的方式。</w:t>
            </w:r>
          </w:p>
        </w:tc>
      </w:tr>
      <w:tr w:rsidR="007F0723" w:rsidTr="007C2AFF">
        <w:trPr>
          <w:trHeight w:val="692"/>
        </w:trPr>
        <w:tc>
          <w:tcPr>
            <w:tcW w:w="400" w:type="pct"/>
            <w:shd w:val="clear" w:color="auto" w:fill="auto"/>
            <w:noWrap/>
            <w:tcMar>
              <w:top w:w="0" w:type="dxa"/>
              <w:left w:w="0" w:type="dxa"/>
              <w:bottom w:w="0" w:type="dxa"/>
              <w:right w:w="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总分</w:t>
            </w:r>
          </w:p>
        </w:tc>
        <w:tc>
          <w:tcPr>
            <w:tcW w:w="439" w:type="pct"/>
            <w:shd w:val="clear" w:color="auto" w:fill="auto"/>
            <w:noWrap/>
            <w:tcMar>
              <w:top w:w="0" w:type="dxa"/>
              <w:left w:w="0" w:type="dxa"/>
              <w:bottom w:w="0" w:type="dxa"/>
              <w:right w:w="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 </w:t>
            </w:r>
          </w:p>
        </w:tc>
        <w:tc>
          <w:tcPr>
            <w:tcW w:w="525"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 </w:t>
            </w:r>
          </w:p>
        </w:tc>
        <w:tc>
          <w:tcPr>
            <w:tcW w:w="478" w:type="pct"/>
            <w:shd w:val="clear" w:color="auto" w:fill="auto"/>
            <w:noWrap/>
            <w:tcMar>
              <w:top w:w="0" w:type="dxa"/>
              <w:left w:w="0" w:type="dxa"/>
              <w:bottom w:w="0" w:type="dxa"/>
              <w:right w:w="0" w:type="dxa"/>
            </w:tcMar>
            <w:vAlign w:val="center"/>
          </w:tcPr>
          <w:p w:rsidR="007F0723" w:rsidRDefault="00945276">
            <w:pPr>
              <w:jc w:val="center"/>
              <w:rPr>
                <w:rFonts w:ascii="宋体"/>
                <w:color w:val="000000"/>
                <w:kern w:val="0"/>
                <w:sz w:val="18"/>
                <w:highlight w:val="white"/>
              </w:rPr>
            </w:pPr>
            <w:r>
              <w:rPr>
                <w:rFonts w:ascii="宋体" w:hint="eastAsia"/>
                <w:color w:val="000000"/>
                <w:kern w:val="0"/>
                <w:sz w:val="18"/>
                <w:highlight w:val="white"/>
              </w:rPr>
              <w:t>98</w:t>
            </w:r>
          </w:p>
        </w:tc>
        <w:tc>
          <w:tcPr>
            <w:tcW w:w="141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 </w:t>
            </w:r>
          </w:p>
        </w:tc>
        <w:tc>
          <w:tcPr>
            <w:tcW w:w="1742" w:type="pct"/>
            <w:shd w:val="clear" w:color="auto" w:fill="auto"/>
            <w:noWrap/>
            <w:tcMar>
              <w:top w:w="10" w:type="dxa"/>
              <w:left w:w="10" w:type="dxa"/>
              <w:bottom w:w="0" w:type="dxa"/>
              <w:right w:w="10" w:type="dxa"/>
            </w:tcMar>
            <w:vAlign w:val="center"/>
          </w:tcPr>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 </w:t>
            </w:r>
          </w:p>
        </w:tc>
      </w:tr>
    </w:tbl>
    <w:p w:rsidR="007F0723" w:rsidRDefault="00945276">
      <w:pPr>
        <w:rPr>
          <w:rFonts w:ascii="宋体"/>
          <w:color w:val="000000"/>
          <w:kern w:val="0"/>
          <w:sz w:val="18"/>
          <w:highlight w:val="white"/>
          <w:lang w:val="zh-CN"/>
        </w:rPr>
      </w:pPr>
      <w:r>
        <w:rPr>
          <w:rFonts w:ascii="宋体" w:hint="eastAsia"/>
          <w:color w:val="000000"/>
          <w:kern w:val="0"/>
          <w:sz w:val="18"/>
          <w:highlight w:val="white"/>
          <w:lang w:val="zh-CN"/>
        </w:rPr>
        <w:t> </w:t>
      </w:r>
    </w:p>
    <w:p w:rsidR="007F0723" w:rsidRDefault="007F0723">
      <w:pPr>
        <w:rPr>
          <w:rFonts w:ascii="宋体"/>
          <w:color w:val="000000"/>
          <w:kern w:val="0"/>
          <w:sz w:val="18"/>
          <w:highlight w:val="white"/>
          <w:lang w:val="zh-CN"/>
        </w:rPr>
      </w:pPr>
    </w:p>
    <w:sectPr w:rsidR="007F0723" w:rsidSect="005A510C">
      <w:footerReference w:type="default" r:id="rId7"/>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76" w:rsidRDefault="00945276" w:rsidP="005A510C">
      <w:r>
        <w:separator/>
      </w:r>
    </w:p>
  </w:endnote>
  <w:endnote w:type="continuationSeparator" w:id="0">
    <w:p w:rsidR="00945276" w:rsidRDefault="00945276" w:rsidP="005A5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8130"/>
      <w:docPartObj>
        <w:docPartGallery w:val="Page Numbers (Bottom of Page)"/>
        <w:docPartUnique/>
      </w:docPartObj>
    </w:sdtPr>
    <w:sdtContent>
      <w:p w:rsidR="005A510C" w:rsidRDefault="00920BF9">
        <w:pPr>
          <w:pStyle w:val="a5"/>
          <w:jc w:val="center"/>
        </w:pPr>
        <w:r>
          <w:fldChar w:fldCharType="begin"/>
        </w:r>
        <w:r w:rsidR="005A510C">
          <w:instrText>PAGE   \* MERGEFORMAT</w:instrText>
        </w:r>
        <w:r>
          <w:fldChar w:fldCharType="separate"/>
        </w:r>
        <w:r w:rsidR="004738A3" w:rsidRPr="004738A3">
          <w:rPr>
            <w:noProof/>
            <w:lang w:val="zh-CN"/>
          </w:rPr>
          <w:t>28</w:t>
        </w:r>
        <w:r>
          <w:fldChar w:fldCharType="end"/>
        </w:r>
      </w:p>
    </w:sdtContent>
  </w:sdt>
  <w:p w:rsidR="005A510C" w:rsidRDefault="005A51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76" w:rsidRDefault="00945276" w:rsidP="005A510C">
      <w:r>
        <w:separator/>
      </w:r>
    </w:p>
  </w:footnote>
  <w:footnote w:type="continuationSeparator" w:id="0">
    <w:p w:rsidR="00945276" w:rsidRDefault="00945276" w:rsidP="005A5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38CFDC"/>
    <w:multiLevelType w:val="multilevel"/>
    <w:tmpl w:val="DA38CFDC"/>
    <w:lvl w:ilvl="0">
      <w:start w:val="2"/>
      <w:numFmt w:val="chineseCounting"/>
      <w:lvlRestart w:val="0"/>
      <w:suff w:val="nothing"/>
      <w:lvlText w:val="%1、"/>
      <w:lvlJc w:val="left"/>
      <w:pPr>
        <w:tabs>
          <w:tab w:val="num" w:pos="0"/>
        </w:tabs>
        <w:ind w:left="0" w:firstLine="0"/>
      </w:pPr>
      <w:rPr>
        <w:rFonts w:hint="default"/>
        <w:u w:val="none"/>
      </w:rPr>
    </w:lvl>
    <w:lvl w:ilvl="1">
      <w:start w:val="1"/>
      <w:numFmt w:val="decimal"/>
      <w:lvlText w:val=""/>
      <w:lvlJc w:val="left"/>
      <w:pPr>
        <w:tabs>
          <w:tab w:val="num" w:pos="0"/>
        </w:tabs>
        <w:ind w:left="0" w:firstLine="0"/>
      </w:pPr>
      <w:rPr>
        <w:rFonts w:hint="default"/>
        <w:u w:val="none"/>
      </w:rPr>
    </w:lvl>
    <w:lvl w:ilvl="2">
      <w:start w:val="1"/>
      <w:numFmt w:val="decimal"/>
      <w:lvlText w:val=""/>
      <w:lvlJc w:val="left"/>
      <w:pPr>
        <w:tabs>
          <w:tab w:val="num" w:pos="0"/>
        </w:tabs>
        <w:ind w:left="0" w:firstLine="0"/>
      </w:pPr>
      <w:rPr>
        <w:rFonts w:hint="default"/>
        <w:u w:val="none"/>
      </w:rPr>
    </w:lvl>
    <w:lvl w:ilvl="3">
      <w:start w:val="1"/>
      <w:numFmt w:val="decimal"/>
      <w:lvlText w:val=""/>
      <w:lvlJc w:val="left"/>
      <w:pPr>
        <w:tabs>
          <w:tab w:val="num" w:pos="0"/>
        </w:tabs>
        <w:ind w:left="0" w:firstLine="0"/>
      </w:pPr>
      <w:rPr>
        <w:rFonts w:hint="default"/>
        <w:u w:val="none"/>
      </w:rPr>
    </w:lvl>
    <w:lvl w:ilvl="4">
      <w:start w:val="1"/>
      <w:numFmt w:val="decimal"/>
      <w:lvlText w:val=""/>
      <w:lvlJc w:val="left"/>
      <w:pPr>
        <w:tabs>
          <w:tab w:val="num" w:pos="0"/>
        </w:tabs>
        <w:ind w:left="0" w:firstLine="0"/>
      </w:pPr>
      <w:rPr>
        <w:rFonts w:hint="default"/>
        <w:u w:val="none"/>
      </w:rPr>
    </w:lvl>
    <w:lvl w:ilvl="5">
      <w:start w:val="1"/>
      <w:numFmt w:val="decimal"/>
      <w:lvlText w:val=""/>
      <w:lvlJc w:val="left"/>
      <w:pPr>
        <w:tabs>
          <w:tab w:val="num" w:pos="0"/>
        </w:tabs>
        <w:ind w:left="0" w:firstLine="0"/>
      </w:pPr>
      <w:rPr>
        <w:rFonts w:hint="default"/>
        <w:u w:val="none"/>
      </w:rPr>
    </w:lvl>
    <w:lvl w:ilvl="6">
      <w:start w:val="1"/>
      <w:numFmt w:val="decimal"/>
      <w:lvlText w:val=""/>
      <w:lvlJc w:val="left"/>
      <w:pPr>
        <w:tabs>
          <w:tab w:val="num" w:pos="0"/>
        </w:tabs>
        <w:ind w:left="0" w:firstLine="0"/>
      </w:pPr>
      <w:rPr>
        <w:rFonts w:hint="default"/>
        <w:u w:val="none"/>
      </w:rPr>
    </w:lvl>
    <w:lvl w:ilvl="7">
      <w:start w:val="1"/>
      <w:numFmt w:val="decimal"/>
      <w:lvlText w:val=""/>
      <w:lvlJc w:val="left"/>
      <w:pPr>
        <w:tabs>
          <w:tab w:val="num" w:pos="0"/>
        </w:tabs>
        <w:ind w:left="0" w:firstLine="0"/>
      </w:pPr>
      <w:rPr>
        <w:rFonts w:hint="default"/>
        <w:u w:val="none"/>
      </w:rPr>
    </w:lvl>
    <w:lvl w:ilvl="8">
      <w:start w:val="1"/>
      <w:numFmt w:val="decimal"/>
      <w:lvlText w:val=""/>
      <w:lvlJc w:val="left"/>
      <w:pPr>
        <w:tabs>
          <w:tab w:val="num" w:pos="0"/>
        </w:tabs>
        <w:ind w:left="0" w:firstLine="0"/>
      </w:pPr>
      <w:rPr>
        <w:rFonts w:hint="default"/>
        <w:u w:val="none"/>
      </w:rPr>
    </w:lvl>
  </w:abstractNum>
  <w:abstractNum w:abstractNumId="1">
    <w:nsid w:val="FDE689A2"/>
    <w:multiLevelType w:val="multilevel"/>
    <w:tmpl w:val="FDE689A2"/>
    <w:lvl w:ilvl="0">
      <w:start w:val="2"/>
      <w:numFmt w:val="chineseCounting"/>
      <w:lvlRestart w:val="0"/>
      <w:suff w:val="nothing"/>
      <w:lvlText w:val="（%1）"/>
      <w:lvlJc w:val="left"/>
      <w:pPr>
        <w:tabs>
          <w:tab w:val="num" w:pos="0"/>
        </w:tabs>
        <w:ind w:left="0" w:firstLine="0"/>
      </w:pPr>
      <w:rPr>
        <w:rFonts w:hint="default"/>
        <w:u w:val="none"/>
      </w:rPr>
    </w:lvl>
    <w:lvl w:ilvl="1">
      <w:start w:val="1"/>
      <w:numFmt w:val="decimal"/>
      <w:lvlText w:val=""/>
      <w:lvlJc w:val="left"/>
      <w:pPr>
        <w:tabs>
          <w:tab w:val="num" w:pos="0"/>
        </w:tabs>
        <w:ind w:left="0" w:firstLine="0"/>
      </w:pPr>
      <w:rPr>
        <w:rFonts w:hint="default"/>
        <w:u w:val="none"/>
      </w:rPr>
    </w:lvl>
    <w:lvl w:ilvl="2">
      <w:start w:val="1"/>
      <w:numFmt w:val="decimal"/>
      <w:lvlText w:val=""/>
      <w:lvlJc w:val="left"/>
      <w:pPr>
        <w:tabs>
          <w:tab w:val="num" w:pos="0"/>
        </w:tabs>
        <w:ind w:left="0" w:firstLine="0"/>
      </w:pPr>
      <w:rPr>
        <w:rFonts w:hint="default"/>
        <w:u w:val="none"/>
      </w:rPr>
    </w:lvl>
    <w:lvl w:ilvl="3">
      <w:start w:val="1"/>
      <w:numFmt w:val="decimal"/>
      <w:lvlText w:val=""/>
      <w:lvlJc w:val="left"/>
      <w:pPr>
        <w:tabs>
          <w:tab w:val="num" w:pos="0"/>
        </w:tabs>
        <w:ind w:left="0" w:firstLine="0"/>
      </w:pPr>
      <w:rPr>
        <w:rFonts w:hint="default"/>
        <w:u w:val="none"/>
      </w:rPr>
    </w:lvl>
    <w:lvl w:ilvl="4">
      <w:start w:val="1"/>
      <w:numFmt w:val="decimal"/>
      <w:lvlText w:val=""/>
      <w:lvlJc w:val="left"/>
      <w:pPr>
        <w:tabs>
          <w:tab w:val="num" w:pos="0"/>
        </w:tabs>
        <w:ind w:left="0" w:firstLine="0"/>
      </w:pPr>
      <w:rPr>
        <w:rFonts w:hint="default"/>
        <w:u w:val="none"/>
      </w:rPr>
    </w:lvl>
    <w:lvl w:ilvl="5">
      <w:start w:val="1"/>
      <w:numFmt w:val="decimal"/>
      <w:lvlText w:val=""/>
      <w:lvlJc w:val="left"/>
      <w:pPr>
        <w:tabs>
          <w:tab w:val="num" w:pos="0"/>
        </w:tabs>
        <w:ind w:left="0" w:firstLine="0"/>
      </w:pPr>
      <w:rPr>
        <w:rFonts w:hint="default"/>
        <w:u w:val="none"/>
      </w:rPr>
    </w:lvl>
    <w:lvl w:ilvl="6">
      <w:start w:val="1"/>
      <w:numFmt w:val="decimal"/>
      <w:lvlText w:val=""/>
      <w:lvlJc w:val="left"/>
      <w:pPr>
        <w:tabs>
          <w:tab w:val="num" w:pos="0"/>
        </w:tabs>
        <w:ind w:left="0" w:firstLine="0"/>
      </w:pPr>
      <w:rPr>
        <w:rFonts w:hint="default"/>
        <w:u w:val="none"/>
      </w:rPr>
    </w:lvl>
    <w:lvl w:ilvl="7">
      <w:start w:val="1"/>
      <w:numFmt w:val="decimal"/>
      <w:lvlText w:val=""/>
      <w:lvlJc w:val="left"/>
      <w:pPr>
        <w:tabs>
          <w:tab w:val="num" w:pos="0"/>
        </w:tabs>
        <w:ind w:left="0" w:firstLine="0"/>
      </w:pPr>
      <w:rPr>
        <w:rFonts w:hint="default"/>
        <w:u w:val="none"/>
      </w:rPr>
    </w:lvl>
    <w:lvl w:ilvl="8">
      <w:start w:val="1"/>
      <w:numFmt w:val="decimal"/>
      <w:lvlText w:val=""/>
      <w:lvlJc w:val="left"/>
      <w:pPr>
        <w:tabs>
          <w:tab w:val="num" w:pos="0"/>
        </w:tabs>
        <w:ind w:left="0" w:firstLine="0"/>
      </w:pPr>
      <w:rPr>
        <w:rFonts w:hint="default"/>
        <w:u w:val="none"/>
      </w:rPr>
    </w:lvl>
  </w:abstractNum>
  <w:abstractNum w:abstractNumId="2">
    <w:nsid w:val="123F8703"/>
    <w:multiLevelType w:val="multilevel"/>
    <w:tmpl w:val="123F8703"/>
    <w:lvl w:ilvl="0">
      <w:start w:val="2"/>
      <w:numFmt w:val="chineseCounting"/>
      <w:lvlRestart w:val="0"/>
      <w:suff w:val="nothing"/>
      <w:lvlText w:val="（%1）"/>
      <w:lvlJc w:val="left"/>
      <w:pPr>
        <w:tabs>
          <w:tab w:val="num" w:pos="0"/>
        </w:tabs>
        <w:ind w:left="0" w:firstLine="0"/>
      </w:pPr>
      <w:rPr>
        <w:rFonts w:hint="default"/>
        <w:u w:val="none"/>
      </w:rPr>
    </w:lvl>
    <w:lvl w:ilvl="1">
      <w:start w:val="1"/>
      <w:numFmt w:val="decimal"/>
      <w:lvlText w:val=""/>
      <w:lvlJc w:val="left"/>
      <w:pPr>
        <w:tabs>
          <w:tab w:val="num" w:pos="0"/>
        </w:tabs>
        <w:ind w:left="0" w:firstLine="0"/>
      </w:pPr>
      <w:rPr>
        <w:rFonts w:hint="default"/>
        <w:u w:val="none"/>
      </w:rPr>
    </w:lvl>
    <w:lvl w:ilvl="2">
      <w:start w:val="1"/>
      <w:numFmt w:val="decimal"/>
      <w:lvlText w:val=""/>
      <w:lvlJc w:val="left"/>
      <w:pPr>
        <w:tabs>
          <w:tab w:val="num" w:pos="0"/>
        </w:tabs>
        <w:ind w:left="0" w:firstLine="0"/>
      </w:pPr>
      <w:rPr>
        <w:rFonts w:hint="default"/>
        <w:u w:val="none"/>
      </w:rPr>
    </w:lvl>
    <w:lvl w:ilvl="3">
      <w:start w:val="1"/>
      <w:numFmt w:val="decimal"/>
      <w:lvlText w:val=""/>
      <w:lvlJc w:val="left"/>
      <w:pPr>
        <w:tabs>
          <w:tab w:val="num" w:pos="0"/>
        </w:tabs>
        <w:ind w:left="0" w:firstLine="0"/>
      </w:pPr>
      <w:rPr>
        <w:rFonts w:hint="default"/>
        <w:u w:val="none"/>
      </w:rPr>
    </w:lvl>
    <w:lvl w:ilvl="4">
      <w:start w:val="1"/>
      <w:numFmt w:val="decimal"/>
      <w:lvlText w:val=""/>
      <w:lvlJc w:val="left"/>
      <w:pPr>
        <w:tabs>
          <w:tab w:val="num" w:pos="0"/>
        </w:tabs>
        <w:ind w:left="0" w:firstLine="0"/>
      </w:pPr>
      <w:rPr>
        <w:rFonts w:hint="default"/>
        <w:u w:val="none"/>
      </w:rPr>
    </w:lvl>
    <w:lvl w:ilvl="5">
      <w:start w:val="1"/>
      <w:numFmt w:val="decimal"/>
      <w:lvlText w:val=""/>
      <w:lvlJc w:val="left"/>
      <w:pPr>
        <w:tabs>
          <w:tab w:val="num" w:pos="0"/>
        </w:tabs>
        <w:ind w:left="0" w:firstLine="0"/>
      </w:pPr>
      <w:rPr>
        <w:rFonts w:hint="default"/>
        <w:u w:val="none"/>
      </w:rPr>
    </w:lvl>
    <w:lvl w:ilvl="6">
      <w:start w:val="1"/>
      <w:numFmt w:val="decimal"/>
      <w:lvlText w:val=""/>
      <w:lvlJc w:val="left"/>
      <w:pPr>
        <w:tabs>
          <w:tab w:val="num" w:pos="0"/>
        </w:tabs>
        <w:ind w:left="0" w:firstLine="0"/>
      </w:pPr>
      <w:rPr>
        <w:rFonts w:hint="default"/>
        <w:u w:val="none"/>
      </w:rPr>
    </w:lvl>
    <w:lvl w:ilvl="7">
      <w:start w:val="1"/>
      <w:numFmt w:val="decimal"/>
      <w:lvlText w:val=""/>
      <w:lvlJc w:val="left"/>
      <w:pPr>
        <w:tabs>
          <w:tab w:val="num" w:pos="0"/>
        </w:tabs>
        <w:ind w:left="0" w:firstLine="0"/>
      </w:pPr>
      <w:rPr>
        <w:rFonts w:hint="default"/>
        <w:u w:val="none"/>
      </w:rPr>
    </w:lvl>
    <w:lvl w:ilvl="8">
      <w:start w:val="1"/>
      <w:numFmt w:val="decimal"/>
      <w:lvlText w:val=""/>
      <w:lvlJc w:val="left"/>
      <w:pPr>
        <w:tabs>
          <w:tab w:val="num" w:pos="0"/>
        </w:tabs>
        <w:ind w:left="0" w:firstLine="0"/>
      </w:pPr>
      <w:rPr>
        <w:rFonts w:hint="default"/>
        <w:u w:val="none"/>
      </w:rPr>
    </w:lvl>
  </w:abstractNum>
  <w:abstractNum w:abstractNumId="3">
    <w:nsid w:val="4CD52E6C"/>
    <w:multiLevelType w:val="multilevel"/>
    <w:tmpl w:val="4CD52E6C"/>
    <w:lvl w:ilvl="0">
      <w:start w:val="2"/>
      <w:numFmt w:val="chineseCounting"/>
      <w:lvlRestart w:val="0"/>
      <w:suff w:val="space"/>
      <w:lvlText w:val="第%1部分"/>
      <w:lvlJc w:val="left"/>
      <w:pPr>
        <w:tabs>
          <w:tab w:val="num" w:pos="0"/>
        </w:tabs>
        <w:ind w:left="0" w:firstLine="0"/>
      </w:pPr>
      <w:rPr>
        <w:rFonts w:hint="default"/>
        <w:u w:val="none"/>
      </w:rPr>
    </w:lvl>
    <w:lvl w:ilvl="1">
      <w:start w:val="1"/>
      <w:numFmt w:val="decimal"/>
      <w:lvlText w:val=""/>
      <w:lvlJc w:val="left"/>
      <w:pPr>
        <w:tabs>
          <w:tab w:val="num" w:pos="0"/>
        </w:tabs>
        <w:ind w:left="0" w:firstLine="0"/>
      </w:pPr>
      <w:rPr>
        <w:rFonts w:hint="default"/>
        <w:u w:val="none"/>
      </w:rPr>
    </w:lvl>
    <w:lvl w:ilvl="2">
      <w:start w:val="1"/>
      <w:numFmt w:val="decimal"/>
      <w:lvlText w:val=""/>
      <w:lvlJc w:val="left"/>
      <w:pPr>
        <w:tabs>
          <w:tab w:val="num" w:pos="0"/>
        </w:tabs>
        <w:ind w:left="0" w:firstLine="0"/>
      </w:pPr>
      <w:rPr>
        <w:rFonts w:hint="default"/>
        <w:u w:val="none"/>
      </w:rPr>
    </w:lvl>
    <w:lvl w:ilvl="3">
      <w:start w:val="1"/>
      <w:numFmt w:val="decimal"/>
      <w:lvlText w:val=""/>
      <w:lvlJc w:val="left"/>
      <w:pPr>
        <w:tabs>
          <w:tab w:val="num" w:pos="0"/>
        </w:tabs>
        <w:ind w:left="0" w:firstLine="0"/>
      </w:pPr>
      <w:rPr>
        <w:rFonts w:hint="default"/>
        <w:u w:val="none"/>
      </w:rPr>
    </w:lvl>
    <w:lvl w:ilvl="4">
      <w:start w:val="1"/>
      <w:numFmt w:val="decimal"/>
      <w:lvlText w:val=""/>
      <w:lvlJc w:val="left"/>
      <w:pPr>
        <w:tabs>
          <w:tab w:val="num" w:pos="0"/>
        </w:tabs>
        <w:ind w:left="0" w:firstLine="0"/>
      </w:pPr>
      <w:rPr>
        <w:rFonts w:hint="default"/>
        <w:u w:val="none"/>
      </w:rPr>
    </w:lvl>
    <w:lvl w:ilvl="5">
      <w:start w:val="1"/>
      <w:numFmt w:val="decimal"/>
      <w:lvlText w:val=""/>
      <w:lvlJc w:val="left"/>
      <w:pPr>
        <w:tabs>
          <w:tab w:val="num" w:pos="0"/>
        </w:tabs>
        <w:ind w:left="0" w:firstLine="0"/>
      </w:pPr>
      <w:rPr>
        <w:rFonts w:hint="default"/>
        <w:u w:val="none"/>
      </w:rPr>
    </w:lvl>
    <w:lvl w:ilvl="6">
      <w:start w:val="1"/>
      <w:numFmt w:val="decimal"/>
      <w:lvlText w:val=""/>
      <w:lvlJc w:val="left"/>
      <w:pPr>
        <w:tabs>
          <w:tab w:val="num" w:pos="0"/>
        </w:tabs>
        <w:ind w:left="0" w:firstLine="0"/>
      </w:pPr>
      <w:rPr>
        <w:rFonts w:hint="default"/>
        <w:u w:val="none"/>
      </w:rPr>
    </w:lvl>
    <w:lvl w:ilvl="7">
      <w:start w:val="1"/>
      <w:numFmt w:val="decimal"/>
      <w:lvlText w:val=""/>
      <w:lvlJc w:val="left"/>
      <w:pPr>
        <w:tabs>
          <w:tab w:val="num" w:pos="0"/>
        </w:tabs>
        <w:ind w:left="0" w:firstLine="0"/>
      </w:pPr>
      <w:rPr>
        <w:rFonts w:hint="default"/>
        <w:u w:val="none"/>
      </w:rPr>
    </w:lvl>
    <w:lvl w:ilvl="8">
      <w:start w:val="1"/>
      <w:numFmt w:val="decimal"/>
      <w:lvlText w:val=""/>
      <w:lvlJc w:val="left"/>
      <w:pPr>
        <w:tabs>
          <w:tab w:val="num" w:pos="0"/>
        </w:tabs>
        <w:ind w:left="0" w:firstLine="0"/>
      </w:pPr>
      <w:rPr>
        <w:rFonts w:hint="default"/>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oNotUseMarginsForDrawingGridOrigin/>
  <w:doNotShadeFormData/>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7F0723"/>
    <w:rsid w:val="000756D3"/>
    <w:rsid w:val="000D00B8"/>
    <w:rsid w:val="002243A8"/>
    <w:rsid w:val="004738A3"/>
    <w:rsid w:val="00591414"/>
    <w:rsid w:val="005A510C"/>
    <w:rsid w:val="007C2AFF"/>
    <w:rsid w:val="007F0723"/>
    <w:rsid w:val="00920BF9"/>
    <w:rsid w:val="00945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0BF9"/>
    <w:pPr>
      <w:jc w:val="both"/>
    </w:pPr>
    <w:rPr>
      <w:kern w:val="2"/>
      <w:sz w:val="21"/>
      <w:szCs w:val="24"/>
    </w:rPr>
  </w:style>
  <w:style w:type="paragraph" w:styleId="1">
    <w:name w:val="heading 1"/>
    <w:basedOn w:val="a"/>
    <w:next w:val="a"/>
    <w:rsid w:val="00920BF9"/>
    <w:pPr>
      <w:keepNext/>
      <w:keepLines/>
      <w:spacing w:before="340" w:after="330" w:line="578" w:lineRule="auto"/>
      <w:outlineLvl w:val="0"/>
    </w:pPr>
    <w:rPr>
      <w:b/>
      <w:bCs/>
      <w:kern w:val="44"/>
      <w:sz w:val="44"/>
    </w:rPr>
  </w:style>
  <w:style w:type="paragraph" w:styleId="2">
    <w:name w:val="heading 2"/>
    <w:basedOn w:val="a"/>
    <w:next w:val="a"/>
    <w:rsid w:val="00920BF9"/>
    <w:pPr>
      <w:spacing w:before="100" w:beforeAutospacing="1" w:after="100" w:afterAutospacing="1"/>
      <w:jc w:val="left"/>
      <w:outlineLvl w:val="1"/>
    </w:pPr>
    <w:rPr>
      <w:rFonts w:ascii="宋体" w:cs="宋体"/>
      <w:b/>
      <w:kern w:val="0"/>
      <w:sz w:val="36"/>
      <w:szCs w:val="36"/>
    </w:rPr>
  </w:style>
  <w:style w:type="paragraph" w:styleId="3">
    <w:name w:val="heading 3"/>
    <w:basedOn w:val="a"/>
    <w:next w:val="a"/>
    <w:rsid w:val="00920BF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20BF9"/>
    <w:pPr>
      <w:spacing w:beforeAutospacing="1" w:afterAutospacing="1"/>
      <w:jc w:val="left"/>
    </w:pPr>
    <w:rPr>
      <w:kern w:val="0"/>
      <w:sz w:val="24"/>
    </w:rPr>
  </w:style>
  <w:style w:type="paragraph" w:styleId="a4">
    <w:name w:val="header"/>
    <w:basedOn w:val="a"/>
    <w:link w:val="Char"/>
    <w:uiPriority w:val="99"/>
    <w:unhideWhenUsed/>
    <w:rsid w:val="005A5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510C"/>
    <w:rPr>
      <w:kern w:val="2"/>
      <w:sz w:val="18"/>
      <w:szCs w:val="18"/>
    </w:rPr>
  </w:style>
  <w:style w:type="paragraph" w:styleId="a5">
    <w:name w:val="footer"/>
    <w:basedOn w:val="a"/>
    <w:link w:val="Char0"/>
    <w:uiPriority w:val="99"/>
    <w:unhideWhenUsed/>
    <w:rsid w:val="005A510C"/>
    <w:pPr>
      <w:tabs>
        <w:tab w:val="center" w:pos="4153"/>
        <w:tab w:val="right" w:pos="8306"/>
      </w:tabs>
      <w:snapToGrid w:val="0"/>
      <w:jc w:val="left"/>
    </w:pPr>
    <w:rPr>
      <w:sz w:val="18"/>
      <w:szCs w:val="18"/>
    </w:rPr>
  </w:style>
  <w:style w:type="character" w:customStyle="1" w:styleId="Char0">
    <w:name w:val="页脚 Char"/>
    <w:basedOn w:val="a0"/>
    <w:link w:val="a5"/>
    <w:uiPriority w:val="99"/>
    <w:rsid w:val="005A51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29</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2021-10-21T08:08:00Z</dcterms:created>
  <dcterms:modified xsi:type="dcterms:W3CDTF">2022-05-31T01:50:00Z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55D7F3034C8045F5997471966182CCCE</vt:lpwstr>
  </property>
</Properties>
</file>