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shd w:val="clear" w:fill="FFFFFF"/>
          <w:lang w:val="en-US" w:eastAsia="zh-CN" w:bidi="ar"/>
        </w:rPr>
        <w:t>附件</w:t>
      </w:r>
      <w:r>
        <w:rPr>
          <w:rFonts w:hint="eastAsia" w:ascii="黑体" w:hAnsi="宋体" w:eastAsia="黑体" w:cs="黑体"/>
          <w:i w:val="0"/>
          <w:iCs w:val="0"/>
          <w:caps w:val="0"/>
          <w:color w:val="333333"/>
          <w:spacing w:val="0"/>
          <w:kern w:val="0"/>
          <w:sz w:val="32"/>
          <w:szCs w:val="32"/>
          <w:shd w:val="clear" w:fill="FFFFFF"/>
          <w:lang w:val="en-US" w:eastAsia="zh-CN" w:bidi="ar"/>
        </w:rPr>
        <w:t>3：</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t>赫山区供销社</w:t>
      </w:r>
      <w:r>
        <w:rPr>
          <w:rFonts w:ascii="方正小标宋简体" w:hAnsi="方正小标宋简体" w:eastAsia="方正小标宋简体" w:cs="方正小标宋简体"/>
          <w:i w:val="0"/>
          <w:iCs w:val="0"/>
          <w:caps w:val="0"/>
          <w:color w:val="333333"/>
          <w:spacing w:val="0"/>
          <w:kern w:val="0"/>
          <w:sz w:val="32"/>
          <w:szCs w:val="32"/>
          <w:shd w:val="clear" w:fill="FFFFFF"/>
          <w:lang w:val="en-US" w:eastAsia="zh-CN" w:bidi="ar"/>
        </w:rPr>
        <w:t>2021年度部门整体支出绩效自评指标计分表</w:t>
      </w:r>
    </w:p>
    <w:tbl>
      <w:tblPr>
        <w:tblStyle w:val="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69"/>
        <w:gridCol w:w="585"/>
        <w:gridCol w:w="525"/>
        <w:gridCol w:w="705"/>
        <w:gridCol w:w="2625"/>
        <w:gridCol w:w="42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jc w:val="center"/>
        </w:trPr>
        <w:tc>
          <w:tcPr>
            <w:tcW w:w="569" w:type="dxa"/>
            <w:tcBorders>
              <w:top w:val="single" w:color="auto" w:sz="8" w:space="0"/>
              <w:left w:val="single" w:color="auto" w:sz="8" w:space="0"/>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bCs/>
                <w:i w:val="0"/>
                <w:iCs w:val="0"/>
                <w:kern w:val="0"/>
                <w:sz w:val="21"/>
                <w:szCs w:val="21"/>
                <w:lang w:val="en-US" w:eastAsia="zh-CN" w:bidi="ar"/>
              </w:rPr>
              <w:t>一级</w:t>
            </w:r>
            <w:r>
              <w:rPr>
                <w:rFonts w:hint="eastAsia" w:ascii="宋体" w:hAnsi="宋体" w:eastAsia="宋体" w:cs="宋体"/>
                <w:b/>
                <w:bCs/>
                <w:i w:val="0"/>
                <w:iCs w:val="0"/>
                <w:kern w:val="0"/>
                <w:sz w:val="21"/>
                <w:szCs w:val="21"/>
                <w:lang w:val="en-US" w:eastAsia="zh-CN" w:bidi="ar"/>
              </w:rPr>
              <w:br w:type="textWrapping"/>
            </w:r>
            <w:r>
              <w:rPr>
                <w:rFonts w:hint="eastAsia" w:ascii="宋体" w:hAnsi="宋体" w:eastAsia="宋体" w:cs="宋体"/>
                <w:b/>
                <w:bCs/>
                <w:i w:val="0"/>
                <w:iCs w:val="0"/>
                <w:kern w:val="0"/>
                <w:sz w:val="21"/>
                <w:szCs w:val="21"/>
                <w:lang w:val="en-US" w:eastAsia="zh-CN" w:bidi="ar"/>
              </w:rPr>
              <w:t>指标</w:t>
            </w:r>
          </w:p>
        </w:tc>
        <w:tc>
          <w:tcPr>
            <w:tcW w:w="585" w:type="dxa"/>
            <w:tcBorders>
              <w:top w:val="single" w:color="auto" w:sz="8" w:space="0"/>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174"/>
              <w:jc w:val="center"/>
            </w:pPr>
            <w:r>
              <w:rPr>
                <w:rFonts w:hint="eastAsia" w:ascii="宋体" w:hAnsi="宋体" w:eastAsia="宋体" w:cs="宋体"/>
                <w:b/>
                <w:bCs/>
                <w:i w:val="0"/>
                <w:iCs w:val="0"/>
                <w:kern w:val="0"/>
                <w:sz w:val="21"/>
                <w:szCs w:val="21"/>
                <w:lang w:val="en-US" w:eastAsia="zh-CN" w:bidi="ar"/>
              </w:rPr>
              <w:t>二级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174"/>
              <w:jc w:val="center"/>
            </w:pPr>
            <w:r>
              <w:rPr>
                <w:rFonts w:hint="eastAsia" w:ascii="宋体" w:hAnsi="宋体" w:eastAsia="宋体" w:cs="宋体"/>
                <w:b/>
                <w:bCs/>
                <w:i w:val="0"/>
                <w:iCs w:val="0"/>
                <w:kern w:val="0"/>
                <w:sz w:val="21"/>
                <w:szCs w:val="21"/>
                <w:lang w:val="en-US" w:eastAsia="zh-CN" w:bidi="ar"/>
              </w:rPr>
              <w:t>指标</w:t>
            </w:r>
          </w:p>
        </w:tc>
        <w:tc>
          <w:tcPr>
            <w:tcW w:w="525" w:type="dxa"/>
            <w:tcBorders>
              <w:top w:val="single" w:color="auto" w:sz="8" w:space="0"/>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bCs/>
                <w:i w:val="0"/>
                <w:iCs w:val="0"/>
                <w:kern w:val="0"/>
                <w:sz w:val="21"/>
                <w:szCs w:val="21"/>
                <w:lang w:val="en-US" w:eastAsia="zh-CN" w:bidi="ar"/>
              </w:rPr>
              <w:t>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b/>
                <w:bCs/>
                <w:i w:val="0"/>
                <w:iCs w:val="0"/>
                <w:kern w:val="0"/>
                <w:sz w:val="21"/>
                <w:szCs w:val="21"/>
                <w:lang w:val="en-US" w:eastAsia="zh-CN" w:bidi="ar"/>
              </w:rPr>
              <w:t>指标</w:t>
            </w:r>
          </w:p>
        </w:tc>
        <w:tc>
          <w:tcPr>
            <w:tcW w:w="70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center"/>
            </w:pPr>
            <w:r>
              <w:rPr>
                <w:rFonts w:hint="eastAsia" w:ascii="宋体" w:hAnsi="宋体" w:eastAsia="宋体" w:cs="宋体"/>
                <w:b/>
                <w:bCs/>
                <w:i w:val="0"/>
                <w:iCs w:val="0"/>
                <w:kern w:val="0"/>
                <w:sz w:val="21"/>
                <w:szCs w:val="21"/>
                <w:lang w:val="en-US" w:eastAsia="zh-CN" w:bidi="ar"/>
              </w:rPr>
              <w:t>自评分</w:t>
            </w:r>
          </w:p>
        </w:tc>
        <w:tc>
          <w:tcPr>
            <w:tcW w:w="2625" w:type="dxa"/>
            <w:tcBorders>
              <w:top w:val="single" w:color="auto" w:sz="8" w:space="0"/>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center"/>
            </w:pPr>
            <w:r>
              <w:rPr>
                <w:rFonts w:hint="eastAsia" w:ascii="宋体" w:hAnsi="宋体" w:eastAsia="宋体" w:cs="宋体"/>
                <w:b/>
                <w:bCs/>
                <w:i w:val="0"/>
                <w:iCs w:val="0"/>
                <w:kern w:val="0"/>
                <w:sz w:val="21"/>
                <w:szCs w:val="21"/>
                <w:lang w:val="en-US" w:eastAsia="zh-CN" w:bidi="ar"/>
              </w:rPr>
              <w:t>指标解释</w:t>
            </w:r>
          </w:p>
        </w:tc>
        <w:tc>
          <w:tcPr>
            <w:tcW w:w="4258" w:type="dxa"/>
            <w:tcBorders>
              <w:top w:val="single" w:color="auto" w:sz="8" w:space="0"/>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center"/>
            </w:pPr>
            <w:r>
              <w:rPr>
                <w:rFonts w:hint="eastAsia" w:ascii="宋体" w:hAnsi="宋体" w:eastAsia="宋体" w:cs="宋体"/>
                <w:b/>
                <w:bCs/>
                <w:i w:val="0"/>
                <w:iCs w:val="0"/>
                <w:kern w:val="0"/>
                <w:sz w:val="21"/>
                <w:szCs w:val="21"/>
                <w:lang w:val="en-US" w:eastAsia="zh-CN" w:bidi="ar"/>
              </w:rPr>
              <w:t>指标说明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92" w:hRule="atLeast"/>
          <w:jc w:val="center"/>
        </w:trPr>
        <w:tc>
          <w:tcPr>
            <w:tcW w:w="569"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投   入（20分）</w:t>
            </w:r>
          </w:p>
        </w:tc>
        <w:tc>
          <w:tcPr>
            <w:tcW w:w="585"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目标</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设定（5分）</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绩效目标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合理性（2分）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部门所设立的整体绩效目标依据是否充分，是否符合客观实际，用以反映和考核部门整体绩效目标与部门履职、年度工作任务的相符性情况。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①是否符合国家法律法规、国民经济和社会发展总体规划；</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②是否符合部门“三定”方案确定的职责；</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③是否符合部门制定的中长期实施规划。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37"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绩效指标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明确性（3分）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3</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部门依据整体绩效目标所设定的绩效指标是否清晰、细化、可衡量，用以反映和考核部门整体绩效目标的明细化情况。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①是否将部门整体的绩效目标细化分解为具体的工作任务；</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②是否通过清晰、可衡量的指标值予以体现。    ③是否与部门年度的任务数或计划数相对应；</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④是否与本年度部门预算资金相匹配。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31"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预算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配置（15分）</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在职人员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控制率（5分）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4</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部门本年度实际在职人员数与编制数的比率，用以反映和考核部门对人员成本的控制程度。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在职人员控制率=（在职人员数/编制数）×100%。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在职人员数：部门实际在职人数，以财政部确定的部门决算编制口径为准。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编制数：机构编制部门核定批复的部门的人员编制数。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30"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“三公经费”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变动率（5分）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4</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部门本年度“三公经费”预算数与上年度“三公经费”预算数的变动比率，用以反映和考核部门对控制重点行政成本的努力程度。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“三公经费”变动率=[（本年度“三公经费”总额-上年度“三公经费”总额）/上年度“三公经费”总额]×100%。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“三公经费”：年度预算安排的因公出国（境）费、公务车辆购置及运行费和公务招待费。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10"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重点支出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安排率（5分）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5</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部门本年度预算安排的重点预算支出与部门预算总支出的比率，用以反映和考核部门对履行主要职责或完成重点任务的保障程度。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重点支出安排率=（重点预算支出/预算总支出）×100%。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重点预算支出：部门年度预算安排的，与本部门履职和发展密切相关、具有明显社会和经济影响、党委政府关心或社会比较关注的预算支出支出总额。</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预算总支出：部门年度预算安排的预算支出支出总额。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62" w:hRule="atLeast"/>
          <w:jc w:val="center"/>
        </w:trPr>
        <w:tc>
          <w:tcPr>
            <w:tcW w:w="569"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过   程（30分）</w:t>
            </w:r>
          </w:p>
        </w:tc>
        <w:tc>
          <w:tcPr>
            <w:tcW w:w="585"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预算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执行（20分）</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执行率（4分）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4</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部门本年度预算完成数与预算数的比率，用以反映和考核部门预算完成程度。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预算执行率=（预算执行数/预算数）×100%。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预算执行数：部门本年度实际完成的预算数。</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预算数：财政部门批复的本年度部门预算数。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24"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调整率（2分）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部门本年度预算调整数与预算数的比率，用以反映和考核部门预算的调整程度。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预算调整率=（预算调整数/预算数）×100%。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预算调整数：部门在本年度内涉及预算的追加、追减或结构调整的资金总和（因落实国家政策、发生不可抗力、上级部门或本级党委政府临时交办而产生的调整除外）。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31"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支付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进度率（2分）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部门实际支付进度与既定支付进度的比率，用以反映和考核部门预算执行的及时性和均衡性程度。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支付进度率=（实际支付进度/既定支付进度）×100%。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实际支付进度：部门在某一时点的支出预算执行总数与年度支出预算数的比率。</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既定支付进度：由部门在申报部门整体绩效目标时，参照序时支付进度、前三年支付进度、本级部门平均支付进度水平等确定的，在某一时点应达到的支付进度（比率）。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09"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结转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结余率（2分）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部门本年度结转结余总额与支出预算数的比率，用以反映和考核部门对本年度结转结余资金的实际控制程度。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结转结余率=结转结余总额/支出预算数×100%。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结转结余总额：部门本年度的结转资金与结余资金之和（以决算数为准）。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13"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结转结余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变动率（2分）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部门本年度结转结余资金总额与上年度结转结余资金总额的变动比率，用以反映和考核部门对控制结转结余资金的努力程度。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结转结余变动率=[（本年度累计结转结余资金总额-上年度累计结转结余资金总额）/上年度累计结转结余资金总额]×100%。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15"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公用经费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控制率（2分）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部门本年度实际支出的公用经费总额与预算安排的公用经费总额的比率，用以反映和考核部门对机构运转成本的实际控制程度。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公用经费控制率=（实际支出公用经费总额/预算安排公用经费总额）×100%。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18"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“三公经费”控制率（2分）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部门本年度“三公经费”实际支出数与预算安排数的比率，用以反映和考核部门对“三公经费”的实际控制程度。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“三公经费”控制率=（“三公经费”实际支出数/“三公经费”预算安排数）×100%。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20"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政府采购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执行率（4分）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4</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部门本年度实际政府采购金额与年初政府采购预算的比率，用以反映和考核部门政府采购预算执行情况。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政府采购执行率=（实际政府采购金额/政府采购预算数）×100%；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政府采购预算：采购机关根据事业发展计划和行政任务编制的、并经过规定程序批准的年度政府采购计划。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029" w:hRule="atLeast"/>
          <w:jc w:val="center"/>
        </w:trPr>
        <w:tc>
          <w:tcPr>
            <w:tcW w:w="569" w:type="dxa"/>
            <w:vMerge w:val="restart"/>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程（30分）</w:t>
            </w:r>
          </w:p>
        </w:tc>
        <w:tc>
          <w:tcPr>
            <w:tcW w:w="585"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预算</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管理（5分）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健全性（2分）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部门为加强预算管理、规范财务行为而制定的管理制度是否健全完整，用以反映和考核部门预算管理制度对完成主要职责或促进事业发展的保障情况。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①是否已制定或具有预算资金管理办法、内部财务管理制度、会计核算制度等管理制度；</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②相关管理制度是否合法、合规、完整；</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③相关管理制度是否得到有效执行。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37"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资金使用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合规性（1分）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1</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部门使用预算资金是否符合相关的预算财务管理制度的规定，用以反映和考核部门预算资金的规范运行情况。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①是否符合国家财经法规和财务管理制度规定以及有关预算支出管理办法的规定；</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②资金的拨付是否有完整的审批程序和手续；</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③预算支出的重大开支是否经过评估论证；</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④是否符合部门预算批复的用途；</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⑤是否存在截留、挤占、挪用、虚列支出等情况。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2"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预决算信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息公开性（1分）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1</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部门是否按照政府信息公开有关规定公开相关预决算信息，用以反映和考核部门预决算管理的公开透明情况。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①是否按规定内容公开预决算信息；</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②是否按规定时限公开预决算信息。</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预决算信息是指与部门预算、执行、决算、监督、绩效等管理相关的信息。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37"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基础信息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完善性（1分）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1</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部门基础信息是否完善，用以反映和考核基础信息对预算管理工作的支撑情况。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①基础数据信息和会计信息资料是否真实；</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②基础数据信息和会计信息资料是否完整；</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③基础数据信息和会计信息资料是否准确。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9"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sz w:val="24"/>
                <w:szCs w:val="24"/>
              </w:rPr>
            </w:pPr>
          </w:p>
        </w:tc>
        <w:tc>
          <w:tcPr>
            <w:tcW w:w="585"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资产</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管理（5分）</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管理制度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健全性（2分）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部门为加强资产管理、规范资产管理行为而制定的管理制度是否健全完整，用以反映和考核部门资产管理制度对完成主要职责或促进社会发展的保障情况。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①是否已制定或具有资产管理制度；           ②相关资金管理制度是否合法、合规、完整；</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③相关资产管理制度是否得到有效执行。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87"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资产管理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安全性（2分）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2</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部门的资产是否保存完整、使用合规、配置合理、处置规范、收入及时足额上缴，用以反映和考核部门资产安全运行情况。</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评价要点：</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①资产保存是否完整；</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②资产配置是否合理；</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③资产处置是否规范；</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④资产账务管理是否合规，是否帐实相符；</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⑤资产是否有偿使用及处置收入及时足额上缴。</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95"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固定资产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利用率（1分）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1</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部门实际在用固定资产总额与所有固定资产总额的比率，用以反映和考核部门固定资产使用效率程度。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固定资产利用率=（实际在用固定资产总额/所有固定资产总额）×100%。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71" w:hRule="atLeast"/>
          <w:jc w:val="center"/>
        </w:trPr>
        <w:tc>
          <w:tcPr>
            <w:tcW w:w="569"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产   出（30分）</w:t>
            </w:r>
          </w:p>
        </w:tc>
        <w:tc>
          <w:tcPr>
            <w:tcW w:w="585"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职责</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履行（30分）</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实际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完成率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（8分）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7</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部门履行职责而实际完成工作数与计划工作数的比率，用以反映和考核部门履职工作任务目标的实现程度。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实际完成率=（实际完成工作数/计划工作数）×100%。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实际完成工作数：一定时期（年度或规划期）内部门实际完成工作任务的数量。</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计划工作数：部门整体绩效目标确定的一定时期（年度或规划期）内预计完成工作任务的数量。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93"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及时率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（4分）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4</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部门在规定时限内及时完成的实际工作数与计划工作数的比率,用以反映和考核部门履职时效目标的实现程度。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完成及时率=（及时完成实际工作数/计划工作数）×100%。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及时完成实际工作数：部门按照整体绩效目标确定的时限实际完成的工作任务数量。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75"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达标率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（8分）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7</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达到质量标准（绩效标准值）的实际工作数与计划工作数的比率,用以反映和考核部门履职质量目标的实现程度。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质量达标率=（质量达标实际工作数/计划工作数）×100%。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质量达标实际工作数：一定时期（年度或规划期）内部门实际完成工作数中达到部门绩效目标要求（绩效标准值）的工作任务数量。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5"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重点工作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办结率（10分）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9</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部门年度重点工作实际完成数与交办或下达数的比率，用以反映部门对重点工作的办理落实程度。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重点工作办结率=（重点工作实际完成数/交办或下达数）×100%。</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重点工作是指党委、政府、人大、相关部门交办或下达的工作任务。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9" w:hRule="atLeast"/>
          <w:jc w:val="center"/>
        </w:trPr>
        <w:tc>
          <w:tcPr>
            <w:tcW w:w="569" w:type="dxa"/>
            <w:vMerge w:val="restart"/>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效   果（20分）</w:t>
            </w:r>
          </w:p>
        </w:tc>
        <w:tc>
          <w:tcPr>
            <w:tcW w:w="585"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履职</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效益（20分）</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经济效益（5分）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4</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部门履行职责对经济发展所带来的直接或间接影响。</w:t>
            </w:r>
          </w:p>
        </w:tc>
        <w:tc>
          <w:tcPr>
            <w:tcW w:w="4258" w:type="dxa"/>
            <w:vMerge w:val="restart"/>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9"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社会效益（5分）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5</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部门履行职责对社会发展所带来的直接或间接影响。</w:t>
            </w:r>
          </w:p>
        </w:tc>
        <w:tc>
          <w:tcPr>
            <w:tcW w:w="4258"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9"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生态效益（5分）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5</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部门履行职责对生态环境所带来的直接或间接影响。</w:t>
            </w:r>
          </w:p>
        </w:tc>
        <w:tc>
          <w:tcPr>
            <w:tcW w:w="4258"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63" w:hRule="atLeast"/>
          <w:jc w:val="center"/>
        </w:trPr>
        <w:tc>
          <w:tcPr>
            <w:tcW w:w="569" w:type="dxa"/>
            <w:vMerge w:val="continue"/>
            <w:tcBorders>
              <w:top w:val="nil"/>
              <w:left w:val="single" w:color="auto" w:sz="8" w:space="0"/>
              <w:bottom w:val="single" w:color="auto" w:sz="8" w:space="0"/>
              <w:right w:val="single" w:color="auto" w:sz="8" w:space="0"/>
            </w:tcBorders>
            <w:shd w:val="clear" w:color="auto" w:fill="auto"/>
            <w:noWrap/>
            <w:tcMar>
              <w:top w:w="10" w:type="dxa"/>
              <w:left w:w="10" w:type="dxa"/>
              <w:bottom w:w="0" w:type="dxa"/>
              <w:right w:w="10" w:type="dxa"/>
            </w:tcMar>
            <w:vAlign w:val="center"/>
          </w:tcPr>
          <w:p>
            <w:pPr>
              <w:rPr>
                <w:rFonts w:hint="eastAsia" w:ascii="宋体"/>
                <w:sz w:val="24"/>
                <w:szCs w:val="24"/>
              </w:rPr>
            </w:pPr>
          </w:p>
        </w:tc>
        <w:tc>
          <w:tcPr>
            <w:tcW w:w="585" w:type="dxa"/>
            <w:vMerge w:val="continue"/>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rPr>
                <w:rFonts w:hint="eastAsia" w:ascii="宋体"/>
                <w:sz w:val="24"/>
                <w:szCs w:val="24"/>
              </w:rPr>
            </w:pP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社会公众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或服务对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象满意度（5分）</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pPr>
            <w:r>
              <w:rPr>
                <w:rFonts w:hint="eastAsia" w:ascii="宋体" w:hAnsi="宋体" w:eastAsia="宋体" w:cs="宋体"/>
                <w:kern w:val="0"/>
                <w:sz w:val="21"/>
                <w:szCs w:val="21"/>
                <w:lang w:val="en-US" w:eastAsia="zh-CN" w:bidi="ar"/>
              </w:rPr>
              <w:t>5</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社会公众或部门的服务对象对部门履职效果的满意程度。</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社会公众或服务对象是指部门履行职责而影响到的部门、群体或个人。一般采取社会调查的方式。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92" w:hRule="atLeast"/>
          <w:jc w:val="center"/>
        </w:trPr>
        <w:tc>
          <w:tcPr>
            <w:tcW w:w="569" w:type="dxa"/>
            <w:tcBorders>
              <w:top w:val="nil"/>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1"/>
                <w:szCs w:val="21"/>
                <w:lang w:val="en-US" w:eastAsia="zh-CN" w:bidi="ar"/>
              </w:rPr>
              <w:t>总分</w:t>
            </w:r>
          </w:p>
        </w:tc>
        <w:tc>
          <w:tcPr>
            <w:tcW w:w="58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pPr>
            <w:r>
              <w:rPr>
                <w:rFonts w:hint="eastAsia" w:ascii="宋体" w:hAnsi="宋体" w:eastAsia="宋体" w:cs="宋体"/>
                <w:kern w:val="0"/>
                <w:sz w:val="21"/>
                <w:szCs w:val="21"/>
                <w:lang w:val="en-US" w:eastAsia="zh-CN" w:bidi="ar"/>
              </w:rPr>
              <w:t> </w:t>
            </w:r>
          </w:p>
        </w:tc>
        <w:tc>
          <w:tcPr>
            <w:tcW w:w="5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kern w:val="0"/>
                <w:sz w:val="21"/>
                <w:szCs w:val="21"/>
                <w:lang w:val="en-US" w:eastAsia="zh-CN" w:bidi="ar"/>
              </w:rPr>
              <w:t> </w:t>
            </w:r>
          </w:p>
        </w:tc>
        <w:tc>
          <w:tcPr>
            <w:tcW w:w="705"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center"/>
              <w:rPr>
                <w:rFonts w:hint="default"/>
                <w:lang w:val="en-US"/>
              </w:rPr>
            </w:pPr>
            <w:r>
              <w:rPr>
                <w:rFonts w:hint="eastAsia" w:ascii="宋体" w:hAnsi="宋体" w:eastAsia="宋体" w:cs="宋体"/>
                <w:kern w:val="0"/>
                <w:sz w:val="21"/>
                <w:szCs w:val="21"/>
                <w:lang w:val="en-US" w:eastAsia="zh-CN" w:bidi="ar"/>
              </w:rPr>
              <w:t>94</w:t>
            </w:r>
          </w:p>
        </w:tc>
        <w:tc>
          <w:tcPr>
            <w:tcW w:w="2625"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firstLine="96"/>
              <w:jc w:val="left"/>
            </w:pPr>
            <w:r>
              <w:rPr>
                <w:rFonts w:hint="eastAsia" w:ascii="宋体" w:hAnsi="宋体" w:eastAsia="宋体" w:cs="宋体"/>
                <w:kern w:val="0"/>
                <w:sz w:val="21"/>
                <w:szCs w:val="21"/>
                <w:lang w:val="en-US" w:eastAsia="zh-CN" w:bidi="ar"/>
              </w:rPr>
              <w:t> </w:t>
            </w:r>
          </w:p>
        </w:tc>
        <w:tc>
          <w:tcPr>
            <w:tcW w:w="4258" w:type="dxa"/>
            <w:tcBorders>
              <w:top w:val="nil"/>
              <w:left w:val="nil"/>
              <w:bottom w:val="single" w:color="auto" w:sz="8" w:space="0"/>
              <w:right w:val="single" w:color="auto" w:sz="8" w:space="0"/>
            </w:tcBorders>
            <w:shd w:val="clear" w:color="auto" w:fill="auto"/>
            <w:tcMar>
              <w:top w:w="10" w:type="dxa"/>
              <w:left w:w="10" w:type="dxa"/>
              <w:bottom w:w="0" w:type="dxa"/>
              <w:right w:w="1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105" w:right="105"/>
              <w:jc w:val="left"/>
            </w:pPr>
            <w:r>
              <w:rPr>
                <w:rFonts w:hint="eastAsia" w:ascii="宋体" w:hAnsi="宋体" w:eastAsia="宋体" w:cs="宋体"/>
                <w:kern w:val="0"/>
                <w:sz w:val="21"/>
                <w:szCs w:val="21"/>
                <w:lang w:val="en-US" w:eastAsia="zh-CN" w:bidi="ar"/>
              </w:rPr>
              <w:t> </w:t>
            </w:r>
          </w:p>
        </w:tc>
      </w:tr>
    </w:tbl>
    <w:p/>
    <w:sectPr>
      <w:pgSz w:w="11906" w:h="16838"/>
      <w:pgMar w:top="1157" w:right="1179" w:bottom="930" w:left="140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Njc0NTMxYmRkMGIzMWYwYWU1MmVjZDIzZjVlMGEifQ=="/>
  </w:docVars>
  <w:rsids>
    <w:rsidRoot w:val="389F3338"/>
    <w:rsid w:val="307679D4"/>
    <w:rsid w:val="389F3338"/>
    <w:rsid w:val="3D655C06"/>
    <w:rsid w:val="6958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3654</Words>
  <Characters>3719</Characters>
  <Lines>0</Lines>
  <Paragraphs>0</Paragraphs>
  <TotalTime>26</TotalTime>
  <ScaleCrop>false</ScaleCrop>
  <LinksUpToDate>false</LinksUpToDate>
  <CharactersWithSpaces>3751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2022-05-24T03:50:00Z</dcterms:created>
  <dc:creator>叫你开心</dc:creator>
  <cp:lastModifiedBy>叫你开心</cp:lastModifiedBy>
  <dcterms:modified xsi:type="dcterms:W3CDTF">2022-05-24T04:35:19Z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5FEE25D9ED57417684D61B870F70DA80</vt:lpwstr>
  </property>
</Properties>
</file>