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益阳市衡龙桥镇人民政府</w:t>
      </w:r>
      <w:r>
        <w:rPr>
          <w:rFonts w:hint="eastAsia" w:ascii="黑体" w:hAnsi="黑体" w:eastAsia="黑体"/>
          <w:sz w:val="36"/>
          <w:szCs w:val="36"/>
          <w:lang w:eastAsia="zh-CN"/>
        </w:rPr>
        <w:t>2023</w:t>
      </w:r>
      <w:r>
        <w:rPr>
          <w:rFonts w:hint="eastAsia" w:ascii="黑体" w:hAnsi="黑体" w:eastAsia="黑体"/>
          <w:sz w:val="36"/>
          <w:szCs w:val="36"/>
        </w:rPr>
        <w:t>年部门预算公开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宋体" w:eastAsia="方正小标宋简体" w:cs="宋体"/>
          <w:color w:val="333333"/>
          <w:kern w:val="0"/>
          <w:sz w:val="30"/>
          <w:szCs w:val="30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第一部分益阳市衡龙桥镇人民政府预算公开说明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（一）职能职责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三、部门收支总体情况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（一）收入预算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四、一般公共预算拨款支出预算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（四）国有资产占用使用情况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（五）预算绩效目标情况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（六）重点项目预算等预算绩效情况说明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第二部分：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年益阳市衡龙桥镇人民政府预算公开的表格情况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、部门收支总表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、部门收入总表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、部门支出总表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(按部门经济科目）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部门支出总表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(按政府预算科目）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财政拨款收支总表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、部门一般公共预算支出表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8、部门一般公共预算基本支出表（纵向）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9、部门一般公共预算基本支出表（横向）、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政府性基金预算支出表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(按部门经济科目）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政府性基金预算支出表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(按政府预算科目）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12、部门一般公共预算“三公”经费支出表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13、部门（单位）整体绩效目标申报表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center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政府采购预算计划表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第一部分：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益阳市衡龙桥镇人民政府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年部门预算公开说明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一、部门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职能职责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益阳市衡龙桥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镇人民政府系正科级行政机关。单位办公地址为</w:t>
      </w:r>
      <w:r>
        <w:rPr>
          <w:rFonts w:hint="eastAsia" w:ascii="仿宋" w:hAnsi="仿宋" w:eastAsia="仿宋" w:cs="仿宋"/>
          <w:sz w:val="30"/>
          <w:szCs w:val="30"/>
        </w:rPr>
        <w:t>衡龙桥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</w:rPr>
        <w:t>衡龙桥村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。根据赫山区机构编制委会办公室《关于印发&lt;赫山区乡镇机关职能配置、内设机构和人员编制〉规定的通知》文件精神，其职能职责为：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执行本级人民代表大会决议和上级国家行政机关的决定和命令，发布决定和命令;落实国家政策，严格依法行政；</w:t>
      </w:r>
      <w:r>
        <w:rPr>
          <w:rFonts w:hint="eastAsia" w:ascii="仿宋" w:hAnsi="仿宋" w:eastAsia="仿宋" w:cs="仿宋"/>
          <w:sz w:val="30"/>
          <w:szCs w:val="30"/>
        </w:rPr>
        <w:t>处理乡镇党委、人大、政府日常事务和政协委员联络事务。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（2）负责基层党组织建设和党员队伍建设工作；负责机关纪检监察工作；负责干部人事、宣传、统战、武装、机构编制工作；负责离退休干部管理服务工作；负责工会、共青团、妇联等群团组织的日常工作。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负责编制经济社会发展规划和年度计划，负责协调推进工业经济、乡村振兴、农业产业发展、农村集体经济与农民专业合作社发展、乡村人居环境整治等工作；负责招商引资工作；负责交通公路、农业、水利、移民、扶贫等重点项目建设管理工作；负责经济社会调查统计工作；负责脱贫攻坚、农业农村、农业机械、畜牧兽医水产渔政、水利、移民开发、农民负担监督等方面的综合行政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（4）负责科技、教育、人力资源与社会保障、民政、社会救助、社区建设、医疗保障、卫生健康与计划生育、文化旅游广电体育、民族宗教、侨务、退役军人事务等方面的综合行政管理工作。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（5）负责自然资源（含林政资源）、生态环境保护、村镇规划、村镇建设、城市（村镇）管理等方面的综合行政管理工作，负责生态环境、地质灾害隐患排查，突发环境污染事件的应急管理与处置。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负责社会治安综合治理、维护稳定、信访、防范邪教、平安建设等工作；负责综治中心平台建设管理；协调公安派出所、公安交警中队、司法所、基层法庭工作。负责突发公共事件（含防汛抗旱、地质灾害、森林防火、消防安全、抗震救灾、防灾减灾、社会安全等）应急管理与处置、安全生产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7）负责财政预算编制、居民补贴资金发放、财政性资金监督管理、国有资产管理、债权债务管理；组织协调收入征收；负责机关和直属单位财务管理和政府采购等工作；负责村级财务监督，推行村级账务政府购买服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（8）办理上级人民政府交办的其他事项。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机构设置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本单位内设机构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个，分别为：党政办公室、党建办公室、经济发展办公室、社会事务办公室、自然资源和生态环境办公室、社会治安和应急管理办公室、财政财务管理办公室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社会事务综合服务中心、农业综合服务中心、党群和政务服务中心、退役军人服务站</w:t>
      </w:r>
      <w:r>
        <w:rPr>
          <w:rFonts w:hint="eastAsia" w:ascii="仿宋" w:hAnsi="仿宋" w:eastAsia="仿宋" w:cs="仿宋"/>
          <w:color w:val="333333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综合行政执法大队。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益阳市赫山区衡龙桥镇人民政府只有本级，有其他二级预算单位，因此，纳入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年部门预算编制范围的只有益阳市赫山区衡龙桥镇人民政府本级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和以上所述部门。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0" w:firstLineChars="196"/>
        <w:jc w:val="lef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年部门预算包括收入预算和支出预算。收入包括一般公共预算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拨款</w:t>
      </w:r>
      <w:r>
        <w:rPr>
          <w:rFonts w:hint="eastAsia" w:ascii="仿宋" w:hAnsi="仿宋" w:eastAsia="仿宋" w:cs="仿宋"/>
          <w:sz w:val="30"/>
          <w:szCs w:val="30"/>
        </w:rPr>
        <w:t>和其他收入；支出既包括机关事业单位基本运行的经费，也包括村级运行经费、社区经费、人大代表活动及平台建设经费、人居环境整治及村级组织服务群众经费等专项经费。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（一）收入预算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：2023</w:t>
      </w:r>
      <w:r>
        <w:rPr>
          <w:rFonts w:hint="eastAsia" w:ascii="仿宋" w:hAnsi="仿宋" w:eastAsia="仿宋" w:cs="仿宋"/>
          <w:sz w:val="30"/>
          <w:szCs w:val="30"/>
        </w:rPr>
        <w:t>年年初预算数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1928</w:t>
      </w:r>
      <w:r>
        <w:rPr>
          <w:rFonts w:hint="eastAsia" w:ascii="仿宋" w:hAnsi="仿宋" w:eastAsia="仿宋" w:cs="仿宋"/>
          <w:sz w:val="30"/>
          <w:szCs w:val="30"/>
        </w:rPr>
        <w:t>.3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万元，其中，一般公共预算拨款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1883.7</w:t>
      </w:r>
      <w:r>
        <w:rPr>
          <w:rFonts w:hint="eastAsia" w:ascii="仿宋" w:hAnsi="仿宋" w:eastAsia="仿宋" w:cs="仿宋"/>
          <w:sz w:val="30"/>
          <w:szCs w:val="30"/>
        </w:rPr>
        <w:t>万元，其他收入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44.61</w:t>
      </w:r>
      <w:r>
        <w:rPr>
          <w:rFonts w:hint="eastAsia" w:ascii="仿宋" w:hAnsi="仿宋" w:eastAsia="仿宋" w:cs="仿宋"/>
          <w:sz w:val="30"/>
          <w:szCs w:val="30"/>
        </w:rPr>
        <w:t>万元。收入较去年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193.76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9.13%,</w:t>
      </w:r>
      <w:r>
        <w:rPr>
          <w:rFonts w:hint="eastAsia" w:ascii="仿宋" w:hAnsi="仿宋" w:eastAsia="仿宋" w:cs="仿宋"/>
          <w:sz w:val="30"/>
          <w:szCs w:val="30"/>
        </w:rPr>
        <w:t>主要原因是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其他收入的减少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（二）支出预算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：2023</w:t>
      </w:r>
      <w:r>
        <w:rPr>
          <w:rFonts w:hint="eastAsia" w:ascii="仿宋" w:hAnsi="仿宋" w:eastAsia="仿宋" w:cs="仿宋"/>
          <w:sz w:val="30"/>
          <w:szCs w:val="30"/>
        </w:rPr>
        <w:t>年年初预算数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1928</w:t>
      </w:r>
      <w:r>
        <w:rPr>
          <w:rFonts w:hint="eastAsia" w:ascii="仿宋" w:hAnsi="仿宋" w:eastAsia="仿宋" w:cs="仿宋"/>
          <w:sz w:val="30"/>
          <w:szCs w:val="30"/>
        </w:rPr>
        <w:t>.3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万元，其中，一般公共服务支出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1309.42</w:t>
      </w:r>
      <w:r>
        <w:rPr>
          <w:rFonts w:hint="eastAsia" w:ascii="仿宋" w:hAnsi="仿宋" w:eastAsia="仿宋" w:cs="仿宋"/>
          <w:sz w:val="30"/>
          <w:szCs w:val="30"/>
        </w:rPr>
        <w:t>万元，社会保障和就业支出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133.82</w:t>
      </w:r>
      <w:r>
        <w:rPr>
          <w:rFonts w:hint="eastAsia" w:ascii="仿宋" w:hAnsi="仿宋" w:eastAsia="仿宋" w:cs="仿宋"/>
          <w:sz w:val="30"/>
          <w:szCs w:val="30"/>
        </w:rPr>
        <w:t>万元，卫生健康支出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73.33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节能环保支出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23.88万元，农林水支出322.38万元，</w:t>
      </w:r>
      <w:r>
        <w:rPr>
          <w:rFonts w:hint="eastAsia" w:ascii="仿宋" w:hAnsi="仿宋" w:eastAsia="仿宋" w:cs="仿宋"/>
          <w:sz w:val="30"/>
          <w:szCs w:val="30"/>
        </w:rPr>
        <w:t>住房保障支出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65.47</w:t>
      </w:r>
      <w:r>
        <w:rPr>
          <w:rFonts w:hint="eastAsia" w:ascii="仿宋" w:hAnsi="仿宋" w:eastAsia="仿宋" w:cs="仿宋"/>
          <w:sz w:val="30"/>
          <w:szCs w:val="30"/>
        </w:rPr>
        <w:t>万元。支出较去年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193.76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9.13%,</w:t>
      </w:r>
      <w:r>
        <w:rPr>
          <w:rFonts w:hint="eastAsia" w:ascii="仿宋" w:hAnsi="仿宋" w:eastAsia="仿宋" w:cs="仿宋"/>
          <w:sz w:val="30"/>
          <w:szCs w:val="30"/>
        </w:rPr>
        <w:t>主要是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政府办公经费、维修费、招待费、水电费、印刷费、委托业务费等支出的减少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年一般公共预算支出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1883.7</w:t>
      </w:r>
      <w:r>
        <w:rPr>
          <w:rFonts w:hint="eastAsia" w:ascii="仿宋" w:hAnsi="仿宋" w:eastAsia="仿宋" w:cs="仿宋"/>
          <w:sz w:val="30"/>
          <w:szCs w:val="30"/>
        </w:rPr>
        <w:t>万元，具体安排情况如下：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（一）基本支出：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年年初预算数为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1399.46</w:t>
      </w:r>
      <w:r>
        <w:rPr>
          <w:rFonts w:hint="eastAsia" w:ascii="仿宋" w:hAnsi="仿宋" w:eastAsia="仿宋" w:cs="仿宋"/>
          <w:sz w:val="30"/>
          <w:szCs w:val="30"/>
        </w:rPr>
        <w:t>万元，其中一般公共服务支出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1171.44</w:t>
      </w:r>
      <w:r>
        <w:rPr>
          <w:rFonts w:hint="eastAsia" w:ascii="仿宋" w:hAnsi="仿宋" w:eastAsia="仿宋" w:cs="仿宋"/>
          <w:sz w:val="30"/>
          <w:szCs w:val="30"/>
        </w:rPr>
        <w:t>万元，社会保障和就业支出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89.21</w:t>
      </w:r>
      <w:r>
        <w:rPr>
          <w:rFonts w:hint="eastAsia" w:ascii="仿宋" w:hAnsi="仿宋" w:eastAsia="仿宋" w:cs="仿宋"/>
          <w:sz w:val="30"/>
          <w:szCs w:val="30"/>
        </w:rPr>
        <w:t>万元，卫生健康支出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73.33</w:t>
      </w:r>
      <w:r>
        <w:rPr>
          <w:rFonts w:hint="eastAsia" w:ascii="仿宋" w:hAnsi="仿宋" w:eastAsia="仿宋" w:cs="仿宋"/>
          <w:sz w:val="30"/>
          <w:szCs w:val="30"/>
        </w:rPr>
        <w:t>万元，住房保障支出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65.47</w:t>
      </w:r>
      <w:r>
        <w:rPr>
          <w:rFonts w:hint="eastAsia" w:ascii="仿宋" w:hAnsi="仿宋" w:eastAsia="仿宋" w:cs="仿宋"/>
          <w:sz w:val="30"/>
          <w:szCs w:val="30"/>
        </w:rPr>
        <w:t>万元，主要保障单位机构正常运转、完成日常工作任务而发生的各项支出，包括用于基本工资、津贴补贴等人员经费以及办公费、印刷费、水电费、办公设备购置等日常公用经费。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（二）项目支出：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年年初预算数为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484.24</w:t>
      </w:r>
      <w:r>
        <w:rPr>
          <w:rFonts w:hint="eastAsia" w:ascii="仿宋" w:hAnsi="仿宋" w:eastAsia="仿宋" w:cs="仿宋"/>
          <w:sz w:val="30"/>
          <w:szCs w:val="30"/>
        </w:rPr>
        <w:t>万元，是指单位为完成特定行政工作任务或事业发展目标而发生的支出。其中一般公共服务支出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137.98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，包括社区区经费2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万元，安全生产监管经费支出6万元，共青团经费2万元，村账乡代理经费2万元，人大经费3.9万元，信访维稳经费8万元，妇联工作经费2万元，民兵应急分队经费1万元，党代表工作经费1.5万元，纪检经费0.5万元，党建经费2万元，乡村振兴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20万元，查违控违10万元，镇区环境维护经费57.08万元，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用于保障以上部门开展相关工作；农林水支出322.38万元，主要用于保障下辖12个</w:t>
      </w:r>
      <w:r>
        <w:rPr>
          <w:rFonts w:hint="eastAsia" w:ascii="仿宋" w:hAnsi="仿宋" w:eastAsia="仿宋" w:cs="仿宋"/>
          <w:sz w:val="30"/>
          <w:szCs w:val="30"/>
        </w:rPr>
        <w:t>村的正常运转；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节能环保支出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23.88万元，</w:t>
      </w:r>
      <w:r>
        <w:rPr>
          <w:rFonts w:hint="eastAsia" w:ascii="仿宋" w:hAnsi="仿宋" w:eastAsia="仿宋" w:cs="仿宋"/>
          <w:sz w:val="30"/>
          <w:szCs w:val="30"/>
        </w:rPr>
        <w:t>用于人居环境整治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政府性基金预算支出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2023年本单位无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政府性基金预算支出。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年本单位的机关运行经费当年一般公共预算拨款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90.45</w:t>
      </w:r>
      <w:r>
        <w:rPr>
          <w:rFonts w:hint="eastAsia" w:ascii="仿宋" w:hAnsi="仿宋" w:eastAsia="仿宋" w:cs="仿宋"/>
          <w:sz w:val="30"/>
          <w:szCs w:val="30"/>
        </w:rPr>
        <w:t>万元，比202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29.02</w:t>
      </w:r>
      <w:r>
        <w:rPr>
          <w:rFonts w:hint="eastAsia" w:ascii="仿宋" w:hAnsi="仿宋" w:eastAsia="仿宋" w:cs="仿宋"/>
          <w:sz w:val="30"/>
          <w:szCs w:val="30"/>
        </w:rPr>
        <w:t>万元，较上年增加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32.08</w:t>
      </w:r>
      <w:r>
        <w:rPr>
          <w:rFonts w:hint="eastAsia" w:ascii="仿宋" w:hAnsi="仿宋" w:eastAsia="仿宋" w:cs="仿宋"/>
          <w:sz w:val="30"/>
          <w:szCs w:val="30"/>
        </w:rPr>
        <w:t>%，原因是人员较上年有所增加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，物价上涨较快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“三公”经费预算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根据中央八项规定精神和厉行节约的要求，我单位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年“三公”经费预算数为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万元，其中，公务接待费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万元，公务用车购置及运行费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万元（其中，公务用车购置费0万元，公务用车运行费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万元），因公出国（境）费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年“三公”经费预算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2022年持平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其中，涉及一般公共预算拨款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8万元，包括公务用车运行维护费8万元，与去年持平。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sz w:val="30"/>
          <w:szCs w:val="30"/>
        </w:rPr>
        <w:t>政府采购情况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年本部门政府采购预算总额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sz w:val="30"/>
          <w:szCs w:val="30"/>
        </w:rPr>
        <w:t>国有资产占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</w:t>
      </w:r>
      <w:r>
        <w:rPr>
          <w:rFonts w:hint="eastAsia" w:ascii="仿宋" w:hAnsi="仿宋" w:eastAsia="仿宋" w:cs="仿宋"/>
          <w:sz w:val="30"/>
          <w:szCs w:val="30"/>
        </w:rPr>
        <w:t>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截至202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年12月31日，本单位共有公车2辆，其中一般公务用车2辆，无50万元以上通用设备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100万元以上专用设备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　　（五）</w:t>
      </w:r>
      <w:r>
        <w:rPr>
          <w:rFonts w:hint="eastAsia" w:ascii="仿宋" w:hAnsi="仿宋" w:eastAsia="仿宋" w:cs="仿宋"/>
          <w:sz w:val="30"/>
          <w:szCs w:val="30"/>
        </w:rPr>
        <w:t>预算绩效目标情况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年，本部门按照有关政策文件要求开展预算绩效管理工作，加强绩效目标管理，一是在编制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年部门预算时本单位整体支出绩效目标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1928.3</w:t>
      </w:r>
      <w:r>
        <w:rPr>
          <w:rFonts w:hint="eastAsia" w:ascii="仿宋" w:hAnsi="仿宋" w:eastAsia="仿宋" w:cs="仿宋"/>
          <w:sz w:val="30"/>
          <w:szCs w:val="30"/>
        </w:rPr>
        <w:t>万元，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包括：</w:t>
      </w:r>
      <w:r>
        <w:rPr>
          <w:rFonts w:hint="eastAsia" w:ascii="仿宋" w:hAnsi="仿宋" w:eastAsia="仿宋" w:cs="仿宋"/>
          <w:sz w:val="30"/>
          <w:szCs w:val="30"/>
        </w:rPr>
        <w:t>基本支出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1444.07</w:t>
      </w:r>
      <w:r>
        <w:rPr>
          <w:rFonts w:hint="eastAsia" w:ascii="仿宋" w:hAnsi="仿宋" w:eastAsia="仿宋" w:cs="仿宋"/>
          <w:sz w:val="30"/>
          <w:szCs w:val="30"/>
        </w:rPr>
        <w:t>万元，项目支出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484.24</w:t>
      </w:r>
      <w:r>
        <w:rPr>
          <w:rFonts w:hint="eastAsia" w:ascii="仿宋" w:hAnsi="仿宋" w:eastAsia="仿宋" w:cs="仿宋"/>
          <w:sz w:val="30"/>
          <w:szCs w:val="30"/>
        </w:rPr>
        <w:t>万元。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其中，涉及一般公共预算拨款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1883.7万元。</w:t>
      </w:r>
      <w:r>
        <w:rPr>
          <w:rFonts w:hint="eastAsia" w:ascii="仿宋" w:hAnsi="仿宋" w:eastAsia="仿宋" w:cs="仿宋"/>
          <w:sz w:val="30"/>
          <w:szCs w:val="30"/>
        </w:rPr>
        <w:t>全部实行整体支出绩效目标管理，所有预算资金纳入绩效目标管理，实现了绩效目标与部门预算同步编制、同步申报。经区人大批准后，在规定时间内，区财政局将绩效目标批复给本部门作为预算执行和监督的依据；二是开展绩效运行跟踪监控，按照区财政局要求，我部门对重点项目开展跟踪监控，对存在的问题及时予以纠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）重点项目预算等预算绩效情况说明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2023年本单位无重点项目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第二部分：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2023年益阳市衡龙桥镇人民政府预算公开的表格情况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、部门收支总表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、部门收入总表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、部门支出总表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(按部门经济科目）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部门支出总表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(按政府预算科目）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部门</w:t>
      </w:r>
      <w:r>
        <w:rPr>
          <w:rFonts w:hint="eastAsia" w:ascii="仿宋" w:hAnsi="仿宋" w:eastAsia="仿宋" w:cs="仿宋"/>
          <w:sz w:val="30"/>
          <w:szCs w:val="30"/>
        </w:rPr>
        <w:t>财政拨款收支总表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、部门一般公共预算支出表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8、部门一般公共预算基本支出表（纵向）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9、部门一般公共预算基本支出表（横向）、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政府性基金预算支出表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(按部门经济科目）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政府性基金预算支出表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(按政府预算科目）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12、部门一般公共预算“三公”经费支出表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13、部门（单位）整体绩效目标申报表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14、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政府采购预算计划表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" w:firstLineChars="196"/>
        <w:jc w:val="left"/>
        <w:textAlignment w:val="center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/>
        </w:rPr>
        <w:t>益阳市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衡龙桥镇人民政府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00" w:firstLineChars="1700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年1月1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A80A54"/>
    <w:multiLevelType w:val="singleLevel"/>
    <w:tmpl w:val="E0A80A5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DU4OGJhYjIxMGZlODk5MGJiMTUzYzYwMmUxMzIifQ=="/>
  </w:docVars>
  <w:rsids>
    <w:rsidRoot w:val="00B11EFA"/>
    <w:rsid w:val="0001673A"/>
    <w:rsid w:val="0002790E"/>
    <w:rsid w:val="000831B0"/>
    <w:rsid w:val="000A4CFC"/>
    <w:rsid w:val="000C157C"/>
    <w:rsid w:val="000F1AD6"/>
    <w:rsid w:val="000F2BE6"/>
    <w:rsid w:val="001122D6"/>
    <w:rsid w:val="001169CB"/>
    <w:rsid w:val="00152414"/>
    <w:rsid w:val="0018454C"/>
    <w:rsid w:val="001A3E39"/>
    <w:rsid w:val="001A61AD"/>
    <w:rsid w:val="00220E51"/>
    <w:rsid w:val="00273967"/>
    <w:rsid w:val="002740D0"/>
    <w:rsid w:val="00285684"/>
    <w:rsid w:val="002A7599"/>
    <w:rsid w:val="002B01DA"/>
    <w:rsid w:val="002C631F"/>
    <w:rsid w:val="002E6019"/>
    <w:rsid w:val="002E7EFA"/>
    <w:rsid w:val="003011F9"/>
    <w:rsid w:val="003424B3"/>
    <w:rsid w:val="003926B7"/>
    <w:rsid w:val="003A23F0"/>
    <w:rsid w:val="003A41CC"/>
    <w:rsid w:val="004419F7"/>
    <w:rsid w:val="00472B91"/>
    <w:rsid w:val="00474742"/>
    <w:rsid w:val="004C0C66"/>
    <w:rsid w:val="004C4F16"/>
    <w:rsid w:val="004C5710"/>
    <w:rsid w:val="004D4987"/>
    <w:rsid w:val="004E50EE"/>
    <w:rsid w:val="004F44CB"/>
    <w:rsid w:val="00552560"/>
    <w:rsid w:val="005661E4"/>
    <w:rsid w:val="00580F84"/>
    <w:rsid w:val="005D6428"/>
    <w:rsid w:val="005E29F7"/>
    <w:rsid w:val="00624AD8"/>
    <w:rsid w:val="0063663A"/>
    <w:rsid w:val="00646553"/>
    <w:rsid w:val="00673AD5"/>
    <w:rsid w:val="006B1175"/>
    <w:rsid w:val="00763B4B"/>
    <w:rsid w:val="007831CC"/>
    <w:rsid w:val="00786206"/>
    <w:rsid w:val="007B7569"/>
    <w:rsid w:val="007C71F8"/>
    <w:rsid w:val="007D4026"/>
    <w:rsid w:val="007E7A58"/>
    <w:rsid w:val="007F0876"/>
    <w:rsid w:val="00867AED"/>
    <w:rsid w:val="008D18E9"/>
    <w:rsid w:val="0091038C"/>
    <w:rsid w:val="00916208"/>
    <w:rsid w:val="00996F04"/>
    <w:rsid w:val="009B098E"/>
    <w:rsid w:val="009F397C"/>
    <w:rsid w:val="00A270BC"/>
    <w:rsid w:val="00A42380"/>
    <w:rsid w:val="00A44C14"/>
    <w:rsid w:val="00A65972"/>
    <w:rsid w:val="00A73360"/>
    <w:rsid w:val="00AC6EFC"/>
    <w:rsid w:val="00AE0BFE"/>
    <w:rsid w:val="00B11EFA"/>
    <w:rsid w:val="00B7111B"/>
    <w:rsid w:val="00BC3957"/>
    <w:rsid w:val="00BD3AAC"/>
    <w:rsid w:val="00BD6D14"/>
    <w:rsid w:val="00C53712"/>
    <w:rsid w:val="00C91A5E"/>
    <w:rsid w:val="00CF5DF2"/>
    <w:rsid w:val="00D264D5"/>
    <w:rsid w:val="00D34E56"/>
    <w:rsid w:val="00D53542"/>
    <w:rsid w:val="00D66F45"/>
    <w:rsid w:val="00D92781"/>
    <w:rsid w:val="00E00557"/>
    <w:rsid w:val="00E54E84"/>
    <w:rsid w:val="00E979B6"/>
    <w:rsid w:val="00EA198F"/>
    <w:rsid w:val="00EA77EB"/>
    <w:rsid w:val="00EB63D9"/>
    <w:rsid w:val="00EB7A5B"/>
    <w:rsid w:val="00EC47B4"/>
    <w:rsid w:val="00EF77E9"/>
    <w:rsid w:val="00F05FA0"/>
    <w:rsid w:val="00F21BE8"/>
    <w:rsid w:val="00F273EF"/>
    <w:rsid w:val="00F471BB"/>
    <w:rsid w:val="00F8536D"/>
    <w:rsid w:val="00FB4F47"/>
    <w:rsid w:val="04B8078C"/>
    <w:rsid w:val="054E1BA5"/>
    <w:rsid w:val="06654211"/>
    <w:rsid w:val="087A2507"/>
    <w:rsid w:val="0C7A1F1D"/>
    <w:rsid w:val="0CF67D24"/>
    <w:rsid w:val="0D255AAC"/>
    <w:rsid w:val="101C4A77"/>
    <w:rsid w:val="1C850C27"/>
    <w:rsid w:val="1E6C3F37"/>
    <w:rsid w:val="212D4396"/>
    <w:rsid w:val="24983164"/>
    <w:rsid w:val="2CA52286"/>
    <w:rsid w:val="2D1A4965"/>
    <w:rsid w:val="30554212"/>
    <w:rsid w:val="3CBA270C"/>
    <w:rsid w:val="400A2EFE"/>
    <w:rsid w:val="418D54D1"/>
    <w:rsid w:val="4388494F"/>
    <w:rsid w:val="44E13633"/>
    <w:rsid w:val="455F352B"/>
    <w:rsid w:val="462449AA"/>
    <w:rsid w:val="4AEB3176"/>
    <w:rsid w:val="4DF70559"/>
    <w:rsid w:val="4E666F3D"/>
    <w:rsid w:val="52D62510"/>
    <w:rsid w:val="5635313E"/>
    <w:rsid w:val="5B6F042B"/>
    <w:rsid w:val="5F553668"/>
    <w:rsid w:val="6434003C"/>
    <w:rsid w:val="67177D85"/>
    <w:rsid w:val="6A16004D"/>
    <w:rsid w:val="6A662CF8"/>
    <w:rsid w:val="6ED66B6B"/>
    <w:rsid w:val="70DF54D5"/>
    <w:rsid w:val="71E41A57"/>
    <w:rsid w:val="72EE22E1"/>
    <w:rsid w:val="75E756B8"/>
    <w:rsid w:val="75FB01EE"/>
    <w:rsid w:val="76CF75A4"/>
    <w:rsid w:val="7AFB4988"/>
    <w:rsid w:val="7B7B2FAF"/>
    <w:rsid w:val="7BB34E52"/>
    <w:rsid w:val="7D7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15"/>
    <w:basedOn w:val="6"/>
    <w:qFormat/>
    <w:uiPriority w:val="0"/>
    <w:rPr>
      <w:rFonts w:hint="default" w:ascii="Times New Roman" w:hAnsi="Times New Roman" w:cs="Times New Roman"/>
      <w:color w:val="4C4C4C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A4016-6247-4241-BD49-FBD0D4ADEE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3560</Words>
  <Characters>3811</Characters>
  <Lines>26</Lines>
  <Paragraphs>7</Paragraphs>
  <TotalTime>3</TotalTime>
  <ScaleCrop>false</ScaleCrop>
  <LinksUpToDate>false</LinksUpToDate>
  <CharactersWithSpaces>3813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2021-01-20T07:08:00Z</dcterms:created>
  <dc:creator>微软用户</dc:creator>
  <cp:lastModifiedBy>Administrator</cp:lastModifiedBy>
  <cp:lastPrinted>2020-09-29T08:36:00Z</cp:lastPrinted>
  <dcterms:modified xsi:type="dcterms:W3CDTF">2023-01-13T03:12:08Z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2663F86FBB434870BC808E96C0AA4294</vt:lpwstr>
  </property>
</Properties>
</file>