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F3" w:rsidRDefault="00436A1D">
      <w:pPr>
        <w:widowControl/>
        <w:shd w:val="clear" w:color="auto" w:fill="FFFFFF"/>
        <w:spacing w:line="560" w:lineRule="atLeast"/>
        <w:jc w:val="center"/>
        <w:outlineLvl w:val="0"/>
        <w:rPr>
          <w:rFonts w:ascii="微软雅黑" w:eastAsia="宋体" w:hAnsi="微软雅黑" w:cs="宋体"/>
          <w:color w:val="333333"/>
          <w:kern w:val="36"/>
          <w:sz w:val="24"/>
          <w:szCs w:val="24"/>
        </w:rPr>
      </w:pPr>
      <w:r>
        <w:rPr>
          <w:rFonts w:ascii="宋体" w:eastAsia="宋体" w:hAnsi="宋体" w:cs="宋体" w:hint="eastAsia"/>
          <w:b/>
          <w:bCs/>
          <w:color w:val="333333"/>
          <w:kern w:val="36"/>
          <w:sz w:val="44"/>
          <w:szCs w:val="44"/>
        </w:rPr>
        <w:t>益阳市赫山区</w:t>
      </w:r>
      <w:r>
        <w:rPr>
          <w:rFonts w:ascii="宋体" w:eastAsia="宋体" w:hAnsi="宋体" w:cs="宋体" w:hint="eastAsia"/>
          <w:b/>
          <w:bCs/>
          <w:color w:val="333333"/>
          <w:kern w:val="36"/>
          <w:sz w:val="44"/>
          <w:szCs w:val="44"/>
        </w:rPr>
        <w:t>新河电力排灌站</w:t>
      </w:r>
    </w:p>
    <w:p w:rsidR="001C33F3" w:rsidRDefault="00436A1D">
      <w:pPr>
        <w:widowControl/>
        <w:shd w:val="clear" w:color="auto" w:fill="FFFFFF"/>
        <w:spacing w:line="560" w:lineRule="atLeast"/>
        <w:jc w:val="center"/>
        <w:outlineLvl w:val="0"/>
        <w:rPr>
          <w:rFonts w:ascii="微软雅黑" w:eastAsia="宋体" w:hAnsi="微软雅黑" w:cs="宋体"/>
          <w:b/>
          <w:bCs/>
          <w:color w:val="333333"/>
          <w:kern w:val="36"/>
          <w:sz w:val="24"/>
          <w:szCs w:val="24"/>
        </w:rPr>
      </w:pPr>
      <w:r>
        <w:rPr>
          <w:rFonts w:ascii="宋体" w:eastAsia="宋体" w:hAnsi="宋体" w:cs="宋体"/>
          <w:b/>
          <w:bCs/>
          <w:color w:val="333333"/>
          <w:kern w:val="36"/>
          <w:sz w:val="44"/>
          <w:szCs w:val="44"/>
        </w:rPr>
        <w:t>202</w:t>
      </w:r>
      <w:r w:rsidR="005570C8">
        <w:rPr>
          <w:rFonts w:ascii="宋体" w:eastAsia="宋体" w:hAnsi="宋体" w:cs="宋体" w:hint="eastAsia"/>
          <w:b/>
          <w:bCs/>
          <w:color w:val="333333"/>
          <w:kern w:val="36"/>
          <w:sz w:val="44"/>
          <w:szCs w:val="44"/>
        </w:rPr>
        <w:t>2</w:t>
      </w:r>
      <w:r>
        <w:rPr>
          <w:rFonts w:ascii="宋体" w:eastAsia="宋体" w:hAnsi="宋体" w:cs="宋体"/>
          <w:b/>
          <w:bCs/>
          <w:color w:val="333333"/>
          <w:kern w:val="36"/>
          <w:sz w:val="44"/>
          <w:szCs w:val="44"/>
        </w:rPr>
        <w:t>年部门整体支出绩效评价报告</w:t>
      </w:r>
    </w:p>
    <w:p w:rsidR="001C33F3" w:rsidRDefault="001C33F3">
      <w:pPr>
        <w:widowControl/>
        <w:shd w:val="clear" w:color="auto" w:fill="FFFFFF"/>
        <w:spacing w:line="560" w:lineRule="atLeast"/>
        <w:ind w:firstLine="640"/>
        <w:jc w:val="left"/>
        <w:rPr>
          <w:rFonts w:ascii="仿宋" w:eastAsia="仿宋" w:hAnsi="仿宋" w:cs="宋体"/>
          <w:color w:val="333333"/>
          <w:kern w:val="0"/>
          <w:sz w:val="32"/>
          <w:szCs w:val="32"/>
        </w:rPr>
      </w:pP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为深入贯彻落实《中共中央国务院关于全面实施预算绩效管理的意见》（中发</w:t>
      </w:r>
      <w:r>
        <w:rPr>
          <w:rFonts w:ascii="仿宋" w:eastAsia="仿宋" w:hAnsi="仿宋" w:cs="宋体" w:hint="eastAsia"/>
          <w:color w:val="333333"/>
          <w:kern w:val="0"/>
          <w:sz w:val="32"/>
          <w:szCs w:val="32"/>
        </w:rPr>
        <w:t>[2018]34</w:t>
      </w:r>
      <w:r>
        <w:rPr>
          <w:rFonts w:ascii="仿宋" w:eastAsia="仿宋" w:hAnsi="仿宋" w:cs="宋体" w:hint="eastAsia"/>
          <w:color w:val="333333"/>
          <w:kern w:val="0"/>
          <w:sz w:val="32"/>
          <w:szCs w:val="32"/>
        </w:rPr>
        <w:t>号）精神，进一步规范资金管理，牢固树立预算核算理念，强化部门支出责任，提高财政资金使用效率，根据《益阳市赫山区财政局关于做好</w:t>
      </w:r>
      <w:r w:rsidR="005570C8">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年度预算绩效自评工作的通知》（益赫财绩</w:t>
      </w:r>
      <w:r w:rsidR="005570C8">
        <w:rPr>
          <w:rFonts w:ascii="仿宋" w:eastAsia="仿宋" w:hAnsi="仿宋" w:cs="宋体" w:hint="eastAsia"/>
          <w:color w:val="333333"/>
          <w:kern w:val="0"/>
          <w:sz w:val="32"/>
          <w:szCs w:val="32"/>
        </w:rPr>
        <w:t>[2023]2</w:t>
      </w:r>
      <w:r>
        <w:rPr>
          <w:rFonts w:ascii="仿宋" w:eastAsia="仿宋" w:hAnsi="仿宋" w:cs="宋体" w:hint="eastAsia"/>
          <w:color w:val="333333"/>
          <w:kern w:val="0"/>
          <w:sz w:val="32"/>
          <w:szCs w:val="32"/>
        </w:rPr>
        <w:t>号）文件有关要求，</w:t>
      </w:r>
      <w:r>
        <w:rPr>
          <w:rFonts w:ascii="仿宋" w:eastAsia="仿宋" w:hAnsi="仿宋" w:cs="宋体" w:hint="eastAsia"/>
          <w:color w:val="333333"/>
          <w:kern w:val="0"/>
          <w:sz w:val="32"/>
          <w:szCs w:val="32"/>
        </w:rPr>
        <w:t>我</w:t>
      </w:r>
      <w:r>
        <w:rPr>
          <w:rFonts w:ascii="仿宋" w:eastAsia="仿宋" w:hAnsi="仿宋" w:cs="宋体" w:hint="eastAsia"/>
          <w:color w:val="333333"/>
          <w:kern w:val="0"/>
          <w:sz w:val="32"/>
          <w:szCs w:val="32"/>
        </w:rPr>
        <w:t>单位</w:t>
      </w:r>
      <w:r>
        <w:rPr>
          <w:rFonts w:ascii="仿宋" w:eastAsia="仿宋" w:hAnsi="仿宋" w:cs="宋体" w:hint="eastAsia"/>
          <w:color w:val="333333"/>
          <w:kern w:val="0"/>
          <w:sz w:val="32"/>
          <w:szCs w:val="32"/>
        </w:rPr>
        <w:t>现将</w:t>
      </w:r>
      <w:r>
        <w:rPr>
          <w:rFonts w:ascii="仿宋" w:eastAsia="仿宋" w:hAnsi="仿宋" w:cs="宋体" w:hint="eastAsia"/>
          <w:color w:val="333333"/>
          <w:kern w:val="0"/>
          <w:sz w:val="32"/>
          <w:szCs w:val="32"/>
        </w:rPr>
        <w:t>202</w:t>
      </w:r>
      <w:r w:rsidR="005570C8">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年度部门整体支出绩效评价情况报告如下：</w:t>
      </w:r>
      <w:r>
        <w:rPr>
          <w:rFonts w:ascii="宋体" w:eastAsia="宋体" w:hAnsi="宋体" w:cs="宋体"/>
          <w:color w:val="333333"/>
          <w:kern w:val="0"/>
          <w:sz w:val="32"/>
          <w:szCs w:val="32"/>
        </w:rPr>
        <w:t> </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一、部门基本情况</w:t>
      </w:r>
    </w:p>
    <w:p w:rsidR="001C33F3" w:rsidRDefault="00436A1D">
      <w:pPr>
        <w:widowControl/>
        <w:shd w:val="clear" w:color="auto" w:fill="FFFFFF"/>
        <w:spacing w:line="560" w:lineRule="atLeast"/>
        <w:ind w:firstLine="640"/>
        <w:jc w:val="left"/>
        <w:rPr>
          <w:rFonts w:ascii="宋体" w:eastAsia="宋体" w:hAnsi="宋体" w:cs="宋体"/>
          <w:color w:val="333333"/>
          <w:kern w:val="0"/>
          <w:sz w:val="32"/>
          <w:szCs w:val="32"/>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、主要职能</w:t>
      </w:r>
      <w:r>
        <w:rPr>
          <w:rFonts w:ascii="宋体" w:eastAsia="宋体" w:hAnsi="宋体" w:cs="宋体" w:hint="eastAsia"/>
          <w:color w:val="333333"/>
          <w:kern w:val="0"/>
          <w:sz w:val="32"/>
          <w:szCs w:val="32"/>
        </w:rPr>
        <w:t> </w:t>
      </w:r>
    </w:p>
    <w:p w:rsidR="001C33F3" w:rsidRDefault="00436A1D">
      <w:pPr>
        <w:widowControl/>
        <w:shd w:val="clear" w:color="auto" w:fill="FFFFFF"/>
        <w:spacing w:line="560" w:lineRule="atLeas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主要担负着烂泥湖大圈三乡两镇、一国营渔场的排提灌以及东烂泥湖的排涝削峰任务。</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、机构设置、人员情况</w:t>
      </w:r>
      <w:r>
        <w:rPr>
          <w:rFonts w:ascii="宋体" w:eastAsia="宋体" w:hAnsi="宋体" w:cs="宋体" w:hint="eastAsia"/>
          <w:color w:val="333333"/>
          <w:kern w:val="0"/>
          <w:sz w:val="32"/>
          <w:szCs w:val="32"/>
        </w:rPr>
        <w:t> </w:t>
      </w:r>
    </w:p>
    <w:p w:rsidR="001C33F3" w:rsidRDefault="00436A1D">
      <w:pPr>
        <w:widowControl/>
        <w:shd w:val="clear" w:color="auto" w:fill="FFFFFF"/>
        <w:spacing w:line="600" w:lineRule="atLeast"/>
        <w:ind w:firstLine="566"/>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根据赫山区编制委员会核定，益阳市赫山区新河</w:t>
      </w:r>
      <w:r>
        <w:rPr>
          <w:rFonts w:ascii="仿宋" w:eastAsia="仿宋" w:hAnsi="仿宋" w:cs="仿宋" w:hint="eastAsia"/>
          <w:color w:val="333333"/>
          <w:kern w:val="0"/>
          <w:sz w:val="32"/>
          <w:szCs w:val="32"/>
        </w:rPr>
        <w:t>电力排灌站</w:t>
      </w:r>
      <w:r>
        <w:rPr>
          <w:rFonts w:ascii="仿宋" w:eastAsia="仿宋" w:hAnsi="仿宋" w:cs="仿宋" w:hint="eastAsia"/>
          <w:color w:val="333333"/>
          <w:kern w:val="0"/>
          <w:sz w:val="32"/>
          <w:szCs w:val="32"/>
        </w:rPr>
        <w:t>全额拨款</w:t>
      </w:r>
      <w:r>
        <w:rPr>
          <w:rFonts w:ascii="仿宋" w:eastAsia="仿宋" w:hAnsi="仿宋" w:cs="仿宋" w:hint="eastAsia"/>
          <w:color w:val="333333"/>
          <w:kern w:val="0"/>
          <w:sz w:val="32"/>
          <w:szCs w:val="32"/>
        </w:rPr>
        <w:t>事业编制</w:t>
      </w:r>
      <w:r w:rsidR="005570C8">
        <w:rPr>
          <w:rFonts w:ascii="仿宋" w:eastAsia="仿宋" w:hAnsi="仿宋" w:cs="仿宋" w:hint="eastAsia"/>
          <w:color w:val="333333"/>
          <w:kern w:val="0"/>
          <w:sz w:val="32"/>
          <w:szCs w:val="32"/>
        </w:rPr>
        <w:t>28</w:t>
      </w:r>
      <w:r>
        <w:rPr>
          <w:rFonts w:ascii="仿宋" w:eastAsia="仿宋" w:hAnsi="仿宋" w:cs="仿宋" w:hint="eastAsia"/>
          <w:color w:val="333333"/>
          <w:kern w:val="0"/>
          <w:sz w:val="32"/>
          <w:szCs w:val="32"/>
        </w:rPr>
        <w:t>人，设</w:t>
      </w:r>
      <w:r>
        <w:rPr>
          <w:rFonts w:ascii="仿宋" w:eastAsia="仿宋" w:hAnsi="仿宋" w:cs="仿宋" w:hint="eastAsia"/>
          <w:color w:val="333333"/>
          <w:kern w:val="0"/>
          <w:sz w:val="32"/>
          <w:szCs w:val="32"/>
        </w:rPr>
        <w:t>站长</w:t>
      </w:r>
      <w:r>
        <w:rPr>
          <w:rFonts w:ascii="仿宋" w:eastAsia="仿宋" w:hAnsi="仿宋" w:cs="仿宋" w:hint="eastAsia"/>
          <w:color w:val="333333"/>
          <w:kern w:val="0"/>
          <w:sz w:val="32"/>
          <w:szCs w:val="32"/>
        </w:rPr>
        <w:t>1</w:t>
      </w:r>
      <w:r>
        <w:rPr>
          <w:rFonts w:ascii="仿宋" w:eastAsia="仿宋" w:hAnsi="仿宋" w:cs="仿宋" w:hint="eastAsia"/>
          <w:color w:val="333333"/>
          <w:kern w:val="0"/>
          <w:sz w:val="32"/>
          <w:szCs w:val="32"/>
        </w:rPr>
        <w:t>名，副</w:t>
      </w:r>
      <w:r>
        <w:rPr>
          <w:rFonts w:ascii="仿宋" w:eastAsia="仿宋" w:hAnsi="仿宋" w:cs="仿宋" w:hint="eastAsia"/>
          <w:color w:val="333333"/>
          <w:kern w:val="0"/>
          <w:sz w:val="32"/>
          <w:szCs w:val="32"/>
        </w:rPr>
        <w:t>站长</w:t>
      </w:r>
      <w:r>
        <w:rPr>
          <w:rFonts w:ascii="仿宋" w:eastAsia="仿宋" w:hAnsi="仿宋" w:cs="仿宋" w:hint="eastAsia"/>
          <w:color w:val="333333"/>
          <w:kern w:val="0"/>
          <w:sz w:val="32"/>
          <w:szCs w:val="32"/>
        </w:rPr>
        <w:t>3</w:t>
      </w:r>
      <w:r>
        <w:rPr>
          <w:rFonts w:ascii="仿宋" w:eastAsia="仿宋" w:hAnsi="仿宋" w:cs="仿宋" w:hint="eastAsia"/>
          <w:color w:val="333333"/>
          <w:kern w:val="0"/>
          <w:sz w:val="32"/>
          <w:szCs w:val="32"/>
        </w:rPr>
        <w:t>名全部纳入股级公益一类事业单位。</w:t>
      </w:r>
      <w:bookmarkStart w:id="0" w:name="_GoBack"/>
      <w:bookmarkEnd w:id="0"/>
    </w:p>
    <w:p w:rsidR="001C33F3" w:rsidRDefault="00436A1D">
      <w:pPr>
        <w:widowControl/>
        <w:shd w:val="clear" w:color="auto" w:fill="FFFFFF"/>
        <w:spacing w:line="560" w:lineRule="atLeast"/>
        <w:ind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二</w:t>
      </w:r>
      <w:r>
        <w:rPr>
          <w:rFonts w:ascii="黑体" w:eastAsia="黑体" w:hAnsi="黑体" w:cs="宋体" w:hint="eastAsia"/>
          <w:color w:val="333333"/>
          <w:kern w:val="0"/>
          <w:sz w:val="32"/>
          <w:szCs w:val="32"/>
        </w:rPr>
        <w:t>、</w:t>
      </w:r>
      <w:r>
        <w:rPr>
          <w:rFonts w:ascii="黑体" w:eastAsia="黑体" w:hAnsi="黑体" w:cs="宋体" w:hint="eastAsia"/>
          <w:color w:val="333333"/>
          <w:kern w:val="0"/>
          <w:sz w:val="32"/>
          <w:szCs w:val="32"/>
        </w:rPr>
        <w:t>一般公共预算支出情况</w:t>
      </w:r>
    </w:p>
    <w:p w:rsidR="001C33F3" w:rsidRDefault="00436A1D">
      <w:pPr>
        <w:widowControl/>
        <w:shd w:val="clear" w:color="auto" w:fill="FFFFFF"/>
        <w:spacing w:line="560" w:lineRule="atLeast"/>
        <w:ind w:firstLine="480"/>
        <w:jc w:val="left"/>
        <w:rPr>
          <w:rFonts w:ascii="宋体" w:eastAsia="宋体" w:hAnsi="宋体" w:cs="宋体"/>
          <w:color w:val="333333"/>
          <w:kern w:val="0"/>
          <w:sz w:val="24"/>
          <w:szCs w:val="24"/>
        </w:rPr>
      </w:pPr>
      <w:r>
        <w:rPr>
          <w:rFonts w:ascii="楷体" w:eastAsia="楷体" w:hAnsi="楷体" w:cs="宋体" w:hint="eastAsia"/>
          <w:color w:val="333333"/>
          <w:kern w:val="0"/>
          <w:sz w:val="32"/>
          <w:szCs w:val="32"/>
        </w:rPr>
        <w:t>1.</w:t>
      </w:r>
      <w:r>
        <w:rPr>
          <w:rFonts w:ascii="楷体" w:eastAsia="楷体" w:hAnsi="楷体" w:cs="宋体" w:hint="eastAsia"/>
          <w:color w:val="333333"/>
          <w:kern w:val="0"/>
          <w:sz w:val="32"/>
          <w:szCs w:val="32"/>
        </w:rPr>
        <w:t>基本支出情况</w:t>
      </w:r>
    </w:p>
    <w:p w:rsidR="001C33F3" w:rsidRDefault="00436A1D">
      <w:pPr>
        <w:widowControl/>
        <w:shd w:val="clear" w:color="auto" w:fill="FFFFFF"/>
        <w:spacing w:line="560" w:lineRule="atLeast"/>
        <w:ind w:firstLine="48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202</w:t>
      </w:r>
      <w:r w:rsidR="005570C8">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年我</w:t>
      </w:r>
      <w:r>
        <w:rPr>
          <w:rFonts w:ascii="仿宋" w:eastAsia="仿宋" w:hAnsi="仿宋" w:cs="宋体" w:hint="eastAsia"/>
          <w:color w:val="333333"/>
          <w:kern w:val="0"/>
          <w:sz w:val="32"/>
          <w:szCs w:val="32"/>
        </w:rPr>
        <w:t>单位</w:t>
      </w:r>
      <w:r>
        <w:rPr>
          <w:rFonts w:ascii="仿宋" w:eastAsia="仿宋" w:hAnsi="仿宋" w:cs="宋体" w:hint="eastAsia"/>
          <w:color w:val="333333"/>
          <w:kern w:val="0"/>
          <w:sz w:val="32"/>
          <w:szCs w:val="32"/>
        </w:rPr>
        <w:t>基本支出金额为</w:t>
      </w:r>
      <w:r w:rsidR="00B6729B">
        <w:rPr>
          <w:rFonts w:ascii="仿宋" w:eastAsia="仿宋" w:hAnsi="仿宋" w:cs="宋体" w:hint="eastAsia"/>
          <w:color w:val="333333"/>
          <w:kern w:val="0"/>
          <w:sz w:val="32"/>
          <w:szCs w:val="32"/>
        </w:rPr>
        <w:t>2</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068</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181.83</w:t>
      </w:r>
      <w:r>
        <w:rPr>
          <w:rFonts w:ascii="仿宋" w:eastAsia="仿宋" w:hAnsi="仿宋" w:cs="宋体" w:hint="eastAsia"/>
          <w:color w:val="333333"/>
          <w:kern w:val="0"/>
          <w:sz w:val="32"/>
          <w:szCs w:val="32"/>
        </w:rPr>
        <w:t>元，</w:t>
      </w:r>
      <w:r>
        <w:rPr>
          <w:rFonts w:ascii="仿宋" w:eastAsia="仿宋" w:hAnsi="仿宋" w:cs="宋体" w:hint="eastAsia"/>
          <w:color w:val="333333"/>
          <w:kern w:val="0"/>
          <w:sz w:val="32"/>
          <w:szCs w:val="32"/>
        </w:rPr>
        <w:t>包括社会保障和就业</w:t>
      </w:r>
      <w:r w:rsidR="00B6729B">
        <w:rPr>
          <w:rFonts w:ascii="仿宋" w:eastAsia="仿宋" w:hAnsi="仿宋" w:cs="宋体" w:hint="eastAsia"/>
          <w:color w:val="333333"/>
          <w:kern w:val="0"/>
          <w:sz w:val="32"/>
          <w:szCs w:val="32"/>
        </w:rPr>
        <w:t>108</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554.68</w:t>
      </w:r>
      <w:r>
        <w:rPr>
          <w:rFonts w:ascii="仿宋" w:eastAsia="仿宋" w:hAnsi="仿宋" w:cs="宋体" w:hint="eastAsia"/>
          <w:color w:val="333333"/>
          <w:kern w:val="0"/>
          <w:sz w:val="32"/>
          <w:szCs w:val="32"/>
        </w:rPr>
        <w:t>元、卫生健康支出</w:t>
      </w:r>
      <w:r w:rsidR="00B6729B">
        <w:rPr>
          <w:rFonts w:ascii="仿宋" w:eastAsia="仿宋" w:hAnsi="仿宋" w:cs="宋体" w:hint="eastAsia"/>
          <w:color w:val="333333"/>
          <w:kern w:val="0"/>
          <w:sz w:val="32"/>
          <w:szCs w:val="32"/>
        </w:rPr>
        <w:t>42</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823.56</w:t>
      </w:r>
      <w:r>
        <w:rPr>
          <w:rFonts w:ascii="仿宋" w:eastAsia="仿宋" w:hAnsi="仿宋" w:cs="宋体" w:hint="eastAsia"/>
          <w:color w:val="333333"/>
          <w:kern w:val="0"/>
          <w:sz w:val="32"/>
          <w:szCs w:val="32"/>
        </w:rPr>
        <w:t>元、</w:t>
      </w:r>
      <w:r>
        <w:rPr>
          <w:rFonts w:ascii="仿宋" w:eastAsia="仿宋" w:hAnsi="仿宋" w:cs="宋体" w:hint="eastAsia"/>
          <w:color w:val="333333"/>
          <w:kern w:val="0"/>
          <w:sz w:val="32"/>
          <w:szCs w:val="32"/>
        </w:rPr>
        <w:lastRenderedPageBreak/>
        <w:t>农林水支出</w:t>
      </w:r>
      <w:r w:rsidR="00B6729B">
        <w:rPr>
          <w:rFonts w:ascii="仿宋" w:eastAsia="仿宋" w:hAnsi="仿宋" w:cs="宋体" w:hint="eastAsia"/>
          <w:color w:val="333333"/>
          <w:kern w:val="0"/>
          <w:sz w:val="32"/>
          <w:szCs w:val="32"/>
        </w:rPr>
        <w:t>1</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897</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639.35</w:t>
      </w:r>
      <w:r>
        <w:rPr>
          <w:rFonts w:ascii="仿宋" w:eastAsia="仿宋" w:hAnsi="仿宋" w:cs="宋体" w:hint="eastAsia"/>
          <w:color w:val="333333"/>
          <w:kern w:val="0"/>
          <w:sz w:val="32"/>
          <w:szCs w:val="32"/>
        </w:rPr>
        <w:t>元、住房保障支出</w:t>
      </w:r>
      <w:r w:rsidR="00B6729B">
        <w:rPr>
          <w:rFonts w:ascii="仿宋" w:eastAsia="仿宋" w:hAnsi="仿宋" w:cs="宋体" w:hint="eastAsia"/>
          <w:color w:val="333333"/>
          <w:kern w:val="0"/>
          <w:sz w:val="32"/>
          <w:szCs w:val="32"/>
        </w:rPr>
        <w:t>19</w:t>
      </w:r>
      <w:r w:rsidR="00C344C9">
        <w:rPr>
          <w:rFonts w:ascii="仿宋" w:eastAsia="仿宋" w:hAnsi="仿宋" w:cs="宋体" w:hint="eastAsia"/>
          <w:color w:val="333333"/>
          <w:kern w:val="0"/>
          <w:sz w:val="32"/>
          <w:szCs w:val="32"/>
        </w:rPr>
        <w:t>,</w:t>
      </w:r>
      <w:r w:rsidR="00B6729B">
        <w:rPr>
          <w:rFonts w:ascii="仿宋" w:eastAsia="仿宋" w:hAnsi="仿宋" w:cs="宋体" w:hint="eastAsia"/>
          <w:color w:val="333333"/>
          <w:kern w:val="0"/>
          <w:sz w:val="32"/>
          <w:szCs w:val="32"/>
        </w:rPr>
        <w:t>164.24</w:t>
      </w:r>
      <w:r>
        <w:rPr>
          <w:rFonts w:ascii="仿宋" w:eastAsia="仿宋" w:hAnsi="仿宋" w:cs="宋体" w:hint="eastAsia"/>
          <w:color w:val="333333"/>
          <w:kern w:val="0"/>
          <w:sz w:val="32"/>
          <w:szCs w:val="32"/>
        </w:rPr>
        <w:t>元；</w:t>
      </w:r>
      <w:r>
        <w:rPr>
          <w:rFonts w:ascii="仿宋" w:eastAsia="仿宋" w:hAnsi="仿宋" w:cs="宋体" w:hint="eastAsia"/>
          <w:color w:val="333333"/>
          <w:kern w:val="0"/>
          <w:sz w:val="32"/>
          <w:szCs w:val="32"/>
        </w:rPr>
        <w:t>按支出性质和经济分类，人员经费</w:t>
      </w:r>
      <w:r w:rsidR="00215B1B">
        <w:rPr>
          <w:rFonts w:ascii="仿宋" w:eastAsia="仿宋" w:hAnsi="仿宋" w:cs="宋体" w:hint="eastAsia"/>
          <w:color w:val="333333"/>
          <w:kern w:val="0"/>
          <w:sz w:val="32"/>
          <w:szCs w:val="32"/>
        </w:rPr>
        <w:t>1</w:t>
      </w:r>
      <w:r w:rsidR="00C344C9">
        <w:rPr>
          <w:rFonts w:ascii="仿宋" w:eastAsia="仿宋" w:hAnsi="仿宋" w:cs="宋体" w:hint="eastAsia"/>
          <w:color w:val="333333"/>
          <w:kern w:val="0"/>
          <w:sz w:val="32"/>
          <w:szCs w:val="32"/>
        </w:rPr>
        <w:t>,</w:t>
      </w:r>
      <w:r w:rsidR="00215B1B">
        <w:rPr>
          <w:rFonts w:ascii="仿宋" w:eastAsia="仿宋" w:hAnsi="仿宋" w:cs="宋体" w:hint="eastAsia"/>
          <w:color w:val="333333"/>
          <w:kern w:val="0"/>
          <w:sz w:val="32"/>
          <w:szCs w:val="32"/>
        </w:rPr>
        <w:t>982</w:t>
      </w:r>
      <w:r w:rsidR="00C344C9">
        <w:rPr>
          <w:rFonts w:ascii="仿宋" w:eastAsia="仿宋" w:hAnsi="仿宋" w:cs="宋体" w:hint="eastAsia"/>
          <w:color w:val="333333"/>
          <w:kern w:val="0"/>
          <w:sz w:val="32"/>
          <w:szCs w:val="32"/>
        </w:rPr>
        <w:t>,</w:t>
      </w:r>
      <w:r w:rsidR="00215B1B">
        <w:rPr>
          <w:rFonts w:ascii="仿宋" w:eastAsia="仿宋" w:hAnsi="仿宋" w:cs="宋体" w:hint="eastAsia"/>
          <w:color w:val="333333"/>
          <w:kern w:val="0"/>
          <w:sz w:val="32"/>
          <w:szCs w:val="32"/>
        </w:rPr>
        <w:t>316.83</w:t>
      </w:r>
      <w:r>
        <w:rPr>
          <w:rFonts w:ascii="仿宋" w:eastAsia="仿宋" w:hAnsi="仿宋" w:cs="宋体" w:hint="eastAsia"/>
          <w:color w:val="333333"/>
          <w:kern w:val="0"/>
          <w:sz w:val="32"/>
          <w:szCs w:val="32"/>
        </w:rPr>
        <w:t>元、公用经费</w:t>
      </w:r>
      <w:r w:rsidR="00215B1B">
        <w:rPr>
          <w:rFonts w:ascii="仿宋" w:eastAsia="仿宋" w:hAnsi="仿宋" w:cs="宋体" w:hint="eastAsia"/>
          <w:color w:val="333333"/>
          <w:kern w:val="0"/>
          <w:sz w:val="32"/>
          <w:szCs w:val="32"/>
        </w:rPr>
        <w:t>85</w:t>
      </w:r>
      <w:r w:rsidR="00C344C9">
        <w:rPr>
          <w:rFonts w:ascii="仿宋" w:eastAsia="仿宋" w:hAnsi="仿宋" w:cs="宋体" w:hint="eastAsia"/>
          <w:color w:val="333333"/>
          <w:kern w:val="0"/>
          <w:sz w:val="32"/>
          <w:szCs w:val="32"/>
        </w:rPr>
        <w:t>,</w:t>
      </w:r>
      <w:r w:rsidR="00215B1B">
        <w:rPr>
          <w:rFonts w:ascii="仿宋" w:eastAsia="仿宋" w:hAnsi="仿宋" w:cs="宋体" w:hint="eastAsia"/>
          <w:color w:val="333333"/>
          <w:kern w:val="0"/>
          <w:sz w:val="32"/>
          <w:szCs w:val="32"/>
        </w:rPr>
        <w:t>865</w:t>
      </w:r>
      <w:r>
        <w:rPr>
          <w:rFonts w:ascii="仿宋" w:eastAsia="仿宋" w:hAnsi="仿宋" w:cs="宋体" w:hint="eastAsia"/>
          <w:color w:val="333333"/>
          <w:kern w:val="0"/>
          <w:sz w:val="32"/>
          <w:szCs w:val="32"/>
        </w:rPr>
        <w:t>元，具体为</w:t>
      </w:r>
      <w:r>
        <w:rPr>
          <w:rFonts w:ascii="仿宋" w:eastAsia="仿宋" w:hAnsi="仿宋" w:cs="宋体" w:hint="eastAsia"/>
          <w:color w:val="000000"/>
          <w:kern w:val="0"/>
          <w:sz w:val="32"/>
          <w:szCs w:val="32"/>
        </w:rPr>
        <w:t>工资福利支</w:t>
      </w:r>
      <w:r>
        <w:rPr>
          <w:rFonts w:ascii="仿宋" w:eastAsia="仿宋" w:hAnsi="仿宋" w:cs="宋体" w:hint="eastAsia"/>
          <w:color w:val="000000"/>
          <w:kern w:val="0"/>
          <w:sz w:val="32"/>
          <w:szCs w:val="32"/>
        </w:rPr>
        <w:t>出</w:t>
      </w:r>
      <w:r w:rsidR="00BD6B77">
        <w:rPr>
          <w:rFonts w:ascii="仿宋" w:eastAsia="仿宋" w:hAnsi="仿宋" w:cs="宋体" w:hint="eastAsia"/>
          <w:color w:val="000000"/>
          <w:kern w:val="0"/>
          <w:sz w:val="32"/>
          <w:szCs w:val="32"/>
        </w:rPr>
        <w:t>1</w:t>
      </w:r>
      <w:r w:rsidR="00C344C9">
        <w:rPr>
          <w:rFonts w:ascii="仿宋" w:eastAsia="仿宋" w:hAnsi="仿宋" w:cs="宋体" w:hint="eastAsia"/>
          <w:color w:val="000000"/>
          <w:kern w:val="0"/>
          <w:sz w:val="32"/>
          <w:szCs w:val="32"/>
        </w:rPr>
        <w:t>,</w:t>
      </w:r>
      <w:r w:rsidR="00BD6B77">
        <w:rPr>
          <w:rFonts w:ascii="仿宋" w:eastAsia="仿宋" w:hAnsi="仿宋" w:cs="宋体" w:hint="eastAsia"/>
          <w:color w:val="000000"/>
          <w:kern w:val="0"/>
          <w:sz w:val="32"/>
          <w:szCs w:val="32"/>
        </w:rPr>
        <w:t>866</w:t>
      </w:r>
      <w:r w:rsidR="00C344C9">
        <w:rPr>
          <w:rFonts w:ascii="仿宋" w:eastAsia="仿宋" w:hAnsi="仿宋" w:cs="宋体" w:hint="eastAsia"/>
          <w:color w:val="000000"/>
          <w:kern w:val="0"/>
          <w:sz w:val="32"/>
          <w:szCs w:val="32"/>
        </w:rPr>
        <w:t>,</w:t>
      </w:r>
      <w:r w:rsidR="00BD6B77">
        <w:rPr>
          <w:rFonts w:ascii="仿宋" w:eastAsia="仿宋" w:hAnsi="仿宋" w:cs="宋体" w:hint="eastAsia"/>
          <w:color w:val="000000"/>
          <w:kern w:val="0"/>
          <w:sz w:val="32"/>
          <w:szCs w:val="32"/>
        </w:rPr>
        <w:t>037.9</w:t>
      </w:r>
      <w:r>
        <w:rPr>
          <w:rFonts w:ascii="仿宋" w:eastAsia="仿宋" w:hAnsi="仿宋" w:cs="宋体" w:hint="eastAsia"/>
          <w:color w:val="000000"/>
          <w:kern w:val="0"/>
          <w:sz w:val="32"/>
          <w:szCs w:val="32"/>
        </w:rPr>
        <w:t>元、商品和服务支出</w:t>
      </w:r>
      <w:r w:rsidR="00BD6B77">
        <w:rPr>
          <w:rFonts w:ascii="仿宋" w:eastAsia="仿宋" w:hAnsi="仿宋" w:cs="宋体" w:hint="eastAsia"/>
          <w:color w:val="000000"/>
          <w:kern w:val="0"/>
          <w:sz w:val="32"/>
          <w:szCs w:val="32"/>
        </w:rPr>
        <w:t>85</w:t>
      </w:r>
      <w:r w:rsidR="00C344C9">
        <w:rPr>
          <w:rFonts w:ascii="仿宋" w:eastAsia="仿宋" w:hAnsi="仿宋" w:cs="宋体" w:hint="eastAsia"/>
          <w:color w:val="000000"/>
          <w:kern w:val="0"/>
          <w:sz w:val="32"/>
          <w:szCs w:val="32"/>
        </w:rPr>
        <w:t>,</w:t>
      </w:r>
      <w:r w:rsidR="00BD6B77">
        <w:rPr>
          <w:rFonts w:ascii="仿宋" w:eastAsia="仿宋" w:hAnsi="仿宋" w:cs="宋体" w:hint="eastAsia"/>
          <w:color w:val="000000"/>
          <w:kern w:val="0"/>
          <w:sz w:val="32"/>
          <w:szCs w:val="32"/>
        </w:rPr>
        <w:t>865</w:t>
      </w:r>
      <w:r>
        <w:rPr>
          <w:rFonts w:ascii="仿宋" w:eastAsia="仿宋" w:hAnsi="仿宋" w:cs="宋体" w:hint="eastAsia"/>
          <w:color w:val="000000"/>
          <w:kern w:val="0"/>
          <w:sz w:val="32"/>
          <w:szCs w:val="32"/>
        </w:rPr>
        <w:t>元、对个人及家庭补助支</w:t>
      </w:r>
      <w:r>
        <w:rPr>
          <w:rFonts w:ascii="仿宋" w:eastAsia="仿宋" w:hAnsi="仿宋" w:cs="宋体" w:hint="eastAsia"/>
          <w:color w:val="000000"/>
          <w:kern w:val="0"/>
          <w:sz w:val="32"/>
          <w:szCs w:val="32"/>
        </w:rPr>
        <w:t>出</w:t>
      </w:r>
      <w:r w:rsidR="00BD6B77">
        <w:rPr>
          <w:rFonts w:ascii="仿宋" w:eastAsia="仿宋" w:hAnsi="仿宋" w:cs="宋体" w:hint="eastAsia"/>
          <w:color w:val="000000"/>
          <w:kern w:val="0"/>
          <w:sz w:val="32"/>
          <w:szCs w:val="32"/>
        </w:rPr>
        <w:t>116</w:t>
      </w:r>
      <w:r w:rsidR="00C344C9">
        <w:rPr>
          <w:rFonts w:ascii="仿宋" w:eastAsia="仿宋" w:hAnsi="仿宋" w:cs="宋体" w:hint="eastAsia"/>
          <w:color w:val="000000"/>
          <w:kern w:val="0"/>
          <w:sz w:val="32"/>
          <w:szCs w:val="32"/>
        </w:rPr>
        <w:t>,</w:t>
      </w:r>
      <w:r w:rsidR="00BD6B77">
        <w:rPr>
          <w:rFonts w:ascii="仿宋" w:eastAsia="仿宋" w:hAnsi="仿宋" w:cs="宋体" w:hint="eastAsia"/>
          <w:color w:val="000000"/>
          <w:kern w:val="0"/>
          <w:sz w:val="32"/>
          <w:szCs w:val="32"/>
        </w:rPr>
        <w:t>278.93</w:t>
      </w:r>
      <w:r>
        <w:rPr>
          <w:rFonts w:ascii="仿宋" w:eastAsia="仿宋" w:hAnsi="仿宋" w:cs="宋体" w:hint="eastAsia"/>
          <w:color w:val="000000"/>
          <w:kern w:val="0"/>
          <w:sz w:val="32"/>
          <w:szCs w:val="32"/>
        </w:rPr>
        <w:t>元。</w:t>
      </w:r>
    </w:p>
    <w:p w:rsidR="001C33F3" w:rsidRDefault="00436A1D">
      <w:pPr>
        <w:widowControl/>
        <w:numPr>
          <w:ilvl w:val="0"/>
          <w:numId w:val="1"/>
        </w:numPr>
        <w:shd w:val="clear" w:color="auto" w:fill="FFFFFF"/>
        <w:spacing w:line="560" w:lineRule="atLeast"/>
        <w:ind w:firstLine="480"/>
        <w:jc w:val="left"/>
        <w:rPr>
          <w:rFonts w:ascii="楷体" w:eastAsia="楷体" w:hAnsi="楷体" w:cs="宋体"/>
          <w:color w:val="333333"/>
          <w:kern w:val="0"/>
          <w:sz w:val="32"/>
          <w:szCs w:val="32"/>
        </w:rPr>
      </w:pPr>
      <w:r>
        <w:rPr>
          <w:rFonts w:ascii="楷体" w:eastAsia="楷体" w:hAnsi="楷体" w:cs="宋体" w:hint="eastAsia"/>
          <w:color w:val="333333"/>
          <w:kern w:val="0"/>
          <w:sz w:val="32"/>
          <w:szCs w:val="32"/>
        </w:rPr>
        <w:t>项目支出情况</w:t>
      </w:r>
    </w:p>
    <w:p w:rsidR="001C33F3" w:rsidRDefault="00436A1D">
      <w:pPr>
        <w:widowControl/>
        <w:shd w:val="clear" w:color="auto" w:fill="FFFFFF"/>
        <w:spacing w:line="560" w:lineRule="atLeast"/>
        <w:ind w:firstLineChars="200" w:firstLine="600"/>
        <w:jc w:val="left"/>
        <w:rPr>
          <w:rFonts w:ascii="微软雅黑" w:eastAsia="宋体" w:hAnsi="微软雅黑" w:cs="宋体"/>
          <w:color w:val="333333"/>
          <w:kern w:val="0"/>
          <w:sz w:val="24"/>
          <w:szCs w:val="24"/>
        </w:rPr>
      </w:pPr>
      <w:r>
        <w:rPr>
          <w:rFonts w:ascii="楷体" w:eastAsia="楷体" w:hAnsi="楷体" w:cs="宋体" w:hint="eastAsia"/>
          <w:color w:val="333333"/>
          <w:kern w:val="0"/>
          <w:sz w:val="30"/>
          <w:szCs w:val="30"/>
        </w:rPr>
        <w:t>202</w:t>
      </w:r>
      <w:r w:rsidR="005570C8">
        <w:rPr>
          <w:rFonts w:ascii="楷体" w:eastAsia="楷体" w:hAnsi="楷体" w:cs="宋体" w:hint="eastAsia"/>
          <w:color w:val="333333"/>
          <w:kern w:val="0"/>
          <w:sz w:val="30"/>
          <w:szCs w:val="30"/>
        </w:rPr>
        <w:t>2</w:t>
      </w:r>
      <w:r>
        <w:rPr>
          <w:rFonts w:ascii="楷体" w:eastAsia="楷体" w:hAnsi="楷体" w:cs="宋体" w:hint="eastAsia"/>
          <w:color w:val="333333"/>
          <w:kern w:val="0"/>
          <w:sz w:val="32"/>
          <w:szCs w:val="32"/>
        </w:rPr>
        <w:t>年本单位无项目支出</w:t>
      </w:r>
    </w:p>
    <w:p w:rsidR="001C33F3" w:rsidRDefault="00436A1D">
      <w:pPr>
        <w:widowControl/>
        <w:shd w:val="clear" w:color="auto" w:fill="FFFFFF"/>
        <w:spacing w:line="560" w:lineRule="atLeast"/>
        <w:ind w:firstLineChars="200"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三、政府性基金预算支出情况</w:t>
      </w:r>
    </w:p>
    <w:p w:rsidR="001C33F3" w:rsidRDefault="00436A1D">
      <w:pPr>
        <w:widowControl/>
        <w:shd w:val="clear" w:color="auto" w:fill="FFFFFF"/>
        <w:spacing w:line="560" w:lineRule="atLeast"/>
        <w:ind w:firstLineChars="300" w:firstLine="960"/>
        <w:jc w:val="left"/>
        <w:rPr>
          <w:rFonts w:ascii="宋体" w:eastAsia="仿宋" w:hAnsi="宋体" w:cs="宋体"/>
          <w:color w:val="333333"/>
          <w:kern w:val="0"/>
          <w:sz w:val="24"/>
          <w:szCs w:val="24"/>
        </w:rPr>
      </w:pPr>
      <w:r>
        <w:rPr>
          <w:rFonts w:ascii="仿宋" w:eastAsia="仿宋" w:hAnsi="仿宋" w:cs="宋体" w:hint="eastAsia"/>
          <w:color w:val="333333"/>
          <w:kern w:val="0"/>
          <w:sz w:val="32"/>
          <w:szCs w:val="32"/>
        </w:rPr>
        <w:t>本单位</w:t>
      </w:r>
      <w:r w:rsidR="005570C8">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无政府性基金预算支出</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四、国有资本经营预算支出情况</w:t>
      </w:r>
    </w:p>
    <w:p w:rsidR="001C33F3" w:rsidRDefault="00436A1D">
      <w:pPr>
        <w:widowControl/>
        <w:shd w:val="clear" w:color="auto" w:fill="FFFFFF"/>
        <w:spacing w:line="560" w:lineRule="atLeast"/>
        <w:ind w:firstLineChars="300" w:firstLine="96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本单位</w:t>
      </w:r>
      <w:r w:rsidR="00C308AA">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无国有资本经营预算支出</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五、社会保险基金预算支出情况</w:t>
      </w:r>
    </w:p>
    <w:p w:rsidR="001C33F3" w:rsidRDefault="00436A1D">
      <w:pPr>
        <w:widowControl/>
        <w:shd w:val="clear" w:color="auto" w:fill="FFFFFF"/>
        <w:spacing w:line="560" w:lineRule="atLeast"/>
        <w:ind w:firstLineChars="200"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本单位的社会保险基金预算支出纳入了工资福利支出，无其他相关支出。</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六、部门整体支出绩效情况</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在区委、区政府</w:t>
      </w:r>
      <w:r>
        <w:rPr>
          <w:rFonts w:ascii="仿宋" w:eastAsia="仿宋" w:hAnsi="仿宋" w:cs="宋体" w:hint="eastAsia"/>
          <w:color w:val="333333"/>
          <w:kern w:val="0"/>
          <w:sz w:val="32"/>
          <w:szCs w:val="32"/>
        </w:rPr>
        <w:t>及</w:t>
      </w:r>
      <w:r>
        <w:rPr>
          <w:rFonts w:ascii="仿宋_GB2312" w:eastAsia="仿宋_GB2312" w:hAnsi="宋体" w:cs="仿宋_GB2312" w:hint="eastAsia"/>
          <w:sz w:val="32"/>
          <w:szCs w:val="32"/>
        </w:rPr>
        <w:t>上级主管部门的坚强领导下，在区直各有关部门的大力支持和配合下，</w:t>
      </w:r>
      <w:r>
        <w:rPr>
          <w:rFonts w:ascii="仿宋" w:eastAsia="仿宋" w:hAnsi="仿宋" w:cs="宋体" w:hint="eastAsia"/>
          <w:color w:val="333333"/>
          <w:kern w:val="0"/>
          <w:sz w:val="32"/>
          <w:szCs w:val="32"/>
        </w:rPr>
        <w:t>本单位</w:t>
      </w:r>
      <w:r>
        <w:rPr>
          <w:rFonts w:ascii="仿宋" w:eastAsia="仿宋" w:hAnsi="仿宋" w:cs="宋体" w:hint="eastAsia"/>
          <w:color w:val="333333"/>
          <w:kern w:val="0"/>
          <w:sz w:val="32"/>
          <w:szCs w:val="32"/>
        </w:rPr>
        <w:t>202</w:t>
      </w:r>
      <w:r w:rsidR="00C308AA">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年</w:t>
      </w:r>
      <w:r>
        <w:rPr>
          <w:rFonts w:ascii="仿宋_GB2312" w:eastAsia="仿宋_GB2312" w:hAnsi="微软雅黑" w:cs="宋体" w:hint="eastAsia"/>
          <w:color w:val="333333"/>
          <w:sz w:val="32"/>
          <w:szCs w:val="32"/>
        </w:rPr>
        <w:t>在资金使用上</w:t>
      </w:r>
      <w:r>
        <w:rPr>
          <w:rFonts w:ascii="仿宋" w:eastAsia="仿宋" w:hAnsi="仿宋" w:cs="宋体" w:hint="eastAsia"/>
          <w:color w:val="333333"/>
          <w:kern w:val="0"/>
          <w:sz w:val="32"/>
          <w:szCs w:val="32"/>
        </w:rPr>
        <w:t>严格按照国家财经法规、预算资金管理办法、财务管理制度</w:t>
      </w:r>
      <w:r>
        <w:rPr>
          <w:rFonts w:ascii="仿宋_GB2312" w:eastAsia="仿宋_GB2312" w:hAnsi="微软雅黑" w:cs="宋体" w:hint="eastAsia"/>
          <w:color w:val="333333"/>
          <w:sz w:val="32"/>
          <w:szCs w:val="32"/>
        </w:rPr>
        <w:t>规定</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遵循先预算、再审批、后支出的原则，保证资金的合理使用</w:t>
      </w:r>
      <w:r>
        <w:rPr>
          <w:rFonts w:ascii="仿宋_GB2312" w:eastAsia="仿宋_GB2312" w:hAnsi="微软雅黑" w:cs="宋体" w:hint="eastAsia"/>
          <w:color w:val="333333"/>
          <w:sz w:val="32"/>
          <w:szCs w:val="32"/>
        </w:rPr>
        <w:t>。</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我单位的整体支出绩效情况如下：</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一是保障了单位有效运转。干部职工待遇严格按政策发放，严格按照厉行节约的要求，量入为出，规范</w:t>
      </w:r>
      <w:r>
        <w:rPr>
          <w:rFonts w:ascii="仿宋" w:eastAsia="仿宋" w:hAnsi="仿宋" w:cs="宋体" w:hint="eastAsia"/>
          <w:color w:val="333333"/>
          <w:kern w:val="0"/>
          <w:sz w:val="32"/>
          <w:szCs w:val="32"/>
        </w:rPr>
        <w:t>单位</w:t>
      </w:r>
      <w:r>
        <w:rPr>
          <w:rFonts w:ascii="仿宋" w:eastAsia="仿宋" w:hAnsi="仿宋" w:cs="宋体" w:hint="eastAsia"/>
          <w:color w:val="333333"/>
          <w:kern w:val="0"/>
          <w:sz w:val="32"/>
          <w:szCs w:val="32"/>
        </w:rPr>
        <w:t>事务管理工作，提高服务质量，降低运行成本，合理配置，提高保障能力。</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二是强化了资产管理。固定资产明确了专门管理部门和人员，建立资产管理系统实行专门审批、登记、核销和管理，做到账账、账证、账实相符，基本无闲置浪费现象。</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三是严格控制了“三公”经费。“三公”经费支出控制在年初预算指标内，</w:t>
      </w:r>
      <w:r>
        <w:rPr>
          <w:rFonts w:ascii="仿宋" w:eastAsia="仿宋" w:hAnsi="仿宋" w:cs="宋体" w:hint="eastAsia"/>
          <w:color w:val="333333"/>
          <w:kern w:val="0"/>
          <w:sz w:val="32"/>
          <w:szCs w:val="32"/>
        </w:rPr>
        <w:t>未</w:t>
      </w:r>
      <w:r>
        <w:rPr>
          <w:rFonts w:ascii="仿宋" w:eastAsia="仿宋" w:hAnsi="仿宋" w:cs="宋体" w:hint="eastAsia"/>
          <w:color w:val="333333"/>
          <w:kern w:val="0"/>
          <w:sz w:val="32"/>
          <w:szCs w:val="32"/>
        </w:rPr>
        <w:t>超过上年预算安排。</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四是加强了预决算管理。建立健全了《财务管理制度》等内部管理制度，按照区财政统一部署公开了部门预决算，建立单位评价监督机制，对预决算管理中发现的问题及时整改。</w:t>
      </w:r>
    </w:p>
    <w:p w:rsidR="001C33F3" w:rsidRDefault="00436A1D">
      <w:pPr>
        <w:widowControl/>
        <w:shd w:val="clear" w:color="auto" w:fill="FFFFFF"/>
        <w:spacing w:line="560" w:lineRule="atLeast"/>
        <w:ind w:firstLine="640"/>
        <w:jc w:val="left"/>
        <w:rPr>
          <w:rFonts w:ascii="宋体" w:eastAsia="仿宋" w:hAnsi="宋体" w:cs="宋体"/>
          <w:color w:val="333333"/>
          <w:kern w:val="0"/>
          <w:sz w:val="24"/>
          <w:szCs w:val="24"/>
        </w:rPr>
      </w:pPr>
      <w:r>
        <w:rPr>
          <w:rFonts w:ascii="仿宋" w:eastAsia="仿宋" w:hAnsi="仿宋" w:cs="宋体" w:hint="eastAsia"/>
          <w:color w:val="333333"/>
          <w:kern w:val="0"/>
          <w:sz w:val="32"/>
          <w:szCs w:val="32"/>
        </w:rPr>
        <w:t>五是完成水利工作任务。</w:t>
      </w:r>
      <w:r>
        <w:rPr>
          <w:rFonts w:ascii="仿宋" w:eastAsia="仿宋" w:hAnsi="仿宋" w:cs="宋体" w:hint="eastAsia"/>
          <w:color w:val="333333"/>
          <w:kern w:val="0"/>
          <w:sz w:val="32"/>
          <w:szCs w:val="32"/>
        </w:rPr>
        <w:t>完成了</w:t>
      </w:r>
      <w:r>
        <w:rPr>
          <w:rFonts w:ascii="仿宋" w:eastAsia="仿宋" w:hAnsi="仿宋" w:cs="仿宋" w:hint="eastAsia"/>
          <w:color w:val="333333"/>
          <w:kern w:val="0"/>
          <w:sz w:val="32"/>
          <w:szCs w:val="32"/>
        </w:rPr>
        <w:t>烂泥湖大圈三乡两镇、一国营渔场的排提灌以及东烂泥湖的排涝削峰任务。</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我单位能够按照国家的</w:t>
      </w:r>
      <w:r>
        <w:rPr>
          <w:rFonts w:ascii="仿宋" w:eastAsia="仿宋" w:hAnsi="仿宋" w:cs="宋体" w:hint="eastAsia"/>
          <w:color w:val="333333"/>
          <w:kern w:val="0"/>
          <w:sz w:val="32"/>
          <w:szCs w:val="32"/>
        </w:rPr>
        <w:t>法律法规加强预算管理，不断完善内控制度，财务管理和会计基础工作日益完善，取得了较好的预算执行效果。认真完成了</w:t>
      </w:r>
      <w:r>
        <w:rPr>
          <w:rFonts w:ascii="仿宋" w:eastAsia="仿宋" w:hAnsi="仿宋" w:cs="宋体" w:hint="eastAsia"/>
          <w:color w:val="333333"/>
          <w:kern w:val="0"/>
          <w:sz w:val="32"/>
          <w:szCs w:val="32"/>
        </w:rPr>
        <w:t>202</w:t>
      </w:r>
      <w:r w:rsidR="00C308AA">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年部门决算编制和汇总工作，确保了资金的有效使用与管理，保障了单位正常运转及全年水利工作任务的完成，取得了一定经济、生态和社会效益。</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七、存在的主要问题</w:t>
      </w:r>
      <w:r>
        <w:rPr>
          <w:rFonts w:ascii="宋体" w:eastAsia="宋体" w:hAnsi="宋体" w:cs="宋体" w:hint="eastAsia"/>
          <w:color w:val="333333"/>
          <w:kern w:val="0"/>
          <w:sz w:val="32"/>
          <w:szCs w:val="32"/>
        </w:rPr>
        <w:t> </w:t>
      </w:r>
    </w:p>
    <w:p w:rsidR="001C33F3" w:rsidRDefault="00436A1D">
      <w:pPr>
        <w:spacing w:line="540" w:lineRule="exact"/>
        <w:ind w:firstLineChars="200" w:firstLine="640"/>
        <w:rPr>
          <w:rFonts w:ascii="仿宋_GB2312" w:eastAsia="仿宋_GB2312" w:hAnsi="仿宋_GB2312" w:cs="仿宋_GB2312"/>
          <w:sz w:val="32"/>
          <w:szCs w:val="32"/>
        </w:rPr>
      </w:pPr>
      <w:r>
        <w:rPr>
          <w:rFonts w:ascii="仿宋" w:eastAsia="仿宋" w:hAnsi="仿宋" w:cs="宋体" w:hint="eastAsia"/>
          <w:color w:val="333333"/>
          <w:kern w:val="0"/>
          <w:sz w:val="32"/>
          <w:szCs w:val="32"/>
        </w:rPr>
        <w:lastRenderedPageBreak/>
        <w:t>我单位根据本部门职能、职责结合年度工作计划编制年度预算，</w:t>
      </w:r>
      <w:r>
        <w:rPr>
          <w:rFonts w:ascii="仿宋" w:eastAsia="仿宋" w:hAnsi="仿宋" w:cs="宋体" w:hint="eastAsia"/>
          <w:color w:val="333333"/>
          <w:kern w:val="0"/>
          <w:sz w:val="32"/>
          <w:szCs w:val="32"/>
        </w:rPr>
        <w:t>目前尚未发现特别的问题，</w:t>
      </w:r>
      <w:r>
        <w:rPr>
          <w:rFonts w:ascii="仿宋_GB2312" w:eastAsia="仿宋_GB2312" w:hAnsi="仿宋_GB2312" w:cs="仿宋_GB2312" w:hint="eastAsia"/>
          <w:sz w:val="32"/>
          <w:szCs w:val="32"/>
        </w:rPr>
        <w:t>执行财经纪律不严，个别报销票据欠规范。在今后的工作中，将切实加以整改，防微杜渐，严格执行各项财经纪律。</w:t>
      </w:r>
    </w:p>
    <w:p w:rsidR="001C33F3" w:rsidRDefault="00436A1D">
      <w:pPr>
        <w:widowControl/>
        <w:shd w:val="clear" w:color="auto" w:fill="FFFFFF"/>
        <w:spacing w:line="560" w:lineRule="atLeast"/>
        <w:ind w:firstLineChars="200"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八、</w:t>
      </w:r>
      <w:r>
        <w:rPr>
          <w:rFonts w:ascii="黑体" w:eastAsia="黑体" w:hAnsi="黑体" w:cs="宋体" w:hint="eastAsia"/>
          <w:color w:val="333333"/>
          <w:kern w:val="0"/>
          <w:sz w:val="32"/>
          <w:szCs w:val="32"/>
        </w:rPr>
        <w:t>下一步改进措施</w:t>
      </w:r>
    </w:p>
    <w:p w:rsidR="001C33F3" w:rsidRDefault="00436A1D">
      <w:pPr>
        <w:widowControl/>
        <w:shd w:val="clear" w:color="auto" w:fill="FFFFFF"/>
        <w:spacing w:line="560" w:lineRule="atLeas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、加强绩效目标管理，根据部门职责职能合理设置绩效目标，进一步细化绩效指标，增强财政绩效评价的科学性。</w:t>
      </w:r>
    </w:p>
    <w:p w:rsidR="001C33F3" w:rsidRDefault="00436A1D" w:rsidP="005570C8">
      <w:pPr>
        <w:spacing w:beforeLines="50" w:line="560" w:lineRule="exact"/>
        <w:ind w:leftChars="304" w:left="638"/>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、加强国有资产管理，确保资产账实相符。</w:t>
      </w:r>
      <w:r>
        <w:rPr>
          <w:rFonts w:ascii="仿宋" w:eastAsia="仿宋" w:hAnsi="仿宋" w:cs="宋体" w:hint="eastAsia"/>
          <w:color w:val="333333"/>
          <w:kern w:val="0"/>
          <w:sz w:val="32"/>
          <w:szCs w:val="32"/>
        </w:rPr>
        <w:t xml:space="preserve">                                                                     3</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加强财务管理，规范财务核算。</w:t>
      </w:r>
    </w:p>
    <w:p w:rsidR="001C33F3" w:rsidRDefault="00436A1D">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、统一思想，加强领导，明确责任，完善绩效评价管理制度，为绩效评价工作开展创造好的条件。</w:t>
      </w:r>
    </w:p>
    <w:p w:rsidR="001C33F3" w:rsidRDefault="00436A1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、把绩效评价工作作为一项日常性工作，建立绩效评价管理工作考核的长效机制。</w:t>
      </w:r>
    </w:p>
    <w:p w:rsidR="001C33F3" w:rsidRDefault="00436A1D">
      <w:pPr>
        <w:widowControl/>
        <w:shd w:val="clear" w:color="auto" w:fill="FFFFFF"/>
        <w:spacing w:line="560" w:lineRule="atLeast"/>
        <w:ind w:firstLineChars="200"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九、其他需要说明的问题</w:t>
      </w:r>
    </w:p>
    <w:p w:rsidR="001C33F3" w:rsidRDefault="00436A1D">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无</w:t>
      </w:r>
    </w:p>
    <w:p w:rsidR="001C33F3" w:rsidRDefault="001C33F3">
      <w:pPr>
        <w:widowControl/>
        <w:shd w:val="clear" w:color="auto" w:fill="FFFFFF"/>
        <w:spacing w:line="560" w:lineRule="atLeast"/>
        <w:ind w:firstLineChars="1181" w:firstLine="3779"/>
        <w:jc w:val="right"/>
        <w:rPr>
          <w:rFonts w:ascii="仿宋" w:eastAsia="仿宋" w:hAnsi="仿宋" w:cs="宋体"/>
          <w:color w:val="333333"/>
          <w:kern w:val="0"/>
          <w:sz w:val="32"/>
          <w:szCs w:val="32"/>
        </w:rPr>
      </w:pPr>
    </w:p>
    <w:p w:rsidR="001C33F3" w:rsidRDefault="001C33F3">
      <w:pPr>
        <w:widowControl/>
        <w:shd w:val="clear" w:color="auto" w:fill="FFFFFF"/>
        <w:spacing w:line="560" w:lineRule="atLeast"/>
        <w:ind w:firstLineChars="1181" w:firstLine="3779"/>
        <w:jc w:val="right"/>
        <w:rPr>
          <w:rFonts w:ascii="仿宋" w:eastAsia="仿宋" w:hAnsi="仿宋" w:cs="宋体"/>
          <w:color w:val="333333"/>
          <w:kern w:val="0"/>
          <w:sz w:val="32"/>
          <w:szCs w:val="32"/>
        </w:rPr>
      </w:pPr>
    </w:p>
    <w:p w:rsidR="001C33F3" w:rsidRDefault="00436A1D">
      <w:pPr>
        <w:widowControl/>
        <w:shd w:val="clear" w:color="auto" w:fill="FFFFFF"/>
        <w:spacing w:line="560" w:lineRule="atLeast"/>
        <w:ind w:firstLineChars="1181" w:firstLine="3779"/>
        <w:jc w:val="right"/>
        <w:rPr>
          <w:rFonts w:ascii="宋体" w:eastAsia="仿宋" w:hAnsi="宋体" w:cs="宋体"/>
          <w:color w:val="333333"/>
          <w:kern w:val="0"/>
          <w:sz w:val="24"/>
          <w:szCs w:val="24"/>
        </w:rPr>
      </w:pPr>
      <w:r>
        <w:rPr>
          <w:rFonts w:ascii="仿宋" w:eastAsia="仿宋" w:hAnsi="仿宋" w:cs="宋体" w:hint="eastAsia"/>
          <w:color w:val="333333"/>
          <w:kern w:val="0"/>
          <w:sz w:val="32"/>
          <w:szCs w:val="32"/>
        </w:rPr>
        <w:t>益阳市赫山区</w:t>
      </w:r>
      <w:r>
        <w:rPr>
          <w:rFonts w:ascii="仿宋" w:eastAsia="仿宋" w:hAnsi="仿宋" w:cs="宋体" w:hint="eastAsia"/>
          <w:color w:val="333333"/>
          <w:kern w:val="0"/>
          <w:sz w:val="32"/>
          <w:szCs w:val="32"/>
        </w:rPr>
        <w:t>新河电力排灌站</w:t>
      </w:r>
    </w:p>
    <w:p w:rsidR="001C33F3" w:rsidRDefault="00436A1D">
      <w:pPr>
        <w:widowControl/>
        <w:shd w:val="clear" w:color="auto" w:fill="FFFFFF"/>
        <w:spacing w:line="560" w:lineRule="atLeast"/>
        <w:ind w:firstLineChars="1181" w:firstLine="3779"/>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202</w:t>
      </w:r>
      <w:r w:rsidR="00C308AA">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24</w:t>
      </w:r>
      <w:r>
        <w:rPr>
          <w:rFonts w:ascii="仿宋" w:eastAsia="仿宋" w:hAnsi="仿宋" w:cs="宋体" w:hint="eastAsia"/>
          <w:color w:val="333333"/>
          <w:kern w:val="0"/>
          <w:sz w:val="32"/>
          <w:szCs w:val="32"/>
        </w:rPr>
        <w:t>日</w:t>
      </w:r>
    </w:p>
    <w:p w:rsidR="001C33F3" w:rsidRDefault="001C33F3">
      <w:pPr>
        <w:widowControl/>
        <w:shd w:val="clear" w:color="auto" w:fill="FFFFFF"/>
        <w:spacing w:line="560" w:lineRule="atLeast"/>
        <w:ind w:firstLineChars="1181" w:firstLine="3779"/>
        <w:jc w:val="right"/>
        <w:rPr>
          <w:rFonts w:ascii="仿宋" w:eastAsia="仿宋" w:hAnsi="仿宋" w:cs="宋体"/>
          <w:color w:val="333333"/>
          <w:kern w:val="0"/>
          <w:sz w:val="32"/>
          <w:szCs w:val="32"/>
        </w:rPr>
      </w:pPr>
    </w:p>
    <w:p w:rsidR="001C33F3" w:rsidRDefault="001C33F3">
      <w:pPr>
        <w:widowControl/>
        <w:jc w:val="left"/>
        <w:rPr>
          <w:rFonts w:ascii="黑体" w:eastAsia="黑体" w:hAnsi="黑体" w:cs="宋体"/>
          <w:color w:val="333333"/>
          <w:kern w:val="0"/>
          <w:sz w:val="32"/>
          <w:szCs w:val="32"/>
          <w:shd w:val="clear" w:color="auto" w:fill="FFFFFF"/>
        </w:rPr>
      </w:pPr>
    </w:p>
    <w:p w:rsidR="001C33F3" w:rsidRDefault="001C33F3">
      <w:pPr>
        <w:widowControl/>
        <w:jc w:val="left"/>
        <w:rPr>
          <w:rFonts w:ascii="黑体" w:eastAsia="黑体" w:hAnsi="黑体" w:cs="宋体"/>
          <w:color w:val="333333"/>
          <w:kern w:val="0"/>
          <w:sz w:val="32"/>
          <w:szCs w:val="32"/>
          <w:shd w:val="clear" w:color="auto" w:fill="FFFFFF"/>
        </w:rPr>
      </w:pPr>
    </w:p>
    <w:p w:rsidR="001C33F3" w:rsidRDefault="001C33F3">
      <w:pPr>
        <w:widowControl/>
        <w:jc w:val="left"/>
        <w:rPr>
          <w:rFonts w:ascii="黑体" w:eastAsia="黑体" w:hAnsi="黑体" w:cs="宋体"/>
          <w:color w:val="333333"/>
          <w:kern w:val="0"/>
          <w:sz w:val="32"/>
          <w:szCs w:val="32"/>
          <w:shd w:val="clear" w:color="auto" w:fill="FFFFFF"/>
        </w:rPr>
      </w:pPr>
    </w:p>
    <w:p w:rsidR="001C33F3" w:rsidRDefault="00436A1D">
      <w:pPr>
        <w:widowControl/>
        <w:shd w:val="clear" w:color="auto" w:fill="FFFFFF"/>
        <w:spacing w:line="480" w:lineRule="atLeast"/>
        <w:jc w:val="left"/>
        <w:rPr>
          <w:rFonts w:ascii="微软雅黑" w:eastAsia="宋体" w:hAnsi="微软雅黑" w:cs="宋体"/>
          <w:color w:val="333333"/>
          <w:kern w:val="0"/>
          <w:sz w:val="24"/>
          <w:szCs w:val="24"/>
        </w:rPr>
      </w:pPr>
      <w:r>
        <w:rPr>
          <w:rFonts w:ascii="黑体" w:eastAsia="黑体" w:hAnsi="黑体" w:cs="宋体" w:hint="eastAsia"/>
          <w:color w:val="333333"/>
          <w:kern w:val="0"/>
          <w:sz w:val="32"/>
          <w:szCs w:val="32"/>
        </w:rPr>
        <w:lastRenderedPageBreak/>
        <w:t>附件</w:t>
      </w:r>
      <w:r>
        <w:rPr>
          <w:rFonts w:ascii="黑体" w:eastAsia="黑体" w:hAnsi="黑体" w:cs="宋体" w:hint="eastAsia"/>
          <w:color w:val="333333"/>
          <w:kern w:val="0"/>
          <w:sz w:val="32"/>
          <w:szCs w:val="32"/>
        </w:rPr>
        <w:t>2</w:t>
      </w:r>
      <w:r>
        <w:rPr>
          <w:rFonts w:ascii="黑体" w:eastAsia="黑体" w:hAnsi="黑体" w:cs="宋体" w:hint="eastAsia"/>
          <w:color w:val="333333"/>
          <w:kern w:val="0"/>
          <w:sz w:val="32"/>
          <w:szCs w:val="32"/>
        </w:rPr>
        <w:t>：</w:t>
      </w:r>
    </w:p>
    <w:p w:rsidR="001C33F3" w:rsidRDefault="00436A1D">
      <w:pPr>
        <w:widowControl/>
        <w:shd w:val="clear" w:color="auto" w:fill="FFFFFF"/>
        <w:spacing w:before="156" w:after="156"/>
        <w:jc w:val="center"/>
        <w:rPr>
          <w:rFonts w:ascii="微软雅黑" w:eastAsia="宋体" w:hAnsi="微软雅黑" w:cs="宋体"/>
          <w:color w:val="333333"/>
          <w:kern w:val="0"/>
          <w:sz w:val="24"/>
          <w:szCs w:val="24"/>
        </w:rPr>
      </w:pPr>
      <w:r>
        <w:rPr>
          <w:rFonts w:ascii="方正小标宋简体" w:eastAsia="方正小标宋简体" w:hAnsi="微软雅黑" w:cs="宋体" w:hint="eastAsia"/>
          <w:color w:val="333333"/>
          <w:kern w:val="0"/>
          <w:sz w:val="36"/>
          <w:szCs w:val="36"/>
        </w:rPr>
        <w:t>202</w:t>
      </w:r>
      <w:r w:rsidR="00C308AA">
        <w:rPr>
          <w:rFonts w:ascii="方正小标宋简体" w:eastAsia="方正小标宋简体" w:hAnsi="微软雅黑" w:cs="宋体" w:hint="eastAsia"/>
          <w:color w:val="333333"/>
          <w:kern w:val="0"/>
          <w:sz w:val="36"/>
          <w:szCs w:val="36"/>
        </w:rPr>
        <w:t>2</w:t>
      </w:r>
      <w:r>
        <w:rPr>
          <w:rFonts w:ascii="方正小标宋简体" w:eastAsia="方正小标宋简体" w:hAnsi="微软雅黑" w:cs="宋体" w:hint="eastAsia"/>
          <w:color w:val="333333"/>
          <w:kern w:val="0"/>
          <w:sz w:val="36"/>
          <w:szCs w:val="36"/>
        </w:rPr>
        <w:t>年度部门整体支出绩效自评指标计分表</w:t>
      </w:r>
    </w:p>
    <w:tbl>
      <w:tblPr>
        <w:tblW w:w="10681" w:type="dxa"/>
        <w:jc w:val="center"/>
        <w:tblLayout w:type="fixed"/>
        <w:tblCellMar>
          <w:top w:w="15" w:type="dxa"/>
          <w:left w:w="15" w:type="dxa"/>
          <w:bottom w:w="15" w:type="dxa"/>
          <w:right w:w="15" w:type="dxa"/>
        </w:tblCellMar>
        <w:tblLook w:val="04A0"/>
      </w:tblPr>
      <w:tblGrid>
        <w:gridCol w:w="567"/>
        <w:gridCol w:w="1166"/>
        <w:gridCol w:w="944"/>
        <w:gridCol w:w="771"/>
        <w:gridCol w:w="3097"/>
        <w:gridCol w:w="4136"/>
      </w:tblGrid>
      <w:tr w:rsidR="001C33F3">
        <w:trPr>
          <w:trHeight w:val="489"/>
          <w:jc w:val="center"/>
        </w:trPr>
        <w:tc>
          <w:tcPr>
            <w:tcW w:w="567"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b/>
                <w:bCs/>
                <w:kern w:val="0"/>
                <w:szCs w:val="21"/>
              </w:rPr>
            </w:pPr>
            <w:r>
              <w:rPr>
                <w:rFonts w:ascii="宋体" w:eastAsia="宋体" w:hAnsi="宋体" w:cs="宋体" w:hint="eastAsia"/>
                <w:b/>
                <w:bCs/>
                <w:kern w:val="0"/>
                <w:szCs w:val="21"/>
              </w:rPr>
              <w:t>一级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b/>
                <w:bCs/>
                <w:kern w:val="0"/>
                <w:szCs w:val="21"/>
              </w:rPr>
              <w:t>指标</w:t>
            </w:r>
          </w:p>
        </w:tc>
        <w:tc>
          <w:tcPr>
            <w:tcW w:w="1166"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right="-174"/>
              <w:jc w:val="center"/>
              <w:rPr>
                <w:rFonts w:ascii="宋体" w:eastAsia="宋体" w:hAnsi="宋体" w:cs="宋体"/>
                <w:kern w:val="0"/>
                <w:sz w:val="24"/>
                <w:szCs w:val="24"/>
              </w:rPr>
            </w:pPr>
            <w:r>
              <w:rPr>
                <w:rFonts w:ascii="宋体" w:eastAsia="宋体" w:hAnsi="宋体" w:cs="宋体" w:hint="eastAsia"/>
                <w:b/>
                <w:bCs/>
                <w:kern w:val="0"/>
                <w:szCs w:val="21"/>
              </w:rPr>
              <w:t>二级</w:t>
            </w:r>
          </w:p>
          <w:p w:rsidR="001C33F3" w:rsidRDefault="00436A1D">
            <w:pPr>
              <w:widowControl/>
              <w:spacing w:line="240" w:lineRule="atLeast"/>
              <w:ind w:right="-174"/>
              <w:jc w:val="center"/>
              <w:rPr>
                <w:rFonts w:ascii="宋体" w:eastAsia="宋体" w:hAnsi="宋体" w:cs="宋体"/>
                <w:kern w:val="0"/>
                <w:sz w:val="24"/>
                <w:szCs w:val="24"/>
              </w:rPr>
            </w:pPr>
            <w:r>
              <w:rPr>
                <w:rFonts w:ascii="宋体" w:eastAsia="宋体" w:hAnsi="宋体" w:cs="宋体" w:hint="eastAsia"/>
                <w:b/>
                <w:bCs/>
                <w:kern w:val="0"/>
                <w:szCs w:val="21"/>
              </w:rPr>
              <w:t>指标</w:t>
            </w:r>
          </w:p>
        </w:tc>
        <w:tc>
          <w:tcPr>
            <w:tcW w:w="944"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b/>
                <w:bCs/>
                <w:kern w:val="0"/>
                <w:szCs w:val="21"/>
              </w:rPr>
              <w:t>三级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b/>
                <w:bCs/>
                <w:kern w:val="0"/>
                <w:szCs w:val="21"/>
              </w:rPr>
              <w:t>指标</w:t>
            </w:r>
          </w:p>
        </w:tc>
        <w:tc>
          <w:tcPr>
            <w:tcW w:w="77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C33F3" w:rsidRDefault="00436A1D">
            <w:pPr>
              <w:widowControl/>
              <w:spacing w:line="240" w:lineRule="atLeast"/>
              <w:ind w:left="105" w:right="105"/>
              <w:jc w:val="center"/>
              <w:rPr>
                <w:rFonts w:ascii="宋体" w:eastAsia="宋体" w:hAnsi="宋体" w:cs="宋体"/>
                <w:kern w:val="0"/>
                <w:sz w:val="24"/>
                <w:szCs w:val="24"/>
              </w:rPr>
            </w:pPr>
            <w:r>
              <w:rPr>
                <w:rFonts w:ascii="宋体" w:eastAsia="宋体" w:hAnsi="宋体" w:cs="宋体" w:hint="eastAsia"/>
                <w:b/>
                <w:bCs/>
                <w:kern w:val="0"/>
                <w:szCs w:val="21"/>
              </w:rPr>
              <w:t>自评分</w:t>
            </w:r>
          </w:p>
        </w:tc>
        <w:tc>
          <w:tcPr>
            <w:tcW w:w="3097"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center"/>
              <w:rPr>
                <w:rFonts w:ascii="宋体" w:eastAsia="宋体" w:hAnsi="宋体" w:cs="宋体"/>
                <w:kern w:val="0"/>
                <w:sz w:val="24"/>
                <w:szCs w:val="24"/>
              </w:rPr>
            </w:pPr>
            <w:r>
              <w:rPr>
                <w:rFonts w:ascii="宋体" w:eastAsia="宋体" w:hAnsi="宋体" w:cs="宋体" w:hint="eastAsia"/>
                <w:b/>
                <w:bCs/>
                <w:kern w:val="0"/>
                <w:szCs w:val="21"/>
              </w:rPr>
              <w:t>指标解释</w:t>
            </w:r>
          </w:p>
        </w:tc>
        <w:tc>
          <w:tcPr>
            <w:tcW w:w="4136"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center"/>
              <w:rPr>
                <w:rFonts w:ascii="宋体" w:eastAsia="宋体" w:hAnsi="宋体" w:cs="宋体"/>
                <w:kern w:val="0"/>
                <w:sz w:val="24"/>
                <w:szCs w:val="24"/>
              </w:rPr>
            </w:pPr>
            <w:r>
              <w:rPr>
                <w:rFonts w:ascii="宋体" w:eastAsia="宋体" w:hAnsi="宋体" w:cs="宋体" w:hint="eastAsia"/>
                <w:b/>
                <w:bCs/>
                <w:kern w:val="0"/>
                <w:szCs w:val="21"/>
              </w:rPr>
              <w:t>指标说明</w:t>
            </w:r>
          </w:p>
        </w:tc>
      </w:tr>
      <w:tr w:rsidR="001C33F3">
        <w:trPr>
          <w:trHeight w:val="1892"/>
          <w:jc w:val="center"/>
        </w:trPr>
        <w:tc>
          <w:tcPr>
            <w:tcW w:w="567" w:type="dxa"/>
            <w:vMerge w:val="restart"/>
            <w:tcBorders>
              <w:top w:val="nil"/>
              <w:left w:val="single" w:sz="8" w:space="0" w:color="auto"/>
              <w:bottom w:val="single" w:sz="8" w:space="0" w:color="auto"/>
              <w:right w:val="single" w:sz="8" w:space="0" w:color="auto"/>
            </w:tcBorders>
            <w:noWrap/>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投入（</w:t>
            </w:r>
            <w:r>
              <w:rPr>
                <w:rFonts w:ascii="宋体" w:eastAsia="宋体" w:hAnsi="宋体" w:cs="宋体" w:hint="eastAsia"/>
                <w:kern w:val="0"/>
                <w:szCs w:val="21"/>
              </w:rPr>
              <w:t>20</w:t>
            </w:r>
            <w:r>
              <w:rPr>
                <w:rFonts w:ascii="宋体" w:eastAsia="宋体" w:hAnsi="宋体" w:cs="宋体" w:hint="eastAsia"/>
                <w:kern w:val="0"/>
                <w:szCs w:val="21"/>
              </w:rPr>
              <w:t>分）</w:t>
            </w:r>
          </w:p>
        </w:tc>
        <w:tc>
          <w:tcPr>
            <w:tcW w:w="116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目标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设定（</w:t>
            </w:r>
            <w:r>
              <w:rPr>
                <w:rFonts w:ascii="宋体" w:eastAsia="宋体" w:hAnsi="宋体" w:cs="宋体" w:hint="eastAsia"/>
                <w:kern w:val="0"/>
                <w:szCs w:val="21"/>
              </w:rPr>
              <w:t>5</w:t>
            </w:r>
            <w:r>
              <w:rPr>
                <w:rFonts w:ascii="宋体" w:eastAsia="宋体" w:hAnsi="宋体" w:cs="宋体" w:hint="eastAsia"/>
                <w:kern w:val="0"/>
                <w:szCs w:val="21"/>
              </w:rPr>
              <w:t>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绩效目标</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合理性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部门所设立的整体绩效目标依据是否充分，是否符合客观实际，用以反映和考核部门整体绩效目标与部门履职、年度工作任务的相符性情况。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①是否符合国家法律法规、国民经济和社会发展总体规划；</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②是否符合部门“三定”方案确定的职责；</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③是否符合部门制定的中长期实施规划。</w:t>
            </w:r>
          </w:p>
        </w:tc>
      </w:tr>
      <w:tr w:rsidR="001C33F3">
        <w:trPr>
          <w:trHeight w:val="2137"/>
          <w:jc w:val="center"/>
        </w:trPr>
        <w:tc>
          <w:tcPr>
            <w:tcW w:w="567" w:type="dxa"/>
            <w:vMerge/>
            <w:tcBorders>
              <w:top w:val="nil"/>
              <w:left w:val="single" w:sz="8"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绩效指标</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明确性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部门依据整体绩效目标所设定的绩效指标是否清晰、细化、可衡量，用以反映和考核部门整体绩效目标的明细化情况。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①是否将部门整体的绩效目标细化分解为具体的工作任务；</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②是否通过清晰、可衡量的指标值予以体现。</w:t>
            </w:r>
            <w:r>
              <w:rPr>
                <w:rFonts w:ascii="宋体" w:eastAsia="宋体" w:hAnsi="宋体" w:cs="宋体" w:hint="eastAsia"/>
                <w:kern w:val="0"/>
                <w:szCs w:val="21"/>
              </w:rPr>
              <w:t>    </w:t>
            </w:r>
            <w:r>
              <w:rPr>
                <w:rFonts w:ascii="宋体" w:eastAsia="宋体" w:hAnsi="宋体" w:cs="宋体" w:hint="eastAsia"/>
                <w:kern w:val="0"/>
                <w:szCs w:val="21"/>
              </w:rPr>
              <w:t>③是否与部门年度的任务数或计划数相对应；</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④是否与本年度部门预算资金相匹配。</w:t>
            </w:r>
          </w:p>
        </w:tc>
      </w:tr>
      <w:tr w:rsidR="001C33F3">
        <w:trPr>
          <w:trHeight w:val="1931"/>
          <w:jc w:val="center"/>
        </w:trPr>
        <w:tc>
          <w:tcPr>
            <w:tcW w:w="567" w:type="dxa"/>
            <w:vMerge/>
            <w:tcBorders>
              <w:top w:val="nil"/>
              <w:left w:val="single" w:sz="8"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预算</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配置</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15</w:t>
            </w:r>
            <w:r>
              <w:rPr>
                <w:rFonts w:ascii="宋体" w:eastAsia="宋体" w:hAnsi="宋体" w:cs="宋体" w:hint="eastAsia"/>
                <w:kern w:val="0"/>
                <w:szCs w:val="21"/>
              </w:rPr>
              <w:t>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在职人员</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控制率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部门本年度实际在职人员数与编制数的比率，用以反映和考核部门对人员成本的控制程度。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在职人员控制率</w:t>
            </w:r>
            <w:r>
              <w:rPr>
                <w:rFonts w:ascii="宋体" w:eastAsia="宋体" w:hAnsi="宋体" w:cs="宋体" w:hint="eastAsia"/>
                <w:kern w:val="0"/>
                <w:szCs w:val="21"/>
              </w:rPr>
              <w:t>=</w:t>
            </w:r>
            <w:r>
              <w:rPr>
                <w:rFonts w:ascii="宋体" w:eastAsia="宋体" w:hAnsi="宋体" w:cs="宋体" w:hint="eastAsia"/>
                <w:kern w:val="0"/>
                <w:szCs w:val="21"/>
              </w:rPr>
              <w:t>（在职人员数</w:t>
            </w:r>
            <w:r>
              <w:rPr>
                <w:rFonts w:ascii="宋体" w:eastAsia="宋体" w:hAnsi="宋体" w:cs="宋体" w:hint="eastAsia"/>
                <w:kern w:val="0"/>
                <w:szCs w:val="21"/>
              </w:rPr>
              <w:t>/</w:t>
            </w:r>
            <w:r>
              <w:rPr>
                <w:rFonts w:ascii="宋体" w:eastAsia="宋体" w:hAnsi="宋体" w:cs="宋体" w:hint="eastAsia"/>
                <w:kern w:val="0"/>
                <w:szCs w:val="21"/>
              </w:rPr>
              <w:t>编制数）×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在职人员数：部门实际在职人数，以财政部确定的部门决算编制口径为准。</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编制数：机构编制部门核定批复的部门的人员编制数。</w:t>
            </w:r>
          </w:p>
        </w:tc>
      </w:tr>
      <w:tr w:rsidR="001C33F3" w:rsidTr="00C64198">
        <w:trPr>
          <w:trHeight w:val="2030"/>
          <w:jc w:val="center"/>
        </w:trPr>
        <w:tc>
          <w:tcPr>
            <w:tcW w:w="567" w:type="dxa"/>
            <w:vMerge/>
            <w:tcBorders>
              <w:top w:val="nil"/>
              <w:left w:val="single" w:sz="8"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“三公经费”</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变动率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部门本年度“三公经费”预算数与上年度“三公经费”预算数的变动比率，用以反映和考核部门对控制重点行政成本的努力程度。</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“三公经费”变动率</w:t>
            </w:r>
            <w:r>
              <w:rPr>
                <w:rFonts w:ascii="宋体" w:eastAsia="宋体" w:hAnsi="宋体" w:cs="宋体" w:hint="eastAsia"/>
                <w:kern w:val="0"/>
                <w:szCs w:val="21"/>
              </w:rPr>
              <w:t>=[</w:t>
            </w:r>
            <w:r>
              <w:rPr>
                <w:rFonts w:ascii="宋体" w:eastAsia="宋体" w:hAnsi="宋体" w:cs="宋体" w:hint="eastAsia"/>
                <w:kern w:val="0"/>
                <w:szCs w:val="21"/>
              </w:rPr>
              <w:t>（本年度“三公经费”总额</w:t>
            </w:r>
            <w:r>
              <w:rPr>
                <w:rFonts w:ascii="宋体" w:eastAsia="宋体" w:hAnsi="宋体" w:cs="宋体" w:hint="eastAsia"/>
                <w:kern w:val="0"/>
                <w:szCs w:val="21"/>
              </w:rPr>
              <w:t>-</w:t>
            </w:r>
            <w:r>
              <w:rPr>
                <w:rFonts w:ascii="宋体" w:eastAsia="宋体" w:hAnsi="宋体" w:cs="宋体" w:hint="eastAsia"/>
                <w:kern w:val="0"/>
                <w:szCs w:val="21"/>
              </w:rPr>
              <w:t>上年度“三公经费”总额）</w:t>
            </w:r>
            <w:r>
              <w:rPr>
                <w:rFonts w:ascii="宋体" w:eastAsia="宋体" w:hAnsi="宋体" w:cs="宋体" w:hint="eastAsia"/>
                <w:kern w:val="0"/>
                <w:szCs w:val="21"/>
              </w:rPr>
              <w:t>/</w:t>
            </w:r>
            <w:r>
              <w:rPr>
                <w:rFonts w:ascii="宋体" w:eastAsia="宋体" w:hAnsi="宋体" w:cs="宋体" w:hint="eastAsia"/>
                <w:kern w:val="0"/>
                <w:szCs w:val="21"/>
              </w:rPr>
              <w:t>上年度“三公经费”总额</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“三公经费”：年度预算安排的因公出国（境）费、公务车辆购置及运行费和公务招待费。</w:t>
            </w:r>
          </w:p>
        </w:tc>
      </w:tr>
      <w:tr w:rsidR="001C33F3" w:rsidTr="00C64198">
        <w:trPr>
          <w:trHeight w:val="2510"/>
          <w:jc w:val="center"/>
        </w:trPr>
        <w:tc>
          <w:tcPr>
            <w:tcW w:w="567" w:type="dxa"/>
            <w:vMerge/>
            <w:tcBorders>
              <w:top w:val="nil"/>
              <w:left w:val="single" w:sz="8" w:space="0" w:color="auto"/>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重点支出</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安排率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0</w:t>
            </w:r>
          </w:p>
        </w:tc>
        <w:tc>
          <w:tcPr>
            <w:tcW w:w="309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部门本年度预算安排的重点预算支出与部门预算总支出的比率，用以反映和考核部门对履行主要职责或完成重点任务的保障程度。</w:t>
            </w:r>
          </w:p>
        </w:tc>
        <w:tc>
          <w:tcPr>
            <w:tcW w:w="413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重点支出安排率</w:t>
            </w:r>
            <w:r>
              <w:rPr>
                <w:rFonts w:ascii="宋体" w:eastAsia="宋体" w:hAnsi="宋体" w:cs="宋体" w:hint="eastAsia"/>
                <w:kern w:val="0"/>
                <w:szCs w:val="21"/>
              </w:rPr>
              <w:t>=</w:t>
            </w:r>
            <w:r>
              <w:rPr>
                <w:rFonts w:ascii="宋体" w:eastAsia="宋体" w:hAnsi="宋体" w:cs="宋体" w:hint="eastAsia"/>
                <w:kern w:val="0"/>
                <w:szCs w:val="21"/>
              </w:rPr>
              <w:t>（重点预算支出</w:t>
            </w:r>
            <w:r>
              <w:rPr>
                <w:rFonts w:ascii="宋体" w:eastAsia="宋体" w:hAnsi="宋体" w:cs="宋体" w:hint="eastAsia"/>
                <w:kern w:val="0"/>
                <w:szCs w:val="21"/>
              </w:rPr>
              <w:t>/</w:t>
            </w:r>
            <w:r>
              <w:rPr>
                <w:rFonts w:ascii="宋体" w:eastAsia="宋体" w:hAnsi="宋体" w:cs="宋体" w:hint="eastAsia"/>
                <w:kern w:val="0"/>
                <w:szCs w:val="21"/>
              </w:rPr>
              <w:t>预算总支出）×</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重点预算支出：部门年度预算安排的，与本部门履职和发展密切相关、具有明显社会和经济影响、党委政府关心或社会比较关注的预算支出支出总额。</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预算总支出：部门年度预算安排的预算支出支出总额。</w:t>
            </w:r>
          </w:p>
        </w:tc>
      </w:tr>
      <w:tr w:rsidR="001C33F3">
        <w:trPr>
          <w:trHeight w:val="1770"/>
          <w:jc w:val="center"/>
        </w:trPr>
        <w:tc>
          <w:tcPr>
            <w:tcW w:w="567" w:type="dxa"/>
            <w:vMerge w:val="restart"/>
            <w:tcBorders>
              <w:top w:val="single" w:sz="4" w:space="0" w:color="auto"/>
              <w:left w:val="single" w:sz="4" w:space="0" w:color="auto"/>
              <w:bottom w:val="single" w:sz="4" w:space="0" w:color="auto"/>
              <w:right w:val="single" w:sz="8" w:space="0" w:color="auto"/>
            </w:tcBorders>
            <w:noWrap/>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lastRenderedPageBreak/>
              <w:t>过程（</w:t>
            </w:r>
            <w:r>
              <w:rPr>
                <w:rFonts w:ascii="宋体" w:eastAsia="宋体" w:hAnsi="宋体" w:cs="宋体" w:hint="eastAsia"/>
                <w:kern w:val="0"/>
                <w:szCs w:val="21"/>
              </w:rPr>
              <w:t>30</w:t>
            </w:r>
            <w:r>
              <w:rPr>
                <w:rFonts w:ascii="宋体" w:eastAsia="宋体" w:hAnsi="宋体" w:cs="宋体" w:hint="eastAsia"/>
                <w:kern w:val="0"/>
                <w:szCs w:val="21"/>
              </w:rPr>
              <w:t>分）</w:t>
            </w:r>
          </w:p>
        </w:tc>
        <w:tc>
          <w:tcPr>
            <w:tcW w:w="1166" w:type="dxa"/>
            <w:vMerge w:val="restart"/>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left"/>
              <w:rPr>
                <w:rFonts w:ascii="宋体" w:eastAsia="宋体" w:hAnsi="宋体" w:cs="宋体"/>
                <w:kern w:val="0"/>
                <w:szCs w:val="21"/>
              </w:rPr>
            </w:pPr>
            <w:r>
              <w:rPr>
                <w:rFonts w:ascii="宋体" w:eastAsia="宋体" w:hAnsi="宋体" w:cs="宋体" w:hint="eastAsia"/>
                <w:kern w:val="0"/>
                <w:szCs w:val="21"/>
              </w:rPr>
              <w:t>预算</w:t>
            </w:r>
          </w:p>
          <w:p w:rsidR="001C33F3" w:rsidRDefault="00436A1D">
            <w:pPr>
              <w:widowControl/>
              <w:spacing w:line="240" w:lineRule="atLeast"/>
              <w:jc w:val="left"/>
              <w:rPr>
                <w:rFonts w:ascii="宋体" w:eastAsia="宋体" w:hAnsi="宋体" w:cs="宋体"/>
                <w:kern w:val="0"/>
                <w:szCs w:val="21"/>
              </w:rPr>
            </w:pPr>
            <w:r>
              <w:rPr>
                <w:rFonts w:ascii="宋体" w:eastAsia="宋体" w:hAnsi="宋体" w:cs="宋体" w:hint="eastAsia"/>
                <w:kern w:val="0"/>
                <w:szCs w:val="21"/>
              </w:rPr>
              <w:t>执行</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20</w:t>
            </w:r>
            <w:r>
              <w:rPr>
                <w:rFonts w:ascii="宋体" w:eastAsia="宋体" w:hAnsi="宋体" w:cs="宋体" w:hint="eastAsia"/>
                <w:kern w:val="0"/>
                <w:szCs w:val="21"/>
              </w:rPr>
              <w:t>分）</w:t>
            </w:r>
          </w:p>
        </w:tc>
        <w:tc>
          <w:tcPr>
            <w:tcW w:w="944"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预算</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执行率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分）</w:t>
            </w:r>
          </w:p>
        </w:tc>
        <w:tc>
          <w:tcPr>
            <w:tcW w:w="771" w:type="dxa"/>
            <w:tcBorders>
              <w:top w:val="single" w:sz="4" w:space="0" w:color="auto"/>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4</w:t>
            </w:r>
          </w:p>
        </w:tc>
        <w:tc>
          <w:tcPr>
            <w:tcW w:w="3097"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部门本年度预算完成数与预算数的比率，用以反映和考核部门预算完成程度。</w:t>
            </w:r>
          </w:p>
        </w:tc>
        <w:tc>
          <w:tcPr>
            <w:tcW w:w="413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预算执行率</w:t>
            </w:r>
            <w:r>
              <w:rPr>
                <w:rFonts w:ascii="宋体" w:eastAsia="宋体" w:hAnsi="宋体" w:cs="宋体" w:hint="eastAsia"/>
                <w:kern w:val="0"/>
                <w:szCs w:val="21"/>
              </w:rPr>
              <w:t>=</w:t>
            </w:r>
            <w:r>
              <w:rPr>
                <w:rFonts w:ascii="宋体" w:eastAsia="宋体" w:hAnsi="宋体" w:cs="宋体" w:hint="eastAsia"/>
                <w:kern w:val="0"/>
                <w:szCs w:val="21"/>
              </w:rPr>
              <w:t>（预算执行数</w:t>
            </w:r>
            <w:r>
              <w:rPr>
                <w:rFonts w:ascii="宋体" w:eastAsia="宋体" w:hAnsi="宋体" w:cs="宋体" w:hint="eastAsia"/>
                <w:kern w:val="0"/>
                <w:szCs w:val="21"/>
              </w:rPr>
              <w:t>/</w:t>
            </w:r>
            <w:r>
              <w:rPr>
                <w:rFonts w:ascii="宋体" w:eastAsia="宋体" w:hAnsi="宋体" w:cs="宋体" w:hint="eastAsia"/>
                <w:kern w:val="0"/>
                <w:szCs w:val="21"/>
              </w:rPr>
              <w:t>预算数）×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预算执行数：部门本年度实际完成的预算数。</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预算数：财政部门批复的本年度部门预算数。</w:t>
            </w:r>
          </w:p>
        </w:tc>
      </w:tr>
      <w:tr w:rsidR="001C33F3">
        <w:trPr>
          <w:trHeight w:val="1824"/>
          <w:jc w:val="center"/>
        </w:trPr>
        <w:tc>
          <w:tcPr>
            <w:tcW w:w="567" w:type="dxa"/>
            <w:vMerge/>
            <w:tcBorders>
              <w:top w:val="single" w:sz="4" w:space="0" w:color="auto"/>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预算</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调整率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部门本年度预算调整数与预算数的比率，用以反映和考核部门预算的调整程度。</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预算调整率</w:t>
            </w:r>
            <w:r>
              <w:rPr>
                <w:rFonts w:ascii="宋体" w:eastAsia="宋体" w:hAnsi="宋体" w:cs="宋体" w:hint="eastAsia"/>
                <w:kern w:val="0"/>
                <w:szCs w:val="21"/>
              </w:rPr>
              <w:t>=</w:t>
            </w:r>
            <w:r>
              <w:rPr>
                <w:rFonts w:ascii="宋体" w:eastAsia="宋体" w:hAnsi="宋体" w:cs="宋体" w:hint="eastAsia"/>
                <w:kern w:val="0"/>
                <w:szCs w:val="21"/>
              </w:rPr>
              <w:t>（预算调整数</w:t>
            </w:r>
            <w:r>
              <w:rPr>
                <w:rFonts w:ascii="宋体" w:eastAsia="宋体" w:hAnsi="宋体" w:cs="宋体" w:hint="eastAsia"/>
                <w:kern w:val="0"/>
                <w:szCs w:val="21"/>
              </w:rPr>
              <w:t>/</w:t>
            </w:r>
            <w:r>
              <w:rPr>
                <w:rFonts w:ascii="宋体" w:eastAsia="宋体" w:hAnsi="宋体" w:cs="宋体" w:hint="eastAsia"/>
                <w:kern w:val="0"/>
                <w:szCs w:val="21"/>
              </w:rPr>
              <w:t>预算数）×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预算调整数：部门在本年度内涉及预算的追加、追减或结构调整的资金总和（因落实国家政策、发生不可抗力、上级部门或本级党委政府临时交办而产生的调整除外）。</w:t>
            </w:r>
          </w:p>
        </w:tc>
      </w:tr>
      <w:tr w:rsidR="001C33F3">
        <w:trPr>
          <w:trHeight w:val="2531"/>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支付</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进度率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部门实际支付进度与既定支付进度的比率，用以反映和考核部门预算执行的及时性和均衡性程度。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支付进度率</w:t>
            </w:r>
            <w:r>
              <w:rPr>
                <w:rFonts w:ascii="宋体" w:eastAsia="宋体" w:hAnsi="宋体" w:cs="宋体" w:hint="eastAsia"/>
                <w:kern w:val="0"/>
                <w:szCs w:val="21"/>
              </w:rPr>
              <w:t>=</w:t>
            </w:r>
            <w:r>
              <w:rPr>
                <w:rFonts w:ascii="宋体" w:eastAsia="宋体" w:hAnsi="宋体" w:cs="宋体" w:hint="eastAsia"/>
                <w:kern w:val="0"/>
                <w:szCs w:val="21"/>
              </w:rPr>
              <w:t>（实际支付进度</w:t>
            </w:r>
            <w:r>
              <w:rPr>
                <w:rFonts w:ascii="宋体" w:eastAsia="宋体" w:hAnsi="宋体" w:cs="宋体" w:hint="eastAsia"/>
                <w:kern w:val="0"/>
                <w:szCs w:val="21"/>
              </w:rPr>
              <w:t>/</w:t>
            </w:r>
            <w:r>
              <w:rPr>
                <w:rFonts w:ascii="宋体" w:eastAsia="宋体" w:hAnsi="宋体" w:cs="宋体" w:hint="eastAsia"/>
                <w:kern w:val="0"/>
                <w:szCs w:val="21"/>
              </w:rPr>
              <w:t>既定支付进度）×</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实际支付进度：部门在某一时点的支出预算执行总数与年度支出预算数的比率。</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既定支付进度：由部门在申报部门整体绩效目标时，参照序时支付进度、前三年支付进度、本级部门平均支付进度水平等确定的，在某一时点应达到的支付进度（比率）。</w:t>
            </w:r>
          </w:p>
        </w:tc>
      </w:tr>
      <w:tr w:rsidR="001C33F3">
        <w:trPr>
          <w:trHeight w:val="1209"/>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结转</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结余率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firstLine="105"/>
              <w:jc w:val="left"/>
              <w:rPr>
                <w:rFonts w:ascii="宋体" w:eastAsia="宋体" w:hAnsi="宋体" w:cs="宋体"/>
                <w:kern w:val="0"/>
                <w:sz w:val="24"/>
                <w:szCs w:val="24"/>
              </w:rPr>
            </w:pPr>
            <w:r>
              <w:rPr>
                <w:rFonts w:ascii="宋体" w:eastAsia="宋体" w:hAnsi="宋体" w:cs="宋体" w:hint="eastAsia"/>
                <w:kern w:val="0"/>
                <w:szCs w:val="21"/>
              </w:rPr>
              <w:t> 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部门本年度结转结余总额与支出预算数的比率，用以反映和考核部门对本年度结转结余资金的实际控制程度。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结转结余率</w:t>
            </w:r>
            <w:r>
              <w:rPr>
                <w:rFonts w:ascii="宋体" w:eastAsia="宋体" w:hAnsi="宋体" w:cs="宋体" w:hint="eastAsia"/>
                <w:kern w:val="0"/>
                <w:szCs w:val="21"/>
              </w:rPr>
              <w:t>=</w:t>
            </w:r>
            <w:r>
              <w:rPr>
                <w:rFonts w:ascii="宋体" w:eastAsia="宋体" w:hAnsi="宋体" w:cs="宋体" w:hint="eastAsia"/>
                <w:kern w:val="0"/>
                <w:szCs w:val="21"/>
              </w:rPr>
              <w:t>结转结余总额</w:t>
            </w:r>
            <w:r>
              <w:rPr>
                <w:rFonts w:ascii="宋体" w:eastAsia="宋体" w:hAnsi="宋体" w:cs="宋体" w:hint="eastAsia"/>
                <w:kern w:val="0"/>
                <w:szCs w:val="21"/>
              </w:rPr>
              <w:t>/</w:t>
            </w:r>
            <w:r>
              <w:rPr>
                <w:rFonts w:ascii="宋体" w:eastAsia="宋体" w:hAnsi="宋体" w:cs="宋体" w:hint="eastAsia"/>
                <w:kern w:val="0"/>
                <w:szCs w:val="21"/>
              </w:rPr>
              <w:t>支出预算数×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结转结余总额：部门本年度的结转资金与结余资金之和（以决算数为准）。</w:t>
            </w:r>
          </w:p>
        </w:tc>
      </w:tr>
      <w:tr w:rsidR="001C33F3">
        <w:trPr>
          <w:trHeight w:val="1113"/>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结转结余</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变动率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部门本年度结转结余资金总额与上年度结转结余资金总额的变动比率，用以反映和考核部门对控制结转结余资金的努力程度。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结转结余变动率</w:t>
            </w:r>
            <w:r>
              <w:rPr>
                <w:rFonts w:ascii="宋体" w:eastAsia="宋体" w:hAnsi="宋体" w:cs="宋体" w:hint="eastAsia"/>
                <w:kern w:val="0"/>
                <w:szCs w:val="21"/>
              </w:rPr>
              <w:t>=[</w:t>
            </w:r>
            <w:r>
              <w:rPr>
                <w:rFonts w:ascii="宋体" w:eastAsia="宋体" w:hAnsi="宋体" w:cs="宋体" w:hint="eastAsia"/>
                <w:kern w:val="0"/>
                <w:szCs w:val="21"/>
              </w:rPr>
              <w:t>（本年度累计结转结余资金总额</w:t>
            </w:r>
            <w:r>
              <w:rPr>
                <w:rFonts w:ascii="宋体" w:eastAsia="宋体" w:hAnsi="宋体" w:cs="宋体" w:hint="eastAsia"/>
                <w:kern w:val="0"/>
                <w:szCs w:val="21"/>
              </w:rPr>
              <w:t>-</w:t>
            </w:r>
            <w:r>
              <w:rPr>
                <w:rFonts w:ascii="宋体" w:eastAsia="宋体" w:hAnsi="宋体" w:cs="宋体" w:hint="eastAsia"/>
                <w:kern w:val="0"/>
                <w:szCs w:val="21"/>
              </w:rPr>
              <w:t>上年度累计结转结余资金总额）</w:t>
            </w:r>
            <w:r>
              <w:rPr>
                <w:rFonts w:ascii="宋体" w:eastAsia="宋体" w:hAnsi="宋体" w:cs="宋体" w:hint="eastAsia"/>
                <w:kern w:val="0"/>
                <w:szCs w:val="21"/>
              </w:rPr>
              <w:t>/</w:t>
            </w:r>
            <w:r>
              <w:rPr>
                <w:rFonts w:ascii="宋体" w:eastAsia="宋体" w:hAnsi="宋体" w:cs="宋体" w:hint="eastAsia"/>
                <w:kern w:val="0"/>
                <w:szCs w:val="21"/>
              </w:rPr>
              <w:t>上年度累计结转结余资金总额</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w:t>
            </w:r>
          </w:p>
        </w:tc>
      </w:tr>
      <w:tr w:rsidR="001C33F3" w:rsidTr="00C64198">
        <w:trPr>
          <w:trHeight w:val="1315"/>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公用经费</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控制率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部门本年度实际支出的公用经费总额与预算安排的公用经费总额的比率，用以反映和考核部门对机构运转成本的实际控制程度。</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公用经费控制率</w:t>
            </w:r>
            <w:r>
              <w:rPr>
                <w:rFonts w:ascii="宋体" w:eastAsia="宋体" w:hAnsi="宋体" w:cs="宋体" w:hint="eastAsia"/>
                <w:kern w:val="0"/>
                <w:szCs w:val="21"/>
              </w:rPr>
              <w:t>=</w:t>
            </w:r>
            <w:r>
              <w:rPr>
                <w:rFonts w:ascii="宋体" w:eastAsia="宋体" w:hAnsi="宋体" w:cs="宋体" w:hint="eastAsia"/>
                <w:kern w:val="0"/>
                <w:szCs w:val="21"/>
              </w:rPr>
              <w:t>（实际支出公用经费总额</w:t>
            </w:r>
            <w:r>
              <w:rPr>
                <w:rFonts w:ascii="宋体" w:eastAsia="宋体" w:hAnsi="宋体" w:cs="宋体" w:hint="eastAsia"/>
                <w:kern w:val="0"/>
                <w:szCs w:val="21"/>
              </w:rPr>
              <w:t>/</w:t>
            </w:r>
            <w:r>
              <w:rPr>
                <w:rFonts w:ascii="宋体" w:eastAsia="宋体" w:hAnsi="宋体" w:cs="宋体" w:hint="eastAsia"/>
                <w:kern w:val="0"/>
                <w:szCs w:val="21"/>
              </w:rPr>
              <w:t>预算安排公用经费总额）×</w:t>
            </w:r>
            <w:r>
              <w:rPr>
                <w:rFonts w:ascii="宋体" w:eastAsia="宋体" w:hAnsi="宋体" w:cs="宋体" w:hint="eastAsia"/>
                <w:kern w:val="0"/>
                <w:szCs w:val="21"/>
              </w:rPr>
              <w:t>100%</w:t>
            </w:r>
            <w:r>
              <w:rPr>
                <w:rFonts w:ascii="宋体" w:eastAsia="宋体" w:hAnsi="宋体" w:cs="宋体" w:hint="eastAsia"/>
                <w:kern w:val="0"/>
                <w:szCs w:val="21"/>
              </w:rPr>
              <w:t>。</w:t>
            </w:r>
          </w:p>
        </w:tc>
      </w:tr>
      <w:tr w:rsidR="001C33F3" w:rsidTr="00C64198">
        <w:trPr>
          <w:trHeight w:val="1018"/>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“三公经费”控制率（</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部门本年度“三公经费”实际支出数与预算安排数的比率，用以反映和考核部门对“三公经费”的实际控制程度。</w:t>
            </w:r>
          </w:p>
        </w:tc>
        <w:tc>
          <w:tcPr>
            <w:tcW w:w="413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“三公经费”控制率</w:t>
            </w:r>
            <w:r>
              <w:rPr>
                <w:rFonts w:ascii="宋体" w:eastAsia="宋体" w:hAnsi="宋体" w:cs="宋体" w:hint="eastAsia"/>
                <w:kern w:val="0"/>
                <w:szCs w:val="21"/>
              </w:rPr>
              <w:t>=</w:t>
            </w:r>
            <w:r>
              <w:rPr>
                <w:rFonts w:ascii="宋体" w:eastAsia="宋体" w:hAnsi="宋体" w:cs="宋体" w:hint="eastAsia"/>
                <w:kern w:val="0"/>
                <w:szCs w:val="21"/>
              </w:rPr>
              <w:t>（“三公经费”实际支出数</w:t>
            </w:r>
            <w:r>
              <w:rPr>
                <w:rFonts w:ascii="宋体" w:eastAsia="宋体" w:hAnsi="宋体" w:cs="宋体" w:hint="eastAsia"/>
                <w:kern w:val="0"/>
                <w:szCs w:val="21"/>
              </w:rPr>
              <w:t>/</w:t>
            </w:r>
            <w:r>
              <w:rPr>
                <w:rFonts w:ascii="宋体" w:eastAsia="宋体" w:hAnsi="宋体" w:cs="宋体" w:hint="eastAsia"/>
                <w:kern w:val="0"/>
                <w:szCs w:val="21"/>
              </w:rPr>
              <w:t>“三公经费”预算安排数）×</w:t>
            </w:r>
            <w:r>
              <w:rPr>
                <w:rFonts w:ascii="宋体" w:eastAsia="宋体" w:hAnsi="宋体" w:cs="宋体" w:hint="eastAsia"/>
                <w:kern w:val="0"/>
                <w:szCs w:val="21"/>
              </w:rPr>
              <w:t>100%</w:t>
            </w:r>
            <w:r>
              <w:rPr>
                <w:rFonts w:ascii="宋体" w:eastAsia="宋体" w:hAnsi="宋体" w:cs="宋体" w:hint="eastAsia"/>
                <w:kern w:val="0"/>
                <w:szCs w:val="21"/>
              </w:rPr>
              <w:t>。</w:t>
            </w:r>
          </w:p>
        </w:tc>
      </w:tr>
      <w:tr w:rsidR="001C33F3" w:rsidTr="00C64198">
        <w:trPr>
          <w:trHeight w:val="1320"/>
          <w:jc w:val="center"/>
        </w:trPr>
        <w:tc>
          <w:tcPr>
            <w:tcW w:w="567" w:type="dxa"/>
            <w:vMerge/>
            <w:tcBorders>
              <w:top w:val="nil"/>
              <w:left w:val="single" w:sz="4" w:space="0" w:color="auto"/>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政府采购</w:t>
            </w:r>
          </w:p>
          <w:p w:rsidR="001C33F3" w:rsidRDefault="00436A1D">
            <w:pPr>
              <w:widowControl/>
              <w:spacing w:line="240" w:lineRule="atLeast"/>
              <w:jc w:val="left"/>
              <w:rPr>
                <w:rFonts w:ascii="宋体" w:eastAsia="宋体" w:hAnsi="宋体" w:cs="宋体"/>
                <w:kern w:val="0"/>
                <w:szCs w:val="21"/>
              </w:rPr>
            </w:pPr>
            <w:r>
              <w:rPr>
                <w:rFonts w:ascii="宋体" w:eastAsia="宋体" w:hAnsi="宋体" w:cs="宋体" w:hint="eastAsia"/>
                <w:kern w:val="0"/>
                <w:szCs w:val="21"/>
              </w:rPr>
              <w:t>执行率</w:t>
            </w:r>
          </w:p>
          <w:p w:rsidR="001C33F3" w:rsidRDefault="00436A1D">
            <w:pPr>
              <w:widowControl/>
              <w:spacing w:line="240" w:lineRule="atLeast"/>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分）</w:t>
            </w:r>
          </w:p>
        </w:tc>
        <w:tc>
          <w:tcPr>
            <w:tcW w:w="771" w:type="dxa"/>
            <w:tcBorders>
              <w:top w:val="single" w:sz="4" w:space="0" w:color="auto"/>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 w:val="24"/>
                <w:szCs w:val="24"/>
              </w:rPr>
              <w:t>3</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tc>
        <w:tc>
          <w:tcPr>
            <w:tcW w:w="3097"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部门本年度实际政府采购金额与年初政府采购预算的比率，用以反映和考核部门政府采购预算执行情况。</w:t>
            </w:r>
          </w:p>
        </w:tc>
        <w:tc>
          <w:tcPr>
            <w:tcW w:w="4136"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政府采购执行率</w:t>
            </w:r>
            <w:r>
              <w:rPr>
                <w:rFonts w:ascii="宋体" w:eastAsia="宋体" w:hAnsi="宋体" w:cs="宋体" w:hint="eastAsia"/>
                <w:kern w:val="0"/>
                <w:szCs w:val="21"/>
              </w:rPr>
              <w:t>=</w:t>
            </w:r>
            <w:r>
              <w:rPr>
                <w:rFonts w:ascii="宋体" w:eastAsia="宋体" w:hAnsi="宋体" w:cs="宋体" w:hint="eastAsia"/>
                <w:kern w:val="0"/>
                <w:szCs w:val="21"/>
              </w:rPr>
              <w:t>（实际政府采购金额</w:t>
            </w:r>
            <w:r>
              <w:rPr>
                <w:rFonts w:ascii="宋体" w:eastAsia="宋体" w:hAnsi="宋体" w:cs="宋体" w:hint="eastAsia"/>
                <w:kern w:val="0"/>
                <w:szCs w:val="21"/>
              </w:rPr>
              <w:t>/</w:t>
            </w:r>
            <w:r>
              <w:rPr>
                <w:rFonts w:ascii="宋体" w:eastAsia="宋体" w:hAnsi="宋体" w:cs="宋体" w:hint="eastAsia"/>
                <w:kern w:val="0"/>
                <w:szCs w:val="21"/>
              </w:rPr>
              <w:t>政府采购预算数）×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政府采购预算：采购机关根据事业发展计划和行政任务编制的、并经过规定程序批准的年度政府采购计划。</w:t>
            </w:r>
            <w:r>
              <w:rPr>
                <w:rFonts w:ascii="宋体" w:eastAsia="宋体" w:hAnsi="宋体" w:cs="宋体" w:hint="eastAsia"/>
                <w:kern w:val="0"/>
                <w:szCs w:val="21"/>
              </w:rPr>
              <w:t> </w:t>
            </w:r>
          </w:p>
        </w:tc>
      </w:tr>
      <w:tr w:rsidR="001C33F3">
        <w:trPr>
          <w:trHeight w:val="2029"/>
          <w:jc w:val="center"/>
        </w:trPr>
        <w:tc>
          <w:tcPr>
            <w:tcW w:w="567" w:type="dxa"/>
            <w:vMerge w:val="restart"/>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lastRenderedPageBreak/>
              <w:t>过程（</w:t>
            </w:r>
            <w:r>
              <w:rPr>
                <w:rFonts w:ascii="宋体" w:eastAsia="宋体" w:hAnsi="宋体" w:cs="宋体" w:hint="eastAsia"/>
                <w:kern w:val="0"/>
                <w:szCs w:val="21"/>
              </w:rPr>
              <w:t>30</w:t>
            </w:r>
            <w:r>
              <w:rPr>
                <w:rFonts w:ascii="宋体" w:eastAsia="宋体" w:hAnsi="宋体" w:cs="宋体" w:hint="eastAsia"/>
                <w:kern w:val="0"/>
                <w:szCs w:val="21"/>
              </w:rPr>
              <w:t>分）</w:t>
            </w:r>
          </w:p>
        </w:tc>
        <w:tc>
          <w:tcPr>
            <w:tcW w:w="1166" w:type="dxa"/>
            <w:vMerge w:val="restart"/>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预算</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管理</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分）</w:t>
            </w:r>
          </w:p>
          <w:p w:rsidR="001C33F3" w:rsidRDefault="001C33F3">
            <w:pPr>
              <w:widowControl/>
              <w:spacing w:line="240" w:lineRule="atLeast"/>
              <w:jc w:val="center"/>
              <w:rPr>
                <w:rFonts w:ascii="宋体" w:eastAsia="宋体" w:hAnsi="宋体" w:cs="宋体"/>
                <w:kern w:val="0"/>
                <w:sz w:val="24"/>
                <w:szCs w:val="24"/>
              </w:rPr>
            </w:pPr>
          </w:p>
        </w:tc>
        <w:tc>
          <w:tcPr>
            <w:tcW w:w="944"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管理制度</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健全性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single" w:sz="4" w:space="0" w:color="auto"/>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3097"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部门为加强预算管理、规范财务行为而制定的管理制度是否健全完整，用以反映和考核部门预算管理制度对完成主要职责或促进事业发展的保障情况。</w:t>
            </w:r>
          </w:p>
        </w:tc>
        <w:tc>
          <w:tcPr>
            <w:tcW w:w="413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①是否已制定或具有预算资金管理办法、内部财务管理制度、会计核算制度等管理制度；</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②相关管理制度是否合法、合规、完整；</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③相关管理制度是否得到有效执行。</w:t>
            </w:r>
          </w:p>
        </w:tc>
      </w:tr>
      <w:tr w:rsidR="001C33F3">
        <w:trPr>
          <w:trHeight w:val="2537"/>
          <w:jc w:val="center"/>
        </w:trPr>
        <w:tc>
          <w:tcPr>
            <w:tcW w:w="567" w:type="dxa"/>
            <w:vMerge/>
            <w:tcBorders>
              <w:top w:val="single" w:sz="4" w:space="0" w:color="auto"/>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资金使用</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合规性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部门使用预算资金是否符合相关的预算财务管理制度的规定，用以反映和考核部门预算资金的规范运行情况。</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①是否符合国家财经法规和财务管理制度规定以及有关预算支出管理办法的规定；</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②资金的拨付是否有完整的审批程序和手续；</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③预算支出的重大开支是否经过评估论证；</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④是否符合部门预算批复的用途；</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⑤是否存在截留、挤占、挪用、虚列支出等情况。</w:t>
            </w:r>
          </w:p>
        </w:tc>
      </w:tr>
      <w:tr w:rsidR="001C33F3">
        <w:trPr>
          <w:trHeight w:val="1272"/>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预决算信</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息公开性（</w:t>
            </w:r>
            <w:r>
              <w:rPr>
                <w:rFonts w:ascii="宋体" w:eastAsia="宋体" w:hAnsi="宋体" w:cs="宋体" w:hint="eastAsia"/>
                <w:kern w:val="0"/>
                <w:szCs w:val="21"/>
              </w:rPr>
              <w:t>1</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部门是否按照政府信息公开有关规定公开相关预决算信息，用以反映和考核部门预决算管理的公开透明情况。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①是否按规定内容公开预决算信息；</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②是否按规定时限公开预决算信息。</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预决算信息是指与部门预算、执行、决算、监督、绩效等管理相关的信息。</w:t>
            </w:r>
          </w:p>
        </w:tc>
      </w:tr>
      <w:tr w:rsidR="001C33F3">
        <w:trPr>
          <w:trHeight w:val="1737"/>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基础信息</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完善性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部门基础信息是否完善，用以反映和考核基础信息对预算管理工作的支撑情况。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①基础数据信息和会计信息资料是否真实；</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②基础数据信息和会计信息资料是否完整；</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③基础数据信息和会计信息资料是否准确。</w:t>
            </w:r>
          </w:p>
        </w:tc>
      </w:tr>
      <w:tr w:rsidR="001C33F3" w:rsidTr="00C64198">
        <w:trPr>
          <w:trHeight w:val="1927"/>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资产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管理（</w:t>
            </w:r>
            <w:r>
              <w:rPr>
                <w:rFonts w:ascii="宋体" w:eastAsia="宋体" w:hAnsi="宋体" w:cs="宋体" w:hint="eastAsia"/>
                <w:kern w:val="0"/>
                <w:szCs w:val="21"/>
              </w:rPr>
              <w:t>5</w:t>
            </w:r>
            <w:r>
              <w:rPr>
                <w:rFonts w:ascii="宋体" w:eastAsia="宋体" w:hAnsi="宋体" w:cs="宋体" w:hint="eastAsia"/>
                <w:kern w:val="0"/>
                <w:szCs w:val="21"/>
              </w:rPr>
              <w:t>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管理制度</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健全性</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部门为加强资产管理、规范资产管理行为而制定的管理制度是否健全完整，用以反映和考核部门资产管理制度对完成主要职责或促进社会发展的保障情况。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①是否已制定或具有资产管理制度；</w:t>
            </w:r>
            <w:r>
              <w:rPr>
                <w:rFonts w:ascii="宋体" w:eastAsia="宋体" w:hAnsi="宋体" w:cs="宋体" w:hint="eastAsia"/>
                <w:kern w:val="0"/>
                <w:szCs w:val="21"/>
              </w:rPr>
              <w:t>           </w:t>
            </w:r>
            <w:r>
              <w:rPr>
                <w:rFonts w:ascii="宋体" w:eastAsia="宋体" w:hAnsi="宋体" w:cs="宋体" w:hint="eastAsia"/>
                <w:kern w:val="0"/>
                <w:szCs w:val="21"/>
              </w:rPr>
              <w:t>②相关资金管理制度是否合法、合规、完整；</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③相关资产管理制度是否得到有效执行。</w:t>
            </w:r>
          </w:p>
        </w:tc>
      </w:tr>
      <w:tr w:rsidR="001C33F3">
        <w:trPr>
          <w:trHeight w:val="1887"/>
          <w:jc w:val="center"/>
        </w:trPr>
        <w:tc>
          <w:tcPr>
            <w:tcW w:w="567" w:type="dxa"/>
            <w:vMerge/>
            <w:tcBorders>
              <w:top w:val="nil"/>
              <w:left w:val="single" w:sz="4"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left"/>
              <w:rPr>
                <w:rFonts w:ascii="宋体" w:eastAsia="宋体" w:hAnsi="宋体" w:cs="宋体"/>
                <w:kern w:val="0"/>
                <w:sz w:val="24"/>
                <w:szCs w:val="24"/>
              </w:rPr>
            </w:pPr>
            <w:r>
              <w:rPr>
                <w:rFonts w:ascii="宋体" w:eastAsia="宋体" w:hAnsi="宋体" w:cs="宋体" w:hint="eastAsia"/>
                <w:kern w:val="0"/>
                <w:szCs w:val="21"/>
              </w:rPr>
              <w:t>资产管理</w:t>
            </w:r>
          </w:p>
          <w:p w:rsidR="001C33F3" w:rsidRDefault="00436A1D">
            <w:pPr>
              <w:widowControl/>
              <w:spacing w:line="240" w:lineRule="atLeast"/>
              <w:jc w:val="left"/>
              <w:rPr>
                <w:rFonts w:ascii="宋体" w:eastAsia="宋体" w:hAnsi="宋体" w:cs="宋体"/>
                <w:kern w:val="0"/>
                <w:szCs w:val="21"/>
              </w:rPr>
            </w:pPr>
            <w:r>
              <w:rPr>
                <w:rFonts w:ascii="宋体" w:eastAsia="宋体" w:hAnsi="宋体" w:cs="宋体" w:hint="eastAsia"/>
                <w:kern w:val="0"/>
                <w:szCs w:val="21"/>
              </w:rPr>
              <w:t>安全性</w:t>
            </w:r>
          </w:p>
          <w:p w:rsidR="001C33F3" w:rsidRDefault="00436A1D">
            <w:pPr>
              <w:widowControl/>
              <w:spacing w:line="240" w:lineRule="atLeast"/>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部门的资产是否保存完整、使用合规、配置合理、处置规范、收入及时足额上缴，用以反映和考核部门资产安全运行情况。</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评价要点：</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①资产保存是否完整；</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②资产配置是否合理；</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③资产处置是否规范；</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④资产账务管理是否合规，是否帐实相符；</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⑤资产是否有偿使用及处置收入及时足额上缴。</w:t>
            </w:r>
          </w:p>
        </w:tc>
      </w:tr>
      <w:tr w:rsidR="001C33F3">
        <w:trPr>
          <w:trHeight w:val="895"/>
          <w:jc w:val="center"/>
        </w:trPr>
        <w:tc>
          <w:tcPr>
            <w:tcW w:w="567" w:type="dxa"/>
            <w:vMerge/>
            <w:tcBorders>
              <w:top w:val="nil"/>
              <w:left w:val="single" w:sz="4" w:space="0" w:color="auto"/>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nil"/>
              <w:left w:val="nil"/>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固定资产</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利用率</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部门实际在用固定资产总额与所有固定资产总额的比率，用以反映和考核部门固定资产使用效率程度。</w:t>
            </w:r>
          </w:p>
        </w:tc>
        <w:tc>
          <w:tcPr>
            <w:tcW w:w="4136" w:type="dxa"/>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固定资产利用率</w:t>
            </w:r>
            <w:r>
              <w:rPr>
                <w:rFonts w:ascii="宋体" w:eastAsia="宋体" w:hAnsi="宋体" w:cs="宋体" w:hint="eastAsia"/>
                <w:kern w:val="0"/>
                <w:szCs w:val="21"/>
              </w:rPr>
              <w:t>=</w:t>
            </w:r>
            <w:r>
              <w:rPr>
                <w:rFonts w:ascii="宋体" w:eastAsia="宋体" w:hAnsi="宋体" w:cs="宋体" w:hint="eastAsia"/>
                <w:kern w:val="0"/>
                <w:szCs w:val="21"/>
              </w:rPr>
              <w:t>（实际在用固定资产总额</w:t>
            </w:r>
            <w:r>
              <w:rPr>
                <w:rFonts w:ascii="宋体" w:eastAsia="宋体" w:hAnsi="宋体" w:cs="宋体" w:hint="eastAsia"/>
                <w:kern w:val="0"/>
                <w:szCs w:val="21"/>
              </w:rPr>
              <w:t>/</w:t>
            </w:r>
            <w:r>
              <w:rPr>
                <w:rFonts w:ascii="宋体" w:eastAsia="宋体" w:hAnsi="宋体" w:cs="宋体" w:hint="eastAsia"/>
                <w:kern w:val="0"/>
                <w:szCs w:val="21"/>
              </w:rPr>
              <w:t>所有固定资产总额）×</w:t>
            </w:r>
            <w:r>
              <w:rPr>
                <w:rFonts w:ascii="宋体" w:eastAsia="宋体" w:hAnsi="宋体" w:cs="宋体" w:hint="eastAsia"/>
                <w:kern w:val="0"/>
                <w:szCs w:val="21"/>
              </w:rPr>
              <w:t>100%</w:t>
            </w:r>
            <w:r>
              <w:rPr>
                <w:rFonts w:ascii="宋体" w:eastAsia="宋体" w:hAnsi="宋体" w:cs="宋体" w:hint="eastAsia"/>
                <w:kern w:val="0"/>
                <w:szCs w:val="21"/>
              </w:rPr>
              <w:t>。</w:t>
            </w:r>
          </w:p>
        </w:tc>
      </w:tr>
      <w:tr w:rsidR="001C33F3">
        <w:trPr>
          <w:trHeight w:val="2338"/>
          <w:jc w:val="center"/>
        </w:trPr>
        <w:tc>
          <w:tcPr>
            <w:tcW w:w="56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lastRenderedPageBreak/>
              <w:t>产出</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30</w:t>
            </w:r>
            <w:r>
              <w:rPr>
                <w:rFonts w:ascii="宋体" w:eastAsia="宋体" w:hAnsi="宋体" w:cs="宋体" w:hint="eastAsia"/>
                <w:kern w:val="0"/>
                <w:szCs w:val="21"/>
              </w:rPr>
              <w:t>分）</w:t>
            </w:r>
          </w:p>
        </w:tc>
        <w:tc>
          <w:tcPr>
            <w:tcW w:w="1166"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职责</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履行</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30</w:t>
            </w:r>
            <w:r>
              <w:rPr>
                <w:rFonts w:ascii="宋体" w:eastAsia="宋体" w:hAnsi="宋体" w:cs="宋体" w:hint="eastAsia"/>
                <w:kern w:val="0"/>
                <w:szCs w:val="21"/>
              </w:rPr>
              <w:t>分）</w:t>
            </w:r>
          </w:p>
        </w:tc>
        <w:tc>
          <w:tcPr>
            <w:tcW w:w="944" w:type="dxa"/>
            <w:tcBorders>
              <w:top w:val="single" w:sz="4" w:space="0" w:color="auto"/>
              <w:left w:val="single" w:sz="4" w:space="0" w:color="auto"/>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实际</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完成率（</w:t>
            </w:r>
            <w:r>
              <w:rPr>
                <w:rFonts w:ascii="宋体" w:eastAsia="宋体" w:hAnsi="宋体" w:cs="宋体" w:hint="eastAsia"/>
                <w:kern w:val="0"/>
                <w:szCs w:val="21"/>
              </w:rPr>
              <w:t>8</w:t>
            </w:r>
            <w:r>
              <w:rPr>
                <w:rFonts w:ascii="宋体" w:eastAsia="宋体" w:hAnsi="宋体" w:cs="宋体" w:hint="eastAsia"/>
                <w:kern w:val="0"/>
                <w:szCs w:val="21"/>
              </w:rPr>
              <w:t>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8</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部门履行职责而实际完成工作数与计划工作数的比率，用以反映和考核部门履职工作任务目标的实现程度。</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实际完成率</w:t>
            </w:r>
            <w:r>
              <w:rPr>
                <w:rFonts w:ascii="宋体" w:eastAsia="宋体" w:hAnsi="宋体" w:cs="宋体" w:hint="eastAsia"/>
                <w:kern w:val="0"/>
                <w:szCs w:val="21"/>
              </w:rPr>
              <w:t>=</w:t>
            </w:r>
            <w:r>
              <w:rPr>
                <w:rFonts w:ascii="宋体" w:eastAsia="宋体" w:hAnsi="宋体" w:cs="宋体" w:hint="eastAsia"/>
                <w:kern w:val="0"/>
                <w:szCs w:val="21"/>
              </w:rPr>
              <w:t>（实际完成工作数</w:t>
            </w:r>
            <w:r>
              <w:rPr>
                <w:rFonts w:ascii="宋体" w:eastAsia="宋体" w:hAnsi="宋体" w:cs="宋体" w:hint="eastAsia"/>
                <w:kern w:val="0"/>
                <w:szCs w:val="21"/>
              </w:rPr>
              <w:t>/</w:t>
            </w:r>
            <w:r>
              <w:rPr>
                <w:rFonts w:ascii="宋体" w:eastAsia="宋体" w:hAnsi="宋体" w:cs="宋体" w:hint="eastAsia"/>
                <w:kern w:val="0"/>
                <w:szCs w:val="21"/>
              </w:rPr>
              <w:t>计划工作数）×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实际完成工作数：一定时期（年度或规划期）内部门实际完成工作任务的数量。</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计划工作数：部门整体绩效目标确定的一定时期（年度或规划期）内预计完成工作任务的数量。</w:t>
            </w:r>
          </w:p>
        </w:tc>
      </w:tr>
      <w:tr w:rsidR="001C33F3">
        <w:trPr>
          <w:trHeight w:val="139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完成</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及时率（</w:t>
            </w:r>
            <w:r>
              <w:rPr>
                <w:rFonts w:ascii="宋体" w:eastAsia="宋体" w:hAnsi="宋体" w:cs="宋体" w:hint="eastAsia"/>
                <w:kern w:val="0"/>
                <w:szCs w:val="21"/>
              </w:rPr>
              <w:t>4</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4</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部门在规定时限内及时完成的实际工作数与计划工作数的比率</w:t>
            </w:r>
            <w:r>
              <w:rPr>
                <w:rFonts w:ascii="宋体" w:eastAsia="宋体" w:hAnsi="宋体" w:cs="宋体" w:hint="eastAsia"/>
                <w:kern w:val="0"/>
                <w:szCs w:val="21"/>
              </w:rPr>
              <w:t>,</w:t>
            </w:r>
            <w:r>
              <w:rPr>
                <w:rFonts w:ascii="宋体" w:eastAsia="宋体" w:hAnsi="宋体" w:cs="宋体" w:hint="eastAsia"/>
                <w:kern w:val="0"/>
                <w:szCs w:val="21"/>
              </w:rPr>
              <w:t>用以反映和考核部门履职时效目标的实现程度。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完成及时率</w:t>
            </w:r>
            <w:r>
              <w:rPr>
                <w:rFonts w:ascii="宋体" w:eastAsia="宋体" w:hAnsi="宋体" w:cs="宋体" w:hint="eastAsia"/>
                <w:kern w:val="0"/>
                <w:szCs w:val="21"/>
              </w:rPr>
              <w:t>=</w:t>
            </w:r>
            <w:r>
              <w:rPr>
                <w:rFonts w:ascii="宋体" w:eastAsia="宋体" w:hAnsi="宋体" w:cs="宋体" w:hint="eastAsia"/>
                <w:kern w:val="0"/>
                <w:szCs w:val="21"/>
              </w:rPr>
              <w:t>（及时完成实际工作数</w:t>
            </w:r>
            <w:r>
              <w:rPr>
                <w:rFonts w:ascii="宋体" w:eastAsia="宋体" w:hAnsi="宋体" w:cs="宋体" w:hint="eastAsia"/>
                <w:kern w:val="0"/>
                <w:szCs w:val="21"/>
              </w:rPr>
              <w:t>/</w:t>
            </w:r>
            <w:r>
              <w:rPr>
                <w:rFonts w:ascii="宋体" w:eastAsia="宋体" w:hAnsi="宋体" w:cs="宋体" w:hint="eastAsia"/>
                <w:kern w:val="0"/>
                <w:szCs w:val="21"/>
              </w:rPr>
              <w:t>计划工作数）×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及时完成实际工作数：部门按照整体绩效目标确定的时限实际完成的工作任务数量。</w:t>
            </w:r>
          </w:p>
        </w:tc>
      </w:tr>
      <w:tr w:rsidR="001C33F3">
        <w:trPr>
          <w:trHeight w:val="167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质量</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达标率（</w:t>
            </w:r>
            <w:r>
              <w:rPr>
                <w:rFonts w:ascii="宋体" w:eastAsia="宋体" w:hAnsi="宋体" w:cs="宋体" w:hint="eastAsia"/>
                <w:kern w:val="0"/>
                <w:szCs w:val="21"/>
              </w:rPr>
              <w:t>8</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8</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达到质量标准（绩效标准值）的实际工作数与计划工作数的比率</w:t>
            </w:r>
            <w:r>
              <w:rPr>
                <w:rFonts w:ascii="宋体" w:eastAsia="宋体" w:hAnsi="宋体" w:cs="宋体" w:hint="eastAsia"/>
                <w:kern w:val="0"/>
                <w:szCs w:val="21"/>
              </w:rPr>
              <w:t>,</w:t>
            </w:r>
            <w:r>
              <w:rPr>
                <w:rFonts w:ascii="宋体" w:eastAsia="宋体" w:hAnsi="宋体" w:cs="宋体" w:hint="eastAsia"/>
                <w:kern w:val="0"/>
                <w:szCs w:val="21"/>
              </w:rPr>
              <w:t>用以反映和考核部门履职质量目标的实现程度。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质量达标率</w:t>
            </w:r>
            <w:r>
              <w:rPr>
                <w:rFonts w:ascii="宋体" w:eastAsia="宋体" w:hAnsi="宋体" w:cs="宋体" w:hint="eastAsia"/>
                <w:kern w:val="0"/>
                <w:szCs w:val="21"/>
              </w:rPr>
              <w:t>=</w:t>
            </w:r>
            <w:r>
              <w:rPr>
                <w:rFonts w:ascii="宋体" w:eastAsia="宋体" w:hAnsi="宋体" w:cs="宋体" w:hint="eastAsia"/>
                <w:kern w:val="0"/>
                <w:szCs w:val="21"/>
              </w:rPr>
              <w:t>（质量达标实际工作数</w:t>
            </w:r>
            <w:r>
              <w:rPr>
                <w:rFonts w:ascii="宋体" w:eastAsia="宋体" w:hAnsi="宋体" w:cs="宋体" w:hint="eastAsia"/>
                <w:kern w:val="0"/>
                <w:szCs w:val="21"/>
              </w:rPr>
              <w:t>/</w:t>
            </w:r>
            <w:r>
              <w:rPr>
                <w:rFonts w:ascii="宋体" w:eastAsia="宋体" w:hAnsi="宋体" w:cs="宋体" w:hint="eastAsia"/>
                <w:kern w:val="0"/>
                <w:szCs w:val="21"/>
              </w:rPr>
              <w:t>计划工作数）×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质量达标实际工作数：一定时期（年度或规划期）内部门实际完成工作数中达到部门绩效目标要求（绩效标准值）的工作任务数量。</w:t>
            </w:r>
          </w:p>
        </w:tc>
      </w:tr>
      <w:tr w:rsidR="001C33F3">
        <w:trPr>
          <w:trHeight w:val="112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重点工作</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办结率（</w:t>
            </w:r>
            <w:r>
              <w:rPr>
                <w:rFonts w:ascii="宋体" w:eastAsia="宋体" w:hAnsi="宋体" w:cs="宋体" w:hint="eastAsia"/>
                <w:kern w:val="0"/>
                <w:szCs w:val="21"/>
              </w:rPr>
              <w:t>10</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r>
              <w:rPr>
                <w:rFonts w:ascii="宋体" w:eastAsia="宋体" w:hAnsi="宋体" w:cs="宋体" w:hint="eastAsia"/>
                <w:kern w:val="0"/>
                <w:szCs w:val="21"/>
              </w:rPr>
              <w:t>9</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部门年度重点工作实际完成数与交办或下达数的比率，用以反映部门对重点工作的办理落实程度。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Cs w:val="21"/>
              </w:rPr>
            </w:pPr>
            <w:r>
              <w:rPr>
                <w:rFonts w:ascii="宋体" w:eastAsia="宋体" w:hAnsi="宋体" w:cs="宋体" w:hint="eastAsia"/>
                <w:kern w:val="0"/>
                <w:szCs w:val="21"/>
              </w:rPr>
              <w:t>重点工作办结率</w:t>
            </w:r>
            <w:r>
              <w:rPr>
                <w:rFonts w:ascii="宋体" w:eastAsia="宋体" w:hAnsi="宋体" w:cs="宋体" w:hint="eastAsia"/>
                <w:kern w:val="0"/>
                <w:szCs w:val="21"/>
              </w:rPr>
              <w:t>=</w:t>
            </w:r>
            <w:r>
              <w:rPr>
                <w:rFonts w:ascii="宋体" w:eastAsia="宋体" w:hAnsi="宋体" w:cs="宋体" w:hint="eastAsia"/>
                <w:kern w:val="0"/>
                <w:szCs w:val="21"/>
              </w:rPr>
              <w:t>（重点工作实际完成数</w:t>
            </w:r>
            <w:r>
              <w:rPr>
                <w:rFonts w:ascii="宋体" w:eastAsia="宋体" w:hAnsi="宋体" w:cs="宋体" w:hint="eastAsia"/>
                <w:kern w:val="0"/>
                <w:szCs w:val="21"/>
              </w:rPr>
              <w:t>/</w:t>
            </w:r>
            <w:r>
              <w:rPr>
                <w:rFonts w:ascii="宋体" w:eastAsia="宋体" w:hAnsi="宋体" w:cs="宋体" w:hint="eastAsia"/>
                <w:kern w:val="0"/>
                <w:szCs w:val="21"/>
              </w:rPr>
              <w:t>交办或下达数）×</w:t>
            </w:r>
            <w:r>
              <w:rPr>
                <w:rFonts w:ascii="宋体" w:eastAsia="宋体" w:hAnsi="宋体" w:cs="宋体" w:hint="eastAsia"/>
                <w:kern w:val="0"/>
                <w:szCs w:val="21"/>
              </w:rPr>
              <w:t>100%</w:t>
            </w:r>
            <w:r>
              <w:rPr>
                <w:rFonts w:ascii="宋体" w:eastAsia="宋体" w:hAnsi="宋体" w:cs="宋体" w:hint="eastAsia"/>
                <w:kern w:val="0"/>
                <w:szCs w:val="21"/>
              </w:rPr>
              <w:t>。</w:t>
            </w:r>
          </w:p>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重点工作是指党委、政府、人大、相关部门交办或下达的工作任务。</w:t>
            </w:r>
          </w:p>
        </w:tc>
      </w:tr>
      <w:tr w:rsidR="001C33F3">
        <w:trPr>
          <w:trHeight w:val="709"/>
          <w:jc w:val="center"/>
        </w:trPr>
        <w:tc>
          <w:tcPr>
            <w:tcW w:w="567" w:type="dxa"/>
            <w:vMerge w:val="restart"/>
            <w:tcBorders>
              <w:top w:val="single" w:sz="4" w:space="0" w:color="auto"/>
              <w:left w:val="single" w:sz="8" w:space="0" w:color="auto"/>
              <w:bottom w:val="single" w:sz="4" w:space="0" w:color="auto"/>
              <w:right w:val="single" w:sz="8" w:space="0" w:color="auto"/>
            </w:tcBorders>
            <w:noWrap/>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效果</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20</w:t>
            </w:r>
            <w:r>
              <w:rPr>
                <w:rFonts w:ascii="宋体" w:eastAsia="宋体" w:hAnsi="宋体" w:cs="宋体" w:hint="eastAsia"/>
                <w:kern w:val="0"/>
                <w:szCs w:val="21"/>
              </w:rPr>
              <w:t>分）</w:t>
            </w:r>
          </w:p>
        </w:tc>
        <w:tc>
          <w:tcPr>
            <w:tcW w:w="1166" w:type="dxa"/>
            <w:vMerge w:val="restart"/>
            <w:tcBorders>
              <w:top w:val="single" w:sz="4" w:space="0" w:color="auto"/>
              <w:left w:val="nil"/>
              <w:bottom w:val="single" w:sz="4"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履职</w:t>
            </w:r>
          </w:p>
          <w:p w:rsidR="001C33F3" w:rsidRDefault="00436A1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效益</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20</w:t>
            </w:r>
            <w:r>
              <w:rPr>
                <w:rFonts w:ascii="宋体" w:eastAsia="宋体" w:hAnsi="宋体" w:cs="宋体" w:hint="eastAsia"/>
                <w:kern w:val="0"/>
                <w:szCs w:val="21"/>
              </w:rPr>
              <w:t>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经济效益（</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部门履行职责对经济发展所带来的直接或间接影响。</w:t>
            </w:r>
          </w:p>
        </w:tc>
        <w:tc>
          <w:tcPr>
            <w:tcW w:w="413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此三项指标为设置部门整体支出绩效评价指标时必须考虑的共性要素，可根据部门实际并结合部门整体支出绩效目标设立情况有选择的进行设置，并将其细化为相应的个性化指标。</w:t>
            </w:r>
          </w:p>
        </w:tc>
      </w:tr>
      <w:tr w:rsidR="001C33F3">
        <w:trPr>
          <w:trHeight w:val="709"/>
          <w:jc w:val="center"/>
        </w:trPr>
        <w:tc>
          <w:tcPr>
            <w:tcW w:w="567" w:type="dxa"/>
            <w:vMerge/>
            <w:tcBorders>
              <w:top w:val="single" w:sz="4" w:space="0" w:color="auto"/>
              <w:left w:val="single" w:sz="8" w:space="0" w:color="auto"/>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vMerge/>
            <w:tcBorders>
              <w:top w:val="single" w:sz="4" w:space="0" w:color="auto"/>
              <w:left w:val="nil"/>
              <w:bottom w:val="single" w:sz="4"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社会效益（</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部门履行职责对社会发展所带来的直接或间接影响。</w:t>
            </w:r>
          </w:p>
        </w:tc>
        <w:tc>
          <w:tcPr>
            <w:tcW w:w="4136" w:type="dxa"/>
            <w:vMerge/>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r>
      <w:tr w:rsidR="001C33F3">
        <w:trPr>
          <w:trHeight w:val="709"/>
          <w:jc w:val="center"/>
        </w:trPr>
        <w:tc>
          <w:tcPr>
            <w:tcW w:w="567" w:type="dxa"/>
            <w:tcBorders>
              <w:top w:val="single" w:sz="4" w:space="0" w:color="auto"/>
              <w:left w:val="single" w:sz="8"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tcBorders>
              <w:top w:val="single" w:sz="4" w:space="0" w:color="auto"/>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生态效益（</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部门履行职责对生态环境所带来的直接或间接影响。</w:t>
            </w:r>
          </w:p>
        </w:tc>
        <w:tc>
          <w:tcPr>
            <w:tcW w:w="4136" w:type="dxa"/>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r>
      <w:tr w:rsidR="001C33F3">
        <w:trPr>
          <w:trHeight w:val="1063"/>
          <w:jc w:val="center"/>
        </w:trPr>
        <w:tc>
          <w:tcPr>
            <w:tcW w:w="567" w:type="dxa"/>
            <w:tcBorders>
              <w:top w:val="nil"/>
              <w:left w:val="single" w:sz="8" w:space="0" w:color="auto"/>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1166" w:type="dxa"/>
            <w:tcBorders>
              <w:top w:val="nil"/>
              <w:left w:val="nil"/>
              <w:bottom w:val="single" w:sz="8" w:space="0" w:color="auto"/>
              <w:right w:val="single" w:sz="8" w:space="0" w:color="auto"/>
            </w:tcBorders>
            <w:vAlign w:val="center"/>
          </w:tcPr>
          <w:p w:rsidR="001C33F3" w:rsidRDefault="001C33F3">
            <w:pPr>
              <w:widowControl/>
              <w:jc w:val="left"/>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社会公众</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或服务对</w:t>
            </w:r>
          </w:p>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象满意度（</w:t>
            </w:r>
            <w:r>
              <w:rPr>
                <w:rFonts w:ascii="宋体" w:eastAsia="宋体" w:hAnsi="宋体" w:cs="宋体" w:hint="eastAsia"/>
                <w:kern w:val="0"/>
                <w:szCs w:val="21"/>
              </w:rPr>
              <w:t>5</w:t>
            </w:r>
            <w:r>
              <w:rPr>
                <w:rFonts w:ascii="宋体" w:eastAsia="宋体" w:hAnsi="宋体" w:cs="宋体" w:hint="eastAsia"/>
                <w:kern w:val="0"/>
                <w:szCs w:val="21"/>
              </w:rPr>
              <w:t>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社会公众或部门的服务对象对部门履职效果的满意程度。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社会公众或服务对象是指部门履行职责而影响到的部门、群体或个人。一般采取社会调查的方式。</w:t>
            </w:r>
          </w:p>
        </w:tc>
      </w:tr>
      <w:tr w:rsidR="001C33F3">
        <w:trPr>
          <w:trHeight w:val="692"/>
          <w:jc w:val="center"/>
        </w:trPr>
        <w:tc>
          <w:tcPr>
            <w:tcW w:w="56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1C33F3" w:rsidRDefault="00436A1D">
            <w:pPr>
              <w:widowControl/>
              <w:spacing w:line="240" w:lineRule="atLeast"/>
              <w:jc w:val="left"/>
              <w:rPr>
                <w:rFonts w:ascii="宋体" w:eastAsia="宋体" w:hAnsi="宋体" w:cs="宋体"/>
                <w:kern w:val="0"/>
                <w:sz w:val="24"/>
                <w:szCs w:val="24"/>
              </w:rPr>
            </w:pPr>
            <w:r>
              <w:rPr>
                <w:rFonts w:ascii="宋体" w:eastAsia="宋体" w:hAnsi="宋体" w:cs="宋体" w:hint="eastAsia"/>
                <w:kern w:val="0"/>
                <w:szCs w:val="21"/>
              </w:rPr>
              <w:t>总分</w:t>
            </w:r>
          </w:p>
        </w:tc>
        <w:tc>
          <w:tcPr>
            <w:tcW w:w="1166" w:type="dxa"/>
            <w:tcBorders>
              <w:top w:val="nil"/>
              <w:left w:val="nil"/>
              <w:bottom w:val="single" w:sz="8" w:space="0" w:color="auto"/>
              <w:right w:val="single" w:sz="8" w:space="0" w:color="auto"/>
            </w:tcBorders>
            <w:tcMar>
              <w:top w:w="0" w:type="dxa"/>
              <w:left w:w="0" w:type="dxa"/>
              <w:bottom w:w="0" w:type="dxa"/>
              <w:right w:w="0" w:type="dxa"/>
            </w:tcMar>
            <w:vAlign w:val="center"/>
          </w:tcPr>
          <w:p w:rsidR="001C33F3" w:rsidRDefault="00436A1D">
            <w:pPr>
              <w:widowControl/>
              <w:spacing w:line="240" w:lineRule="atLeast"/>
              <w:jc w:val="left"/>
              <w:rPr>
                <w:rFonts w:ascii="宋体" w:eastAsia="宋体" w:hAnsi="宋体" w:cs="宋体"/>
                <w:kern w:val="0"/>
                <w:sz w:val="24"/>
                <w:szCs w:val="24"/>
              </w:rPr>
            </w:pPr>
            <w:r>
              <w:rPr>
                <w:rFonts w:ascii="宋体" w:eastAsia="宋体" w:hAnsi="宋体" w:cs="宋体" w:hint="eastAsia"/>
                <w:kern w:val="0"/>
                <w:szCs w:val="21"/>
              </w:rPr>
              <w:t> </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jc w:val="center"/>
              <w:rPr>
                <w:rFonts w:ascii="宋体" w:eastAsia="宋体" w:hAnsi="宋体" w:cs="宋体"/>
                <w:kern w:val="0"/>
                <w:sz w:val="24"/>
                <w:szCs w:val="24"/>
              </w:rPr>
            </w:pPr>
            <w:r>
              <w:rPr>
                <w:rFonts w:ascii="宋体" w:eastAsia="宋体" w:hAnsi="宋体" w:cs="宋体" w:hint="eastAsia"/>
                <w:kern w:val="0"/>
                <w:szCs w:val="21"/>
              </w:rPr>
              <w:t> </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p>
          <w:p w:rsidR="001C33F3" w:rsidRDefault="00436A1D">
            <w:pPr>
              <w:widowControl/>
              <w:spacing w:line="240" w:lineRule="atLeast"/>
              <w:ind w:right="105"/>
              <w:jc w:val="left"/>
              <w:rPr>
                <w:rFonts w:ascii="宋体" w:eastAsia="宋体" w:hAnsi="宋体" w:cs="宋体"/>
                <w:kern w:val="0"/>
                <w:sz w:val="24"/>
                <w:szCs w:val="24"/>
              </w:rPr>
            </w:pPr>
            <w:r>
              <w:rPr>
                <w:rFonts w:ascii="宋体" w:eastAsia="宋体" w:hAnsi="宋体" w:cs="宋体" w:hint="eastAsia"/>
                <w:kern w:val="0"/>
                <w:szCs w:val="21"/>
              </w:rPr>
              <w:t>  </w:t>
            </w:r>
            <w:r>
              <w:rPr>
                <w:rFonts w:ascii="宋体" w:eastAsia="宋体" w:hAnsi="宋体" w:cs="宋体" w:hint="eastAsia"/>
                <w:kern w:val="0"/>
                <w:szCs w:val="21"/>
              </w:rPr>
              <w:t>89</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firstLine="96"/>
              <w:jc w:val="left"/>
              <w:rPr>
                <w:rFonts w:ascii="宋体" w:eastAsia="宋体" w:hAnsi="宋体" w:cs="宋体"/>
                <w:kern w:val="0"/>
                <w:sz w:val="24"/>
                <w:szCs w:val="24"/>
              </w:rPr>
            </w:pPr>
            <w:r>
              <w:rPr>
                <w:rFonts w:ascii="宋体" w:eastAsia="宋体" w:hAnsi="宋体" w:cs="宋体" w:hint="eastAsia"/>
                <w:kern w:val="0"/>
                <w:szCs w:val="21"/>
              </w:rPr>
              <w:t> </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C33F3" w:rsidRDefault="00436A1D">
            <w:pPr>
              <w:widowControl/>
              <w:spacing w:line="240" w:lineRule="atLeast"/>
              <w:ind w:left="105" w:right="105"/>
              <w:jc w:val="left"/>
              <w:rPr>
                <w:rFonts w:ascii="宋体" w:eastAsia="宋体" w:hAnsi="宋体" w:cs="宋体"/>
                <w:kern w:val="0"/>
                <w:sz w:val="24"/>
                <w:szCs w:val="24"/>
              </w:rPr>
            </w:pPr>
            <w:r>
              <w:rPr>
                <w:rFonts w:ascii="宋体" w:eastAsia="宋体" w:hAnsi="宋体" w:cs="宋体" w:hint="eastAsia"/>
                <w:kern w:val="0"/>
                <w:szCs w:val="21"/>
              </w:rPr>
              <w:t> </w:t>
            </w:r>
          </w:p>
        </w:tc>
      </w:tr>
    </w:tbl>
    <w:p w:rsidR="001C33F3" w:rsidRDefault="001C33F3"/>
    <w:sectPr w:rsidR="001C33F3" w:rsidSect="001C33F3">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A1D" w:rsidRDefault="00436A1D" w:rsidP="005570C8">
      <w:r>
        <w:separator/>
      </w:r>
    </w:p>
  </w:endnote>
  <w:endnote w:type="continuationSeparator" w:id="1">
    <w:p w:rsidR="00436A1D" w:rsidRDefault="00436A1D" w:rsidP="00557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方正小标宋简体">
    <w:altName w:val="黑体"/>
    <w:charset w:val="86"/>
    <w:family w:val="roma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A1D" w:rsidRDefault="00436A1D" w:rsidP="005570C8">
      <w:r>
        <w:separator/>
      </w:r>
    </w:p>
  </w:footnote>
  <w:footnote w:type="continuationSeparator" w:id="1">
    <w:p w:rsidR="00436A1D" w:rsidRDefault="00436A1D" w:rsidP="00557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393F4"/>
    <w:multiLevelType w:val="singleLevel"/>
    <w:tmpl w:val="746393F4"/>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yNWZmZGQwNmU4N2Q3MTYzYzZmZTEwNDMxZDgxZTQifQ=="/>
  </w:docVars>
  <w:rsids>
    <w:rsidRoot w:val="00037CD0"/>
    <w:rsid w:val="00037CD0"/>
    <w:rsid w:val="001C33F3"/>
    <w:rsid w:val="00215B1B"/>
    <w:rsid w:val="00436A1D"/>
    <w:rsid w:val="005570C8"/>
    <w:rsid w:val="00B6729B"/>
    <w:rsid w:val="00BD6B77"/>
    <w:rsid w:val="00C308AA"/>
    <w:rsid w:val="00C344C9"/>
    <w:rsid w:val="00C64198"/>
    <w:rsid w:val="00C9366A"/>
    <w:rsid w:val="1C1B73F4"/>
    <w:rsid w:val="1EF44885"/>
    <w:rsid w:val="1FE66327"/>
    <w:rsid w:val="283C2BCC"/>
    <w:rsid w:val="2A9C5BA4"/>
    <w:rsid w:val="2D151C3D"/>
    <w:rsid w:val="30901D07"/>
    <w:rsid w:val="329C173D"/>
    <w:rsid w:val="3BAF5DDB"/>
    <w:rsid w:val="419A6016"/>
    <w:rsid w:val="460C19D8"/>
    <w:rsid w:val="49431839"/>
    <w:rsid w:val="498D2E30"/>
    <w:rsid w:val="49F5605E"/>
    <w:rsid w:val="4C3A7900"/>
    <w:rsid w:val="4DF06D30"/>
    <w:rsid w:val="57A623CD"/>
    <w:rsid w:val="58BB7AC7"/>
    <w:rsid w:val="5F36113B"/>
    <w:rsid w:val="62ED2D2E"/>
    <w:rsid w:val="655E6D2C"/>
    <w:rsid w:val="6B5E3F2D"/>
    <w:rsid w:val="6BC6669F"/>
    <w:rsid w:val="6E072901"/>
    <w:rsid w:val="6E0D4790"/>
    <w:rsid w:val="719426FE"/>
    <w:rsid w:val="765C4BC6"/>
    <w:rsid w:val="7FEA32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7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70C8"/>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5570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70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884</Words>
  <Characters>5040</Characters>
  <Application>Microsoft Office Word</Application>
  <DocSecurity>0</DocSecurity>
  <Lines>42</Lines>
  <Paragraphs>11</Paragraphs>
  <ScaleCrop>false</ScaleCrop>
  <Company>微软中国</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15</cp:revision>
  <cp:lastPrinted>2023-05-29T07:01:00Z</cp:lastPrinted>
  <dcterms:created xsi:type="dcterms:W3CDTF">2022-05-13T11:25:00Z</dcterms:created>
  <dcterms:modified xsi:type="dcterms:W3CDTF">2023-05-29T07:04:00Z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5451F95BA333424AA960A51D31F5921A</vt:lpwstr>
  </property>
</Properties>
</file>