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kern w:val="0"/>
          <w:sz w:val="44"/>
          <w:szCs w:val="44"/>
          <w:lang w:val="en-US" w:eastAsia="zh-CN"/>
        </w:rPr>
      </w:pPr>
      <w:r>
        <w:rPr>
          <w:rFonts w:hint="eastAsia" w:ascii="黑体" w:hAnsi="黑体" w:eastAsia="黑体" w:cs="黑体"/>
          <w:bCs/>
          <w:color w:val="000000"/>
          <w:kern w:val="0"/>
          <w:sz w:val="44"/>
          <w:szCs w:val="44"/>
          <w:lang w:val="en-US" w:eastAsia="zh-CN"/>
        </w:rPr>
        <w:t>益阳市</w:t>
      </w:r>
      <w:r>
        <w:rPr>
          <w:rFonts w:hint="eastAsia" w:ascii="黑体" w:hAnsi="黑体" w:eastAsia="黑体" w:cs="黑体"/>
          <w:bCs/>
          <w:color w:val="000000"/>
          <w:kern w:val="0"/>
          <w:sz w:val="44"/>
          <w:szCs w:val="44"/>
        </w:rPr>
        <w:t>赫山区</w:t>
      </w:r>
      <w:r>
        <w:rPr>
          <w:rFonts w:hint="eastAsia" w:ascii="黑体" w:hAnsi="黑体" w:eastAsia="黑体" w:cs="黑体"/>
          <w:bCs/>
          <w:color w:val="000000"/>
          <w:kern w:val="0"/>
          <w:sz w:val="44"/>
          <w:szCs w:val="44"/>
          <w:lang w:val="en-US" w:eastAsia="zh-CN"/>
        </w:rPr>
        <w:t>城市管理和综合执法局</w:t>
      </w:r>
    </w:p>
    <w:p>
      <w:pPr>
        <w:jc w:val="center"/>
        <w:rPr>
          <w:rFonts w:hint="eastAsia" w:ascii="黑体" w:hAnsi="黑体" w:eastAsia="黑体" w:cs="黑体"/>
          <w:bCs/>
          <w:color w:val="000000"/>
          <w:kern w:val="0"/>
          <w:sz w:val="44"/>
          <w:szCs w:val="44"/>
        </w:rPr>
      </w:pPr>
      <w:r>
        <w:rPr>
          <w:rFonts w:hint="eastAsia" w:ascii="黑体" w:hAnsi="黑体" w:eastAsia="黑体" w:cs="黑体"/>
          <w:bCs/>
          <w:color w:val="000000"/>
          <w:kern w:val="0"/>
          <w:sz w:val="44"/>
          <w:szCs w:val="44"/>
        </w:rPr>
        <w:t>202</w:t>
      </w:r>
      <w:r>
        <w:rPr>
          <w:rFonts w:hint="eastAsia" w:ascii="黑体" w:hAnsi="黑体" w:eastAsia="黑体" w:cs="黑体"/>
          <w:bCs/>
          <w:color w:val="000000"/>
          <w:kern w:val="0"/>
          <w:sz w:val="44"/>
          <w:szCs w:val="44"/>
          <w:lang w:val="en-US" w:eastAsia="zh-CN"/>
        </w:rPr>
        <w:t>2</w:t>
      </w:r>
      <w:r>
        <w:rPr>
          <w:rFonts w:hint="eastAsia" w:ascii="黑体" w:hAnsi="黑体" w:eastAsia="黑体" w:cs="黑体"/>
          <w:bCs/>
          <w:color w:val="000000"/>
          <w:kern w:val="0"/>
          <w:sz w:val="44"/>
          <w:szCs w:val="44"/>
        </w:rPr>
        <w:t>年“三微工程”项目绩效评价报告</w:t>
      </w:r>
    </w:p>
    <w:p>
      <w:pPr>
        <w:jc w:val="center"/>
        <w:rPr>
          <w:rFonts w:hint="eastAsia" w:ascii="黑体" w:hAnsi="黑体" w:eastAsia="黑体" w:cs="黑体"/>
          <w:bCs/>
          <w:color w:val="000000"/>
          <w:kern w:val="0"/>
          <w:sz w:val="44"/>
          <w:szCs w:val="44"/>
        </w:rPr>
      </w:pPr>
    </w:p>
    <w:p>
      <w:pPr>
        <w:pStyle w:val="7"/>
        <w:widowControl w:val="0"/>
        <w:adjustRightInd w:val="0"/>
        <w:snapToGrid w:val="0"/>
        <w:spacing w:line="600" w:lineRule="exact"/>
        <w:ind w:firstLine="628" w:firstLineChars="200"/>
        <w:rPr>
          <w:rFonts w:ascii="仿宋" w:hAnsi="仿宋" w:eastAsia="仿宋" w:cs="仿宋"/>
          <w:bCs/>
          <w:spacing w:val="7"/>
          <w:sz w:val="30"/>
          <w:szCs w:val="30"/>
        </w:rPr>
      </w:pPr>
      <w:r>
        <w:rPr>
          <w:rFonts w:hint="eastAsia" w:ascii="仿宋" w:hAnsi="仿宋" w:eastAsia="仿宋" w:cs="仿宋"/>
          <w:bCs/>
          <w:spacing w:val="7"/>
          <w:kern w:val="2"/>
          <w:sz w:val="30"/>
          <w:szCs w:val="30"/>
        </w:rPr>
        <w:t>赫山区202</w:t>
      </w:r>
      <w:r>
        <w:rPr>
          <w:rFonts w:hint="eastAsia" w:ascii="仿宋" w:hAnsi="仿宋" w:eastAsia="仿宋" w:cs="仿宋"/>
          <w:bCs/>
          <w:spacing w:val="7"/>
          <w:kern w:val="2"/>
          <w:sz w:val="30"/>
          <w:szCs w:val="30"/>
          <w:lang w:val="en-US" w:eastAsia="zh-CN"/>
        </w:rPr>
        <w:t>2</w:t>
      </w:r>
      <w:r>
        <w:rPr>
          <w:rFonts w:hint="eastAsia" w:ascii="仿宋" w:hAnsi="仿宋" w:eastAsia="仿宋" w:cs="仿宋"/>
          <w:bCs/>
          <w:spacing w:val="7"/>
          <w:kern w:val="2"/>
          <w:sz w:val="30"/>
          <w:szCs w:val="30"/>
        </w:rPr>
        <w:t>年“三微工程”工作，在市</w:t>
      </w:r>
      <w:r>
        <w:rPr>
          <w:rFonts w:hint="eastAsia" w:ascii="仿宋" w:hAnsi="仿宋" w:eastAsia="仿宋" w:cs="仿宋"/>
          <w:bCs/>
          <w:spacing w:val="7"/>
          <w:kern w:val="2"/>
          <w:sz w:val="30"/>
          <w:szCs w:val="30"/>
          <w:lang w:eastAsia="zh-CN"/>
        </w:rPr>
        <w:t>、</w:t>
      </w:r>
      <w:r>
        <w:rPr>
          <w:rFonts w:hint="eastAsia" w:ascii="仿宋" w:hAnsi="仿宋" w:eastAsia="仿宋" w:cs="仿宋"/>
          <w:bCs/>
          <w:spacing w:val="7"/>
          <w:kern w:val="2"/>
          <w:sz w:val="30"/>
          <w:szCs w:val="30"/>
        </w:rPr>
        <w:t>区两级政府的正确领导下</w:t>
      </w:r>
      <w:r>
        <w:rPr>
          <w:rFonts w:hint="eastAsia" w:ascii="仿宋" w:hAnsi="仿宋" w:eastAsia="仿宋" w:cs="仿宋"/>
          <w:bCs/>
          <w:spacing w:val="7"/>
          <w:kern w:val="2"/>
          <w:sz w:val="30"/>
          <w:szCs w:val="30"/>
          <w:lang w:eastAsia="zh-CN"/>
        </w:rPr>
        <w:t>，</w:t>
      </w:r>
      <w:r>
        <w:rPr>
          <w:rFonts w:hint="eastAsia" w:ascii="仿宋" w:hAnsi="仿宋" w:eastAsia="仿宋" w:cs="仿宋"/>
          <w:bCs/>
          <w:spacing w:val="7"/>
          <w:kern w:val="2"/>
          <w:sz w:val="30"/>
          <w:szCs w:val="30"/>
          <w:lang w:val="en-US" w:eastAsia="zh-CN"/>
        </w:rPr>
        <w:t>为了改善城市基础设施薄弱环节和创文明城市基础设施方面的短板问题，</w:t>
      </w:r>
      <w:r>
        <w:rPr>
          <w:rFonts w:hint="eastAsia" w:ascii="仿宋" w:hAnsi="仿宋" w:eastAsia="仿宋" w:cs="仿宋"/>
          <w:sz w:val="30"/>
          <w:szCs w:val="30"/>
        </w:rPr>
        <w:t>狠抓项目建设</w:t>
      </w:r>
      <w:r>
        <w:rPr>
          <w:rFonts w:hint="eastAsia" w:ascii="仿宋" w:hAnsi="仿宋" w:eastAsia="仿宋" w:cs="仿宋"/>
          <w:bCs/>
          <w:spacing w:val="7"/>
          <w:kern w:val="2"/>
          <w:sz w:val="30"/>
          <w:szCs w:val="30"/>
        </w:rPr>
        <w:t>，加快资金拨付，强化后续管理，加强统筹协调，各项工作有序开展，较好地完成了年度各项目标任务</w:t>
      </w:r>
      <w:r>
        <w:rPr>
          <w:rFonts w:hint="eastAsia" w:ascii="仿宋" w:hAnsi="仿宋" w:eastAsia="仿宋" w:cs="仿宋"/>
          <w:bCs/>
          <w:spacing w:val="7"/>
          <w:sz w:val="30"/>
          <w:szCs w:val="30"/>
        </w:rPr>
        <w:t>。现将有关情况汇报如下：</w:t>
      </w:r>
    </w:p>
    <w:p>
      <w:pPr>
        <w:pStyle w:val="8"/>
        <w:widowControl w:val="0"/>
        <w:adjustRightInd w:val="0"/>
        <w:snapToGrid w:val="0"/>
        <w:spacing w:line="640" w:lineRule="exact"/>
        <w:ind w:firstLine="600" w:firstLineChars="200"/>
        <w:rPr>
          <w:rFonts w:ascii="黑体" w:hAnsi="黑体" w:eastAsia="黑体"/>
          <w:bCs/>
          <w:sz w:val="30"/>
          <w:szCs w:val="30"/>
        </w:rPr>
      </w:pPr>
      <w:r>
        <w:rPr>
          <w:rFonts w:hint="eastAsia" w:ascii="黑体" w:hAnsi="黑体" w:eastAsia="黑体"/>
          <w:bCs/>
          <w:sz w:val="30"/>
          <w:szCs w:val="30"/>
        </w:rPr>
        <w:t>一、赫山区“三微工程”基本情况</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年我区共获批“三微工程”项目</w:t>
      </w:r>
      <w:r>
        <w:rPr>
          <w:rFonts w:hint="eastAsia" w:ascii="仿宋" w:hAnsi="仿宋" w:eastAsia="仿宋" w:cs="仿宋"/>
          <w:bCs/>
          <w:spacing w:val="7"/>
          <w:sz w:val="30"/>
          <w:szCs w:val="30"/>
          <w:lang w:val="en-US" w:eastAsia="zh-CN"/>
        </w:rPr>
        <w:t>60</w:t>
      </w:r>
      <w:r>
        <w:rPr>
          <w:rFonts w:hint="eastAsia" w:ascii="仿宋" w:hAnsi="仿宋" w:eastAsia="仿宋" w:cs="仿宋"/>
          <w:bCs/>
          <w:spacing w:val="7"/>
          <w:sz w:val="30"/>
          <w:szCs w:val="30"/>
        </w:rPr>
        <w:t>个，已全部开工建设，并全部完成项目任务。</w:t>
      </w:r>
    </w:p>
    <w:p>
      <w:pPr>
        <w:numPr>
          <w:ilvl w:val="0"/>
          <w:numId w:val="1"/>
        </w:numPr>
        <w:adjustRightInd w:val="0"/>
        <w:snapToGrid w:val="0"/>
        <w:spacing w:line="640" w:lineRule="exact"/>
        <w:ind w:left="479" w:leftChars="228" w:firstLine="153" w:firstLineChars="51"/>
        <w:rPr>
          <w:rFonts w:ascii="黑体" w:hAnsi="黑体" w:eastAsia="黑体"/>
          <w:bCs/>
          <w:kern w:val="0"/>
          <w:sz w:val="30"/>
          <w:szCs w:val="30"/>
        </w:rPr>
      </w:pPr>
      <w:r>
        <w:rPr>
          <w:rFonts w:hint="eastAsia" w:ascii="黑体" w:hAnsi="黑体" w:eastAsia="黑体"/>
          <w:bCs/>
          <w:kern w:val="0"/>
          <w:sz w:val="30"/>
          <w:szCs w:val="30"/>
        </w:rPr>
        <w:t>赫山区“三微工程”财政资金绩效评价指标分析</w:t>
      </w:r>
    </w:p>
    <w:p>
      <w:pPr>
        <w:adjustRightInd w:val="0"/>
        <w:snapToGrid w:val="0"/>
        <w:spacing w:line="600" w:lineRule="exact"/>
        <w:ind w:firstLine="602" w:firstLineChars="200"/>
        <w:rPr>
          <w:rFonts w:ascii="仿宋" w:hAnsi="仿宋" w:eastAsia="仿宋" w:cs="仿宋"/>
          <w:sz w:val="30"/>
          <w:szCs w:val="30"/>
        </w:rPr>
      </w:pPr>
      <w:r>
        <w:rPr>
          <w:rFonts w:hint="eastAsia" w:ascii="仿宋" w:hAnsi="仿宋" w:eastAsia="仿宋" w:cs="仿宋"/>
          <w:b/>
          <w:sz w:val="30"/>
          <w:szCs w:val="30"/>
        </w:rPr>
        <w:t>（一）资金管理</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w:t>
      </w:r>
      <w:r>
        <w:rPr>
          <w:rFonts w:hint="eastAsia" w:ascii="仿宋" w:hAnsi="仿宋" w:eastAsia="仿宋" w:cs="仿宋"/>
          <w:bCs/>
          <w:spacing w:val="7"/>
          <w:sz w:val="30"/>
          <w:szCs w:val="30"/>
          <w:lang w:val="en-US" w:eastAsia="zh-CN"/>
        </w:rPr>
        <w:t>度市、</w:t>
      </w:r>
      <w:r>
        <w:rPr>
          <w:rFonts w:hint="eastAsia" w:ascii="仿宋" w:hAnsi="仿宋" w:eastAsia="仿宋" w:cs="仿宋"/>
          <w:bCs/>
          <w:spacing w:val="7"/>
          <w:sz w:val="30"/>
          <w:szCs w:val="30"/>
        </w:rPr>
        <w:t>区</w:t>
      </w:r>
      <w:r>
        <w:rPr>
          <w:rFonts w:hint="eastAsia" w:ascii="仿宋" w:hAnsi="仿宋" w:eastAsia="仿宋" w:cs="仿宋"/>
          <w:bCs/>
          <w:spacing w:val="7"/>
          <w:sz w:val="30"/>
          <w:szCs w:val="30"/>
          <w:lang w:val="en-US" w:eastAsia="zh-CN"/>
        </w:rPr>
        <w:t>两级以1：1的分配方式分别计划安排</w:t>
      </w:r>
      <w:r>
        <w:rPr>
          <w:rFonts w:hint="eastAsia" w:ascii="仿宋" w:hAnsi="仿宋" w:eastAsia="仿宋" w:cs="仿宋"/>
          <w:bCs/>
          <w:spacing w:val="7"/>
          <w:sz w:val="30"/>
          <w:szCs w:val="30"/>
        </w:rPr>
        <w:t>“三微工程”项目资金</w:t>
      </w:r>
      <w:r>
        <w:rPr>
          <w:rFonts w:hint="eastAsia" w:ascii="仿宋" w:hAnsi="仿宋" w:eastAsia="仿宋" w:cs="仿宋"/>
          <w:bCs/>
          <w:spacing w:val="7"/>
          <w:sz w:val="30"/>
          <w:szCs w:val="30"/>
          <w:lang w:val="en-US" w:eastAsia="zh-CN"/>
        </w:rPr>
        <w:t>总计1100</w:t>
      </w:r>
      <w:r>
        <w:rPr>
          <w:rFonts w:hint="eastAsia" w:ascii="仿宋" w:hAnsi="仿宋" w:eastAsia="仿宋" w:cs="仿宋"/>
          <w:bCs/>
          <w:spacing w:val="7"/>
          <w:sz w:val="30"/>
          <w:szCs w:val="30"/>
        </w:rPr>
        <w:t>万元，</w:t>
      </w:r>
      <w:r>
        <w:rPr>
          <w:rFonts w:hint="eastAsia" w:ascii="仿宋" w:hAnsi="仿宋" w:eastAsia="仿宋" w:cs="仿宋"/>
          <w:bCs/>
          <w:spacing w:val="7"/>
          <w:sz w:val="30"/>
          <w:szCs w:val="30"/>
          <w:lang w:val="en-US" w:eastAsia="zh-CN"/>
        </w:rPr>
        <w:t>根据工程完成进度完成项目要求后先期支付50%的工程款，待工程审计验收后再支出全部资金，</w:t>
      </w:r>
      <w:r>
        <w:rPr>
          <w:rFonts w:hint="eastAsia" w:ascii="仿宋" w:hAnsi="仿宋" w:eastAsia="仿宋" w:cs="仿宋"/>
          <w:bCs/>
          <w:spacing w:val="7"/>
          <w:sz w:val="30"/>
          <w:szCs w:val="30"/>
        </w:rPr>
        <w:t>按照《赫山区财政项目资金管理暂行办法》的要求及相关规定</w:t>
      </w:r>
      <w:r>
        <w:rPr>
          <w:rFonts w:hint="eastAsia" w:ascii="仿宋" w:hAnsi="仿宋" w:eastAsia="仿宋" w:cs="仿宋"/>
          <w:bCs/>
          <w:spacing w:val="7"/>
          <w:sz w:val="30"/>
          <w:szCs w:val="30"/>
          <w:lang w:val="en-US" w:eastAsia="zh-CN"/>
        </w:rPr>
        <w:t>50%部分资金</w:t>
      </w:r>
      <w:r>
        <w:rPr>
          <w:rFonts w:hint="eastAsia" w:ascii="仿宋" w:hAnsi="仿宋" w:eastAsia="仿宋" w:cs="仿宋"/>
          <w:bCs/>
          <w:spacing w:val="7"/>
          <w:sz w:val="30"/>
          <w:szCs w:val="30"/>
        </w:rPr>
        <w:t>全部拨付到位。</w:t>
      </w:r>
    </w:p>
    <w:p>
      <w:pPr>
        <w:adjustRightInd w:val="0"/>
        <w:snapToGrid w:val="0"/>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（二）项目管理</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1.规划计划编制。为深入贯彻落实市委、市政府，区委、区政府关于加强“三微工程”建设的要求，进一步推动赫山区“三微工程”工程建设，结合当前经济发展水平、财政承受能力、城市基础设施提质改造需求，赫山区按上级规划要求，结合我区自身实际情况，战略布局完成“三微工程”项目规划编制。</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2.项目公示。我单位按要求及时报送了“三微工程”工程资金绩效评价报告，内容完整，评价客观真实。历年来赫山区高度重视“三微工程”项目的信息公开工作，“三微工程”项目全部采用公开招投标的方式确定施工单位，信息员每月将“三微工程”项目建设情况按时上报区委、区政府，市</w:t>
      </w:r>
      <w:r>
        <w:rPr>
          <w:rFonts w:hint="eastAsia" w:ascii="仿宋" w:hAnsi="仿宋" w:eastAsia="仿宋" w:cs="仿宋"/>
          <w:bCs/>
          <w:spacing w:val="7"/>
          <w:sz w:val="30"/>
          <w:szCs w:val="30"/>
          <w:lang w:val="en-US" w:eastAsia="zh-CN"/>
        </w:rPr>
        <w:t>住建局重点办</w:t>
      </w:r>
      <w:r>
        <w:rPr>
          <w:rFonts w:hint="eastAsia" w:ascii="仿宋" w:hAnsi="仿宋" w:eastAsia="仿宋" w:cs="仿宋"/>
          <w:bCs/>
          <w:spacing w:val="7"/>
          <w:sz w:val="30"/>
          <w:szCs w:val="30"/>
        </w:rPr>
        <w:t>“三微工程”项目办公室等部门，积极向社会公众公开建设情况。在建设现场设立了公示牌，将项目有关情况予以公示，接受社会监督。在日常统计工作中，安排专人负责，数据上报前由多个部门联合审核，做到了台账齐全，核算严谨，按时、按质、按要求报送各类统计数据和材料。</w:t>
      </w:r>
    </w:p>
    <w:p>
      <w:pPr>
        <w:adjustRightInd w:val="0"/>
        <w:snapToGrid w:val="0"/>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（三）项目效益</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项目按既定要求，</w:t>
      </w:r>
      <w:r>
        <w:rPr>
          <w:rFonts w:hint="eastAsia" w:ascii="仿宋" w:hAnsi="仿宋" w:eastAsia="仿宋" w:cs="仿宋"/>
          <w:bCs/>
          <w:spacing w:val="7"/>
          <w:sz w:val="30"/>
          <w:szCs w:val="30"/>
          <w:lang w:val="en-US" w:eastAsia="zh-CN"/>
        </w:rPr>
        <w:t>2022年</w:t>
      </w:r>
      <w:r>
        <w:rPr>
          <w:rFonts w:hint="eastAsia" w:ascii="仿宋" w:hAnsi="仿宋" w:eastAsia="仿宋" w:cs="仿宋"/>
          <w:bCs/>
          <w:spacing w:val="7"/>
          <w:sz w:val="30"/>
          <w:szCs w:val="30"/>
        </w:rPr>
        <w:t>启动“三微工程”项目任务</w:t>
      </w:r>
      <w:r>
        <w:rPr>
          <w:rFonts w:hint="eastAsia" w:ascii="仿宋" w:hAnsi="仿宋" w:eastAsia="仿宋" w:cs="仿宋"/>
          <w:bCs/>
          <w:spacing w:val="7"/>
          <w:sz w:val="30"/>
          <w:szCs w:val="30"/>
          <w:lang w:val="en-US" w:eastAsia="zh-CN"/>
        </w:rPr>
        <w:t>60</w:t>
      </w:r>
      <w:r>
        <w:rPr>
          <w:rFonts w:hint="eastAsia" w:ascii="仿宋" w:hAnsi="仿宋" w:eastAsia="仿宋" w:cs="仿宋"/>
          <w:bCs/>
          <w:spacing w:val="7"/>
          <w:sz w:val="30"/>
          <w:szCs w:val="30"/>
        </w:rPr>
        <w:t>个。 为做好“三微工程”项目这项工作，确保政策用好用足，取得是实实在在的效益，着力</w:t>
      </w:r>
      <w:r>
        <w:rPr>
          <w:rFonts w:hint="eastAsia" w:ascii="仿宋" w:hAnsi="仿宋" w:eastAsia="仿宋" w:cs="仿宋"/>
          <w:bCs/>
          <w:spacing w:val="7"/>
          <w:sz w:val="30"/>
          <w:szCs w:val="30"/>
          <w:lang w:val="en-US" w:eastAsia="zh-CN"/>
        </w:rPr>
        <w:t>以城市基础设施薄弱环节</w:t>
      </w:r>
      <w:r>
        <w:rPr>
          <w:rFonts w:hint="eastAsia" w:ascii="仿宋" w:hAnsi="仿宋" w:eastAsia="仿宋" w:cs="仿宋"/>
          <w:bCs/>
          <w:spacing w:val="7"/>
          <w:sz w:val="30"/>
          <w:szCs w:val="30"/>
        </w:rPr>
        <w:t>为工作重心，结合创文</w:t>
      </w:r>
      <w:r>
        <w:rPr>
          <w:rFonts w:hint="eastAsia" w:ascii="仿宋" w:hAnsi="仿宋" w:eastAsia="仿宋" w:cs="仿宋"/>
          <w:bCs/>
          <w:spacing w:val="7"/>
          <w:sz w:val="30"/>
          <w:szCs w:val="30"/>
          <w:lang w:val="en-US" w:eastAsia="zh-CN"/>
        </w:rPr>
        <w:t>明城市基础设施方面的短板问题</w:t>
      </w:r>
      <w:r>
        <w:rPr>
          <w:rFonts w:hint="eastAsia" w:ascii="仿宋" w:hAnsi="仿宋" w:eastAsia="仿宋" w:cs="仿宋"/>
          <w:bCs/>
          <w:spacing w:val="7"/>
          <w:sz w:val="30"/>
          <w:szCs w:val="30"/>
        </w:rPr>
        <w:t>统筹实施。</w:t>
      </w:r>
    </w:p>
    <w:p>
      <w:pPr>
        <w:adjustRightInd w:val="0"/>
        <w:snapToGrid w:val="0"/>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（四）居民满意度</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“三微工程”项目建设</w:t>
      </w:r>
      <w:r>
        <w:rPr>
          <w:rFonts w:hint="eastAsia" w:ascii="仿宋" w:hAnsi="仿宋" w:eastAsia="仿宋" w:cs="仿宋"/>
          <w:bCs/>
          <w:spacing w:val="7"/>
          <w:sz w:val="30"/>
          <w:szCs w:val="30"/>
          <w:lang w:val="en-US" w:eastAsia="zh-CN"/>
        </w:rPr>
        <w:t>是</w:t>
      </w:r>
      <w:r>
        <w:rPr>
          <w:rFonts w:hint="eastAsia" w:ascii="仿宋" w:hAnsi="仿宋" w:eastAsia="仿宋" w:cs="仿宋"/>
          <w:bCs/>
          <w:spacing w:val="7"/>
          <w:sz w:val="30"/>
          <w:szCs w:val="30"/>
        </w:rPr>
        <w:t>城市基础设施建设体系的重要内容，是构建和谐社会、为民办实事的重大举措。202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年，赫山区认真贯彻落实中央各项政策要求，采取有效措施，积极推进“三微工程”项目建设，切实改善群众的居住环境，推进了新型城镇化建设、拉动了投资和消费需求、促进了经济增长和社会和谐。</w:t>
      </w:r>
    </w:p>
    <w:p>
      <w:pPr>
        <w:adjustRightInd w:val="0"/>
        <w:snapToGrid w:val="0"/>
        <w:spacing w:line="600" w:lineRule="exact"/>
        <w:ind w:firstLine="600" w:firstLineChars="200"/>
        <w:rPr>
          <w:rFonts w:ascii="黑体" w:hAnsi="黑体" w:eastAsia="黑体"/>
          <w:bCs/>
          <w:sz w:val="30"/>
          <w:szCs w:val="30"/>
        </w:rPr>
      </w:pPr>
      <w:r>
        <w:rPr>
          <w:rFonts w:hint="eastAsia" w:ascii="黑体" w:hAnsi="黑体" w:eastAsia="黑体"/>
          <w:bCs/>
          <w:sz w:val="30"/>
          <w:szCs w:val="30"/>
        </w:rPr>
        <w:t>三、自评情况</w:t>
      </w:r>
    </w:p>
    <w:p>
      <w:pPr>
        <w:adjustRightInd w:val="0"/>
        <w:snapToGrid w:val="0"/>
        <w:spacing w:line="600" w:lineRule="exact"/>
        <w:ind w:firstLine="629"/>
        <w:rPr>
          <w:rFonts w:ascii="仿宋" w:hAnsi="仿宋" w:eastAsia="仿宋" w:cs="仿宋"/>
          <w:bCs/>
          <w:spacing w:val="7"/>
          <w:sz w:val="30"/>
          <w:szCs w:val="30"/>
        </w:rPr>
      </w:pPr>
      <w:r>
        <w:rPr>
          <w:rFonts w:hint="eastAsia" w:ascii="仿宋" w:hAnsi="仿宋" w:eastAsia="仿宋" w:cs="仿宋"/>
          <w:bCs/>
          <w:spacing w:val="7"/>
          <w:sz w:val="30"/>
          <w:szCs w:val="30"/>
        </w:rPr>
        <w:t>按照绩效评价自评栏，对照自我完成情况，</w:t>
      </w:r>
      <w:r>
        <w:rPr>
          <w:rFonts w:hint="eastAsia" w:ascii="仿宋" w:hAnsi="仿宋" w:eastAsia="仿宋" w:cs="仿宋"/>
          <w:bCs/>
          <w:spacing w:val="7"/>
          <w:sz w:val="30"/>
          <w:szCs w:val="30"/>
          <w:lang w:val="en-US" w:eastAsia="zh-CN"/>
        </w:rPr>
        <w:t>绩效</w:t>
      </w:r>
      <w:r>
        <w:rPr>
          <w:rFonts w:hint="eastAsia" w:ascii="仿宋" w:hAnsi="仿宋" w:eastAsia="仿宋" w:cs="仿宋"/>
          <w:bCs/>
          <w:spacing w:val="7"/>
          <w:sz w:val="30"/>
          <w:szCs w:val="30"/>
        </w:rPr>
        <w:t>自评100分。我区</w:t>
      </w:r>
      <w:r>
        <w:rPr>
          <w:rFonts w:hint="eastAsia" w:ascii="仿宋" w:hAnsi="仿宋" w:eastAsia="仿宋" w:cs="仿宋"/>
          <w:bCs/>
          <w:spacing w:val="7"/>
          <w:sz w:val="30"/>
          <w:szCs w:val="30"/>
          <w:lang w:val="en-US" w:eastAsia="zh-CN"/>
        </w:rPr>
        <w:t>将</w:t>
      </w:r>
      <w:r>
        <w:rPr>
          <w:rFonts w:hint="eastAsia" w:ascii="仿宋" w:hAnsi="仿宋" w:eastAsia="仿宋" w:cs="仿宋"/>
          <w:bCs/>
          <w:spacing w:val="7"/>
          <w:sz w:val="30"/>
          <w:szCs w:val="30"/>
        </w:rPr>
        <w:t>继续保持对“三微工程”项目的投入力度，202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年拨付“三微工程”项目的财政性资金</w:t>
      </w:r>
      <w:r>
        <w:rPr>
          <w:rFonts w:hint="eastAsia" w:ascii="仿宋" w:hAnsi="仿宋" w:eastAsia="仿宋" w:cs="仿宋"/>
          <w:bCs/>
          <w:spacing w:val="7"/>
          <w:sz w:val="30"/>
          <w:szCs w:val="30"/>
          <w:lang w:val="en-US" w:eastAsia="zh-CN"/>
        </w:rPr>
        <w:t>630</w:t>
      </w:r>
      <w:r>
        <w:rPr>
          <w:rFonts w:hint="eastAsia" w:ascii="仿宋" w:hAnsi="仿宋" w:eastAsia="仿宋" w:cs="仿宋"/>
          <w:bCs/>
          <w:spacing w:val="7"/>
          <w:sz w:val="30"/>
          <w:szCs w:val="30"/>
        </w:rPr>
        <w:t>万元，截至202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年末完成了</w:t>
      </w:r>
      <w:r>
        <w:rPr>
          <w:rFonts w:hint="eastAsia" w:ascii="仿宋" w:hAnsi="仿宋" w:eastAsia="仿宋" w:cs="仿宋"/>
          <w:bCs/>
          <w:spacing w:val="7"/>
          <w:sz w:val="30"/>
          <w:szCs w:val="30"/>
          <w:lang w:val="en-US" w:eastAsia="zh-CN"/>
        </w:rPr>
        <w:t>60</w:t>
      </w:r>
      <w:r>
        <w:rPr>
          <w:rFonts w:hint="eastAsia" w:ascii="仿宋" w:hAnsi="仿宋" w:eastAsia="仿宋" w:cs="仿宋"/>
          <w:bCs/>
          <w:spacing w:val="7"/>
          <w:sz w:val="30"/>
          <w:szCs w:val="30"/>
        </w:rPr>
        <w:t>个“三微工程”项目，带动和引导相关配套基础设施建设，在拉动经济增长的同时，提供了就业岗位，改善了城市人居环境，提升了城镇综合承载能力。总体来看，202</w:t>
      </w:r>
      <w:r>
        <w:rPr>
          <w:rFonts w:hint="eastAsia" w:ascii="仿宋" w:hAnsi="仿宋" w:eastAsia="仿宋" w:cs="仿宋"/>
          <w:bCs/>
          <w:spacing w:val="7"/>
          <w:sz w:val="30"/>
          <w:szCs w:val="30"/>
          <w:lang w:val="en-US" w:eastAsia="zh-CN"/>
        </w:rPr>
        <w:t>2</w:t>
      </w:r>
      <w:r>
        <w:rPr>
          <w:rFonts w:hint="eastAsia" w:ascii="仿宋" w:hAnsi="仿宋" w:eastAsia="仿宋" w:cs="仿宋"/>
          <w:bCs/>
          <w:spacing w:val="7"/>
          <w:sz w:val="30"/>
          <w:szCs w:val="30"/>
        </w:rPr>
        <w:t>年我区“三微工程”项目财政资金运行较好，做到项目资金专款专用，不挤占、不截留、不挪用，并充分发挥了项目资金的使用效益。在“三微工程”项目目标任务完成方面、资金使用和筹集管理方面和使用方面、项目建设等还存在一些问题，需要进一步改进和完善。</w:t>
      </w:r>
    </w:p>
    <w:p>
      <w:pPr>
        <w:adjustRightInd w:val="0"/>
        <w:snapToGrid w:val="0"/>
        <w:spacing w:line="600" w:lineRule="exact"/>
        <w:ind w:firstLine="600" w:firstLineChars="200"/>
        <w:rPr>
          <w:rFonts w:ascii="黑体" w:hAnsi="黑体" w:eastAsia="黑体"/>
          <w:bCs/>
          <w:sz w:val="30"/>
          <w:szCs w:val="30"/>
        </w:rPr>
      </w:pPr>
      <w:r>
        <w:rPr>
          <w:rFonts w:hint="eastAsia" w:ascii="黑体" w:hAnsi="黑体" w:eastAsia="黑体"/>
          <w:bCs/>
          <w:sz w:val="30"/>
          <w:szCs w:val="30"/>
        </w:rPr>
        <w:t>四、存在的问题</w:t>
      </w:r>
    </w:p>
    <w:p>
      <w:pPr>
        <w:adjustRightInd w:val="0"/>
        <w:snapToGrid w:val="0"/>
        <w:spacing w:line="640" w:lineRule="exact"/>
        <w:ind w:firstLine="452" w:firstLineChars="150"/>
        <w:rPr>
          <w:rFonts w:ascii="仿宋" w:hAnsi="仿宋" w:eastAsia="仿宋" w:cs="仿宋"/>
          <w:b/>
          <w:sz w:val="30"/>
          <w:szCs w:val="30"/>
        </w:rPr>
      </w:pPr>
      <w:r>
        <w:rPr>
          <w:rFonts w:hint="eastAsia" w:ascii="仿宋" w:hAnsi="仿宋" w:eastAsia="仿宋" w:cs="仿宋"/>
          <w:b/>
          <w:sz w:val="30"/>
          <w:szCs w:val="30"/>
        </w:rPr>
        <w:t>（一）老旧小区违章建筑拆除难</w:t>
      </w:r>
    </w:p>
    <w:p>
      <w:pPr>
        <w:adjustRightInd w:val="0"/>
        <w:snapToGrid w:val="0"/>
        <w:spacing w:line="640" w:lineRule="exact"/>
        <w:ind w:firstLine="450" w:firstLineChars="150"/>
        <w:rPr>
          <w:rFonts w:ascii="仿宋" w:hAnsi="仿宋" w:eastAsia="仿宋" w:cs="仿宋"/>
          <w:sz w:val="30"/>
          <w:szCs w:val="30"/>
        </w:rPr>
      </w:pPr>
      <w:r>
        <w:rPr>
          <w:rFonts w:hint="eastAsia" w:ascii="仿宋" w:hAnsi="仿宋" w:eastAsia="仿宋" w:cs="仿宋"/>
          <w:sz w:val="30"/>
          <w:szCs w:val="30"/>
        </w:rPr>
        <w:t>小区内的历史存量的违章搭建和一些乱搭乱建，严重影响在改造过程中带来的改造阻力，部分居民不予配合。</w:t>
      </w:r>
    </w:p>
    <w:p>
      <w:pPr>
        <w:adjustRightInd w:val="0"/>
        <w:snapToGrid w:val="0"/>
        <w:spacing w:line="640" w:lineRule="exact"/>
        <w:ind w:firstLine="630"/>
        <w:rPr>
          <w:rFonts w:ascii="仿宋" w:hAnsi="仿宋" w:eastAsia="仿宋" w:cs="仿宋"/>
          <w:b/>
          <w:sz w:val="30"/>
          <w:szCs w:val="30"/>
        </w:rPr>
      </w:pPr>
      <w:r>
        <w:rPr>
          <w:rFonts w:hint="eastAsia" w:ascii="仿宋" w:hAnsi="仿宋" w:eastAsia="仿宋" w:cs="仿宋"/>
          <w:b/>
          <w:sz w:val="30"/>
          <w:szCs w:val="30"/>
        </w:rPr>
        <w:t>（二）地方配套资金压力大</w:t>
      </w:r>
    </w:p>
    <w:p>
      <w:pPr>
        <w:adjustRightInd w:val="0"/>
        <w:snapToGrid w:val="0"/>
        <w:spacing w:line="640" w:lineRule="exact"/>
        <w:ind w:firstLine="630"/>
        <w:rPr>
          <w:rFonts w:ascii="仿宋" w:hAnsi="仿宋" w:eastAsia="仿宋" w:cs="仿宋"/>
          <w:sz w:val="30"/>
          <w:szCs w:val="30"/>
        </w:rPr>
      </w:pPr>
      <w:r>
        <w:rPr>
          <w:rFonts w:hint="eastAsia" w:ascii="仿宋" w:hAnsi="仿宋" w:eastAsia="仿宋" w:cs="仿宋"/>
          <w:sz w:val="30"/>
          <w:szCs w:val="30"/>
        </w:rPr>
        <w:t>由于</w:t>
      </w:r>
      <w:r>
        <w:rPr>
          <w:rFonts w:hint="eastAsia" w:ascii="仿宋" w:hAnsi="仿宋" w:eastAsia="仿宋" w:cs="仿宋"/>
          <w:sz w:val="30"/>
          <w:szCs w:val="30"/>
          <w:lang w:val="en-US" w:eastAsia="zh-CN"/>
        </w:rPr>
        <w:t>区级财政资金困难，</w:t>
      </w:r>
      <w:r>
        <w:rPr>
          <w:rFonts w:hint="eastAsia" w:ascii="仿宋" w:hAnsi="仿宋" w:eastAsia="仿宋" w:cs="仿宋"/>
          <w:sz w:val="30"/>
          <w:szCs w:val="30"/>
        </w:rPr>
        <w:t>连续几年来</w:t>
      </w:r>
      <w:r>
        <w:rPr>
          <w:rFonts w:hint="eastAsia" w:ascii="仿宋" w:hAnsi="仿宋" w:eastAsia="仿宋" w:cs="仿宋"/>
          <w:bCs/>
          <w:spacing w:val="7"/>
          <w:sz w:val="30"/>
          <w:szCs w:val="30"/>
        </w:rPr>
        <w:t>“三微工程”项目</w:t>
      </w:r>
      <w:r>
        <w:rPr>
          <w:rFonts w:hint="eastAsia" w:ascii="仿宋" w:hAnsi="仿宋" w:eastAsia="仿宋" w:cs="仿宋"/>
          <w:sz w:val="30"/>
          <w:szCs w:val="30"/>
        </w:rPr>
        <w:t>建设已给区财政形成了巨大压力。随着</w:t>
      </w:r>
      <w:r>
        <w:rPr>
          <w:rFonts w:hint="eastAsia" w:ascii="仿宋" w:hAnsi="仿宋" w:eastAsia="仿宋" w:cs="仿宋"/>
          <w:bCs/>
          <w:spacing w:val="7"/>
          <w:sz w:val="30"/>
          <w:szCs w:val="30"/>
        </w:rPr>
        <w:t>“三微工程”项目</w:t>
      </w:r>
      <w:r>
        <w:rPr>
          <w:rFonts w:hint="eastAsia" w:ascii="仿宋" w:hAnsi="仿宋" w:eastAsia="仿宋" w:cs="仿宋"/>
          <w:sz w:val="30"/>
          <w:szCs w:val="30"/>
        </w:rPr>
        <w:t>工程建设规模逐年增加，地方配套资金压力进一步加大。</w:t>
      </w:r>
    </w:p>
    <w:p>
      <w:pPr>
        <w:adjustRightInd w:val="0"/>
        <w:snapToGrid w:val="0"/>
        <w:spacing w:line="640" w:lineRule="exact"/>
        <w:ind w:firstLine="600" w:firstLineChars="200"/>
        <w:rPr>
          <w:rFonts w:ascii="黑体" w:hAnsi="黑体" w:eastAsia="黑体"/>
          <w:bCs/>
          <w:sz w:val="30"/>
          <w:szCs w:val="30"/>
        </w:rPr>
      </w:pPr>
      <w:r>
        <w:rPr>
          <w:rFonts w:hint="eastAsia" w:ascii="黑体" w:hAnsi="黑体" w:eastAsia="黑体"/>
          <w:bCs/>
          <w:sz w:val="30"/>
          <w:szCs w:val="30"/>
        </w:rPr>
        <w:t>五、几点建议</w:t>
      </w:r>
    </w:p>
    <w:p>
      <w:pPr>
        <w:adjustRightInd w:val="0"/>
        <w:snapToGrid w:val="0"/>
        <w:spacing w:line="640" w:lineRule="exact"/>
        <w:ind w:firstLine="600" w:firstLineChars="200"/>
        <w:rPr>
          <w:rFonts w:ascii="仿宋" w:hAnsi="仿宋" w:eastAsia="仿宋" w:cs="仿宋"/>
          <w:sz w:val="30"/>
          <w:szCs w:val="30"/>
        </w:rPr>
      </w:pPr>
      <w:r>
        <w:rPr>
          <w:rFonts w:hint="eastAsia" w:ascii="仿宋" w:hAnsi="仿宋" w:eastAsia="仿宋" w:cs="仿宋"/>
          <w:sz w:val="30"/>
          <w:szCs w:val="30"/>
        </w:rPr>
        <w:t>（一）对小区内的违章建筑，我单位将拿出强力手段，采取法律手续，予以清拆，确保小区消防通道通畅，方便人车出行。</w:t>
      </w:r>
    </w:p>
    <w:p>
      <w:pPr>
        <w:adjustRightInd w:val="0"/>
        <w:snapToGrid w:val="0"/>
        <w:spacing w:line="640" w:lineRule="exact"/>
        <w:ind w:firstLine="600" w:firstLineChars="200"/>
        <w:rPr>
          <w:rFonts w:ascii="仿宋" w:hAnsi="仿宋" w:eastAsia="仿宋" w:cs="仿宋"/>
          <w:sz w:val="30"/>
          <w:szCs w:val="30"/>
        </w:rPr>
      </w:pPr>
      <w:r>
        <w:rPr>
          <w:rFonts w:hint="eastAsia" w:ascii="仿宋" w:hAnsi="仿宋" w:eastAsia="仿宋" w:cs="仿宋"/>
          <w:sz w:val="30"/>
          <w:szCs w:val="30"/>
        </w:rPr>
        <w:t>（二）建立</w:t>
      </w:r>
      <w:r>
        <w:rPr>
          <w:rFonts w:hint="eastAsia" w:ascii="仿宋" w:hAnsi="仿宋" w:eastAsia="仿宋" w:cs="仿宋"/>
          <w:bCs/>
          <w:spacing w:val="7"/>
          <w:sz w:val="30"/>
          <w:szCs w:val="30"/>
          <w:lang w:val="en-US" w:eastAsia="zh-CN"/>
        </w:rPr>
        <w:t>城市基础</w:t>
      </w:r>
      <w:r>
        <w:rPr>
          <w:rFonts w:hint="eastAsia" w:ascii="仿宋" w:hAnsi="仿宋" w:eastAsia="仿宋" w:cs="仿宋"/>
          <w:sz w:val="30"/>
          <w:szCs w:val="30"/>
        </w:rPr>
        <w:t>设施设备维修</w:t>
      </w:r>
      <w:r>
        <w:rPr>
          <w:rFonts w:hint="eastAsia" w:ascii="仿宋" w:hAnsi="仿宋" w:eastAsia="仿宋" w:cs="仿宋"/>
          <w:sz w:val="30"/>
          <w:szCs w:val="30"/>
          <w:lang w:val="en-US" w:eastAsia="zh-CN"/>
        </w:rPr>
        <w:t>维护</w:t>
      </w:r>
      <w:r>
        <w:rPr>
          <w:rFonts w:hint="eastAsia" w:ascii="仿宋" w:hAnsi="仿宋" w:eastAsia="仿宋" w:cs="仿宋"/>
          <w:sz w:val="30"/>
          <w:szCs w:val="30"/>
        </w:rPr>
        <w:t>基金。城市基础设施关系到城市发展、城市形象，关系到民生，建议政策上规定在土地出让金和住房公积金增值收益中适当提取，建立城市基础设施维修</w:t>
      </w:r>
      <w:r>
        <w:rPr>
          <w:rFonts w:hint="eastAsia" w:ascii="仿宋" w:hAnsi="仿宋" w:eastAsia="仿宋" w:cs="仿宋"/>
          <w:sz w:val="30"/>
          <w:szCs w:val="30"/>
          <w:lang w:val="en-US" w:eastAsia="zh-CN"/>
        </w:rPr>
        <w:t>维护</w:t>
      </w:r>
      <w:r>
        <w:rPr>
          <w:rFonts w:hint="eastAsia" w:ascii="仿宋" w:hAnsi="仿宋" w:eastAsia="仿宋" w:cs="仿宋"/>
          <w:sz w:val="30"/>
          <w:szCs w:val="30"/>
        </w:rPr>
        <w:t>基金 ，解决城市基础设施</w:t>
      </w:r>
      <w:r>
        <w:rPr>
          <w:rFonts w:hint="eastAsia" w:ascii="仿宋" w:hAnsi="仿宋" w:eastAsia="仿宋" w:cs="仿宋"/>
          <w:sz w:val="30"/>
          <w:szCs w:val="30"/>
          <w:lang w:val="en-US" w:eastAsia="zh-CN"/>
        </w:rPr>
        <w:t>薄弱、创建文明城市的短板问</w:t>
      </w:r>
      <w:r>
        <w:rPr>
          <w:rFonts w:hint="eastAsia" w:ascii="仿宋" w:hAnsi="仿宋" w:eastAsia="仿宋" w:cs="仿宋"/>
          <w:sz w:val="30"/>
          <w:szCs w:val="30"/>
        </w:rPr>
        <w:t>题。</w:t>
      </w: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640" w:firstLineChars="200"/>
        <w:jc w:val="left"/>
        <w:rPr>
          <w:rFonts w:ascii="宋体" w:hAnsi="宋体" w:cs="黑体"/>
          <w:color w:val="000000"/>
          <w:kern w:val="0"/>
          <w:sz w:val="32"/>
          <w:szCs w:val="32"/>
        </w:rPr>
      </w:pPr>
    </w:p>
    <w:p>
      <w:pPr>
        <w:ind w:firstLine="2240" w:firstLineChars="7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益阳市赫山区城市管理和综合执法局</w:t>
      </w:r>
    </w:p>
    <w:p>
      <w:pPr>
        <w:ind w:firstLine="2240" w:firstLineChars="700"/>
        <w:jc w:val="left"/>
        <w:rPr>
          <w:rFonts w:hint="eastAsia" w:ascii="仿宋" w:hAnsi="仿宋" w:eastAsia="仿宋" w:cs="仿宋"/>
          <w:color w:val="000000"/>
          <w:kern w:val="0"/>
          <w:sz w:val="32"/>
          <w:szCs w:val="32"/>
          <w:lang w:val="en-US" w:eastAsia="zh-CN"/>
        </w:rPr>
      </w:pPr>
    </w:p>
    <w:p>
      <w:pPr>
        <w:ind w:firstLine="3840" w:firstLineChars="1200"/>
        <w:jc w:val="left"/>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2023年5月18日</w:t>
      </w:r>
    </w:p>
    <w:p>
      <w:pPr>
        <w:ind w:firstLine="640" w:firstLineChars="200"/>
        <w:jc w:val="left"/>
        <w:rPr>
          <w:rFonts w:ascii="宋体" w:hAnsi="宋体" w:cs="黑体"/>
          <w:color w:val="000000"/>
          <w:kern w:val="0"/>
          <w:sz w:val="32"/>
          <w:szCs w:val="32"/>
        </w:rPr>
      </w:pPr>
    </w:p>
    <w:p/>
    <w:p/>
    <w:p/>
    <w:p/>
    <w:p/>
    <w:p/>
    <w:p/>
    <w:p/>
    <w:p/>
    <w:p/>
    <w:p>
      <w:pPr>
        <w:spacing w:line="400" w:lineRule="exact"/>
        <w:ind w:right="-668" w:rightChars="-318"/>
        <w:jc w:val="center"/>
        <w:rPr>
          <w:rFonts w:hint="eastAsia" w:ascii="方正小标宋简体" w:eastAsia="方正小标宋简体"/>
          <w:sz w:val="32"/>
          <w:szCs w:val="32"/>
        </w:rPr>
      </w:pPr>
      <w:r>
        <w:rPr>
          <w:rFonts w:hint="eastAsia" w:ascii="方正小标宋简体" w:eastAsia="方正小标宋简体"/>
          <w:sz w:val="32"/>
          <w:szCs w:val="32"/>
        </w:rPr>
        <w:t>项目支出（项目）绩效目标表</w:t>
      </w:r>
    </w:p>
    <w:p>
      <w:pPr>
        <w:spacing w:line="400" w:lineRule="exact"/>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2022</w:t>
      </w:r>
      <w:r>
        <w:rPr>
          <w:rFonts w:hint="eastAsia" w:ascii="楷体_GB2312" w:eastAsia="楷体_GB2312"/>
          <w:sz w:val="32"/>
          <w:szCs w:val="32"/>
        </w:rPr>
        <w:t>年度）</w:t>
      </w:r>
    </w:p>
    <w:p>
      <w:pPr>
        <w:ind w:firstLine="5520" w:firstLineChars="2300"/>
        <w:rPr>
          <w:rFonts w:hint="eastAsia" w:ascii="仿宋_GB2312" w:eastAsia="仿宋_GB2312"/>
          <w:sz w:val="24"/>
          <w:szCs w:val="24"/>
        </w:rPr>
      </w:pPr>
      <w:r>
        <w:rPr>
          <w:rFonts w:hint="eastAsia" w:ascii="仿宋_GB2312" w:eastAsia="仿宋_GB2312"/>
          <w:sz w:val="24"/>
          <w:szCs w:val="24"/>
        </w:rPr>
        <w:t xml:space="preserve">              单位：万元</w:t>
      </w:r>
    </w:p>
    <w:tbl>
      <w:tblPr>
        <w:tblStyle w:val="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4"/>
        <w:gridCol w:w="1398"/>
        <w:gridCol w:w="1401"/>
        <w:gridCol w:w="1900"/>
        <w:gridCol w:w="117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6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项目支出</w:t>
            </w:r>
          </w:p>
          <w:p>
            <w:pPr>
              <w:jc w:val="center"/>
              <w:rPr>
                <w:rFonts w:hint="eastAsia" w:ascii="仿宋_GB2312" w:eastAsia="仿宋_GB2312"/>
                <w:sz w:val="24"/>
                <w:szCs w:val="24"/>
              </w:rPr>
            </w:pPr>
            <w:r>
              <w:rPr>
                <w:rFonts w:hint="eastAsia" w:ascii="仿宋_GB2312" w:eastAsia="仿宋_GB2312"/>
                <w:sz w:val="24"/>
                <w:szCs w:val="24"/>
              </w:rPr>
              <w:t>（项目）名称</w:t>
            </w:r>
          </w:p>
        </w:tc>
        <w:tc>
          <w:tcPr>
            <w:tcW w:w="2799" w:type="dxa"/>
            <w:gridSpan w:val="2"/>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三微工程项目</w:t>
            </w:r>
          </w:p>
        </w:tc>
        <w:tc>
          <w:tcPr>
            <w:tcW w:w="190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预算单位</w:t>
            </w:r>
          </w:p>
        </w:tc>
        <w:tc>
          <w:tcPr>
            <w:tcW w:w="2574" w:type="dxa"/>
            <w:gridSpan w:val="2"/>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赫山区城市管理和综合执法局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exact"/>
        </w:trPr>
        <w:tc>
          <w:tcPr>
            <w:tcW w:w="206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年度预算总金额</w:t>
            </w:r>
          </w:p>
        </w:tc>
        <w:tc>
          <w:tcPr>
            <w:tcW w:w="2799" w:type="dxa"/>
            <w:gridSpan w:val="2"/>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630.00</w:t>
            </w:r>
            <w:bookmarkStart w:id="0" w:name="_GoBack"/>
            <w:bookmarkEnd w:id="0"/>
          </w:p>
        </w:tc>
        <w:tc>
          <w:tcPr>
            <w:tcW w:w="190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项目资金</w:t>
            </w:r>
          </w:p>
        </w:tc>
        <w:tc>
          <w:tcPr>
            <w:tcW w:w="2574" w:type="dxa"/>
            <w:gridSpan w:val="2"/>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06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项目支出（项目）实施期</w:t>
            </w:r>
          </w:p>
        </w:tc>
        <w:tc>
          <w:tcPr>
            <w:tcW w:w="7273" w:type="dxa"/>
            <w:gridSpan w:val="5"/>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2022年3月至1月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206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实施期绩效目标</w:t>
            </w:r>
          </w:p>
        </w:tc>
        <w:tc>
          <w:tcPr>
            <w:tcW w:w="7273" w:type="dxa"/>
            <w:gridSpan w:val="5"/>
            <w:noWrap w:val="0"/>
            <w:vAlign w:val="top"/>
          </w:tcPr>
          <w:p>
            <w:pPr>
              <w:rPr>
                <w:rFonts w:hint="eastAsia" w:ascii="仿宋_GB2312" w:eastAsia="仿宋_GB2312"/>
                <w:sz w:val="24"/>
                <w:szCs w:val="24"/>
                <w:lang w:eastAsia="zh-CN"/>
              </w:rPr>
            </w:pPr>
            <w:r>
              <w:rPr>
                <w:rFonts w:hint="eastAsia" w:ascii="仿宋_GB2312" w:eastAsia="仿宋_GB2312"/>
                <w:sz w:val="24"/>
                <w:szCs w:val="24"/>
                <w:lang w:eastAsia="zh-CN"/>
              </w:rPr>
              <w:t>通过该项目的实施，</w:t>
            </w:r>
            <w:r>
              <w:rPr>
                <w:rFonts w:hint="eastAsia" w:ascii="仿宋_GB2312" w:eastAsia="仿宋_GB2312"/>
                <w:sz w:val="24"/>
                <w:szCs w:val="24"/>
                <w:lang w:val="en-US" w:eastAsia="zh-CN"/>
              </w:rPr>
              <w:t>进一步改善城市面貌，提升城市品位，优化人居环境，巩固国家卫生城市创建成果，改变中心城区基础设施建设落后的现状</w:t>
            </w:r>
            <w:r>
              <w:rPr>
                <w:rFonts w:hint="eastAsia" w:ascii="仿宋_GB2312" w:hAnsi="Calibri"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2" w:hRule="exact"/>
        </w:trPr>
        <w:tc>
          <w:tcPr>
            <w:tcW w:w="2064"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本年度绩效目标</w:t>
            </w:r>
          </w:p>
        </w:tc>
        <w:tc>
          <w:tcPr>
            <w:tcW w:w="7273" w:type="dxa"/>
            <w:gridSpan w:val="5"/>
            <w:noWrap w:val="0"/>
            <w:vAlign w:val="top"/>
          </w:tcPr>
          <w:p>
            <w:pPr>
              <w:rPr>
                <w:rFonts w:hint="eastAsia" w:ascii="仿宋_GB2312" w:eastAsia="仿宋_GB2312"/>
                <w:sz w:val="24"/>
                <w:szCs w:val="24"/>
              </w:rPr>
            </w:pPr>
            <w:r>
              <w:rPr>
                <w:rFonts w:hint="eastAsia" w:ascii="仿宋_GB2312" w:eastAsia="仿宋_GB2312"/>
                <w:sz w:val="24"/>
                <w:szCs w:val="24"/>
                <w:lang w:eastAsia="zh-CN"/>
              </w:rPr>
              <w:t>通过该项目的实施，</w:t>
            </w:r>
            <w:r>
              <w:rPr>
                <w:rFonts w:hint="eastAsia" w:ascii="仿宋_GB2312" w:eastAsia="仿宋_GB2312"/>
                <w:sz w:val="24"/>
                <w:szCs w:val="24"/>
                <w:lang w:val="en-US" w:eastAsia="zh-CN"/>
              </w:rPr>
              <w:t>进一步改善城市面貌，提升城市品位，优化人居环境，巩固国家卫生城市创建成果，改变中心城区基础设施建设落后的现状</w:t>
            </w:r>
            <w:r>
              <w:rPr>
                <w:rFonts w:hint="eastAsia" w:ascii="仿宋_GB2312" w:hAnsi="Calibri" w:eastAsia="仿宋_GB2312"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exact"/>
        </w:trPr>
        <w:tc>
          <w:tcPr>
            <w:tcW w:w="2064"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本年度</w:t>
            </w:r>
          </w:p>
          <w:p>
            <w:pPr>
              <w:jc w:val="center"/>
              <w:rPr>
                <w:rFonts w:hint="eastAsia" w:ascii="仿宋_GB2312" w:eastAsia="仿宋_GB2312"/>
                <w:sz w:val="24"/>
                <w:szCs w:val="24"/>
              </w:rPr>
            </w:pPr>
            <w:r>
              <w:rPr>
                <w:rFonts w:hint="eastAsia" w:ascii="仿宋_GB2312" w:eastAsia="仿宋_GB2312"/>
                <w:sz w:val="24"/>
                <w:szCs w:val="24"/>
              </w:rPr>
              <w:t>绩效指标</w:t>
            </w:r>
          </w:p>
        </w:tc>
        <w:tc>
          <w:tcPr>
            <w:tcW w:w="1398"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一级指标</w:t>
            </w: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二级指标</w:t>
            </w:r>
          </w:p>
        </w:tc>
        <w:tc>
          <w:tcPr>
            <w:tcW w:w="1900"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三级指标</w:t>
            </w:r>
          </w:p>
        </w:tc>
        <w:tc>
          <w:tcPr>
            <w:tcW w:w="117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指标值及单位</w:t>
            </w:r>
          </w:p>
        </w:tc>
        <w:tc>
          <w:tcPr>
            <w:tcW w:w="1402"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绩效标准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产出指标</w:t>
            </w:r>
          </w:p>
        </w:tc>
        <w:tc>
          <w:tcPr>
            <w:tcW w:w="1401"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数量指标</w:t>
            </w:r>
          </w:p>
        </w:tc>
        <w:tc>
          <w:tcPr>
            <w:tcW w:w="1900" w:type="dxa"/>
            <w:noWrap w:val="0"/>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工程建设总面积</w:t>
            </w:r>
          </w:p>
        </w:tc>
        <w:tc>
          <w:tcPr>
            <w:tcW w:w="1172" w:type="dxa"/>
            <w:noWrap w:val="0"/>
            <w:vAlign w:val="center"/>
          </w:tcPr>
          <w:p>
            <w:pPr>
              <w:jc w:val="center"/>
              <w:rPr>
                <w:rFonts w:hint="default" w:ascii="仿宋_GB2312" w:eastAsia="仿宋_GB2312"/>
                <w:sz w:val="24"/>
                <w:szCs w:val="24"/>
                <w:lang w:val="en-US" w:eastAsia="zh-CN"/>
              </w:rPr>
            </w:pPr>
            <w:r>
              <w:rPr>
                <w:rFonts w:hint="eastAsia" w:ascii="宋体" w:hAnsi="宋体" w:eastAsia="宋体" w:cs="宋体"/>
                <w:sz w:val="24"/>
                <w:szCs w:val="24"/>
                <w:lang w:val="en-US" w:eastAsia="zh-CN"/>
              </w:rPr>
              <w:t>㎡</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20000</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continue"/>
            <w:noWrap w:val="0"/>
            <w:vAlign w:val="center"/>
          </w:tcPr>
          <w:p>
            <w:pPr>
              <w:jc w:val="center"/>
              <w:rPr>
                <w:rFonts w:hint="eastAsia" w:ascii="仿宋_GB2312" w:eastAsia="仿宋_GB2312"/>
                <w:sz w:val="24"/>
                <w:szCs w:val="24"/>
              </w:rPr>
            </w:pPr>
          </w:p>
        </w:tc>
        <w:tc>
          <w:tcPr>
            <w:tcW w:w="1900" w:type="dxa"/>
            <w:noWrap w:val="0"/>
            <w:vAlign w:val="center"/>
          </w:tcPr>
          <w:p>
            <w:pPr>
              <w:jc w:val="center"/>
              <w:rPr>
                <w:rFonts w:hint="default" w:ascii="仿宋_GB2312" w:hAnsi="宋体" w:eastAsia="仿宋_GB2312"/>
                <w:sz w:val="18"/>
                <w:szCs w:val="18"/>
                <w:lang w:val="en-US" w:eastAsia="zh-CN"/>
              </w:rPr>
            </w:pPr>
            <w:r>
              <w:rPr>
                <w:rFonts w:hint="eastAsia" w:ascii="仿宋_GB2312" w:hAnsi="宋体" w:eastAsia="仿宋_GB2312"/>
                <w:sz w:val="18"/>
                <w:szCs w:val="18"/>
                <w:lang w:val="en-US" w:eastAsia="zh-CN"/>
              </w:rPr>
              <w:t>工程建设材料</w:t>
            </w:r>
          </w:p>
        </w:tc>
        <w:tc>
          <w:tcPr>
            <w:tcW w:w="117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吨</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continue"/>
            <w:noWrap w:val="0"/>
            <w:vAlign w:val="center"/>
          </w:tcPr>
          <w:p>
            <w:pPr>
              <w:jc w:val="center"/>
              <w:rPr>
                <w:rFonts w:hint="eastAsia" w:ascii="仿宋_GB2312" w:eastAsia="仿宋_GB2312"/>
                <w:sz w:val="24"/>
                <w:szCs w:val="24"/>
              </w:rPr>
            </w:pPr>
          </w:p>
        </w:tc>
        <w:tc>
          <w:tcPr>
            <w:tcW w:w="1900" w:type="dxa"/>
            <w:noWrap w:val="0"/>
            <w:vAlign w:val="center"/>
          </w:tcPr>
          <w:p>
            <w:pPr>
              <w:jc w:val="center"/>
              <w:rPr>
                <w:rFonts w:hint="default" w:ascii="仿宋_GB2312" w:hAnsi="宋体" w:eastAsia="仿宋_GB2312"/>
                <w:sz w:val="18"/>
                <w:szCs w:val="18"/>
                <w:lang w:val="en-US" w:eastAsia="zh-CN"/>
              </w:rPr>
            </w:pPr>
          </w:p>
        </w:tc>
        <w:tc>
          <w:tcPr>
            <w:tcW w:w="1172" w:type="dxa"/>
            <w:noWrap w:val="0"/>
            <w:vAlign w:val="center"/>
          </w:tcPr>
          <w:p>
            <w:pPr>
              <w:jc w:val="center"/>
              <w:rPr>
                <w:rFonts w:hint="default" w:ascii="仿宋_GB2312" w:eastAsia="仿宋_GB2312"/>
                <w:sz w:val="24"/>
                <w:szCs w:val="24"/>
                <w:lang w:val="en-US"/>
              </w:rPr>
            </w:pPr>
          </w:p>
        </w:tc>
        <w:tc>
          <w:tcPr>
            <w:tcW w:w="1402" w:type="dxa"/>
            <w:noWrap w:val="0"/>
            <w:vAlign w:val="center"/>
          </w:tcPr>
          <w:p>
            <w:pPr>
              <w:jc w:val="center"/>
              <w:rPr>
                <w:rFonts w:hint="default" w:ascii="仿宋_GB2312" w:eastAsia="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质量指标</w:t>
            </w:r>
          </w:p>
        </w:tc>
        <w:tc>
          <w:tcPr>
            <w:tcW w:w="1900"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建设工程质量</w:t>
            </w:r>
          </w:p>
        </w:tc>
        <w:tc>
          <w:tcPr>
            <w:tcW w:w="1172"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优良</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continue"/>
            <w:noWrap w:val="0"/>
            <w:vAlign w:val="center"/>
          </w:tcPr>
          <w:p>
            <w:pPr>
              <w:jc w:val="center"/>
              <w:rPr>
                <w:rFonts w:hint="eastAsia" w:ascii="仿宋_GB2312" w:eastAsia="仿宋_GB2312"/>
                <w:sz w:val="24"/>
                <w:szCs w:val="24"/>
              </w:rPr>
            </w:pPr>
          </w:p>
        </w:tc>
        <w:tc>
          <w:tcPr>
            <w:tcW w:w="1900" w:type="dxa"/>
            <w:noWrap w:val="0"/>
            <w:vAlign w:val="center"/>
          </w:tcPr>
          <w:p>
            <w:pPr>
              <w:jc w:val="center"/>
              <w:rPr>
                <w:rFonts w:hint="default" w:ascii="仿宋_GB2312" w:eastAsia="仿宋_GB2312"/>
                <w:sz w:val="24"/>
                <w:szCs w:val="24"/>
                <w:lang w:val="en-US" w:eastAsia="zh-CN"/>
              </w:rPr>
            </w:pPr>
            <w:r>
              <w:rPr>
                <w:rFonts w:hint="eastAsia" w:ascii="仿宋_GB2312" w:hAnsi="宋体" w:eastAsia="仿宋_GB2312"/>
                <w:sz w:val="24"/>
                <w:szCs w:val="24"/>
                <w:lang w:val="en-US" w:eastAsia="zh-CN"/>
              </w:rPr>
              <w:t>建筑材料质量</w:t>
            </w:r>
          </w:p>
        </w:tc>
        <w:tc>
          <w:tcPr>
            <w:tcW w:w="1172"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达标</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时效指标</w:t>
            </w: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工程按时完工率</w:t>
            </w:r>
          </w:p>
        </w:tc>
        <w:tc>
          <w:tcPr>
            <w:tcW w:w="1172"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vMerge w:val="continue"/>
            <w:noWrap w:val="0"/>
            <w:vAlign w:val="center"/>
          </w:tcPr>
          <w:p>
            <w:pPr>
              <w:jc w:val="center"/>
              <w:rPr>
                <w:rFonts w:hint="eastAsia" w:ascii="仿宋_GB2312" w:eastAsia="仿宋_GB2312"/>
                <w:sz w:val="24"/>
                <w:szCs w:val="24"/>
              </w:rPr>
            </w:pP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预算执行完成率</w:t>
            </w:r>
          </w:p>
        </w:tc>
        <w:tc>
          <w:tcPr>
            <w:tcW w:w="1172" w:type="dxa"/>
            <w:noWrap w:val="0"/>
            <w:vAlign w:val="center"/>
          </w:tcPr>
          <w:p>
            <w:pPr>
              <w:jc w:val="center"/>
              <w:rPr>
                <w:rFonts w:hint="eastAsia" w:ascii="仿宋_GB2312" w:eastAsia="仿宋_GB2312"/>
                <w:sz w:val="24"/>
                <w:szCs w:val="24"/>
              </w:rPr>
            </w:pPr>
            <w:r>
              <w:rPr>
                <w:rFonts w:hint="eastAsia" w:ascii="仿宋_GB2312" w:eastAsia="仿宋_GB2312"/>
                <w:sz w:val="24"/>
                <w:szCs w:val="24"/>
                <w:lang w:val="en-US" w:eastAsia="zh-CN"/>
              </w:rPr>
              <w:t>%</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成本指标</w:t>
            </w:r>
          </w:p>
        </w:tc>
        <w:tc>
          <w:tcPr>
            <w:tcW w:w="1900"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w:t>
            </w:r>
          </w:p>
        </w:tc>
        <w:tc>
          <w:tcPr>
            <w:tcW w:w="1172" w:type="dxa"/>
            <w:noWrap w:val="0"/>
            <w:vAlign w:val="center"/>
          </w:tcPr>
          <w:p>
            <w:pPr>
              <w:jc w:val="center"/>
              <w:rPr>
                <w:rFonts w:hint="eastAsia" w:ascii="仿宋_GB2312" w:eastAsia="仿宋_GB2312"/>
                <w:sz w:val="24"/>
                <w:szCs w:val="24"/>
              </w:rPr>
            </w:pPr>
          </w:p>
        </w:tc>
        <w:tc>
          <w:tcPr>
            <w:tcW w:w="1402" w:type="dxa"/>
            <w:noWrap w:val="0"/>
            <w:vAlign w:val="center"/>
          </w:tcPr>
          <w:p>
            <w:pPr>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restart"/>
            <w:noWrap w:val="0"/>
            <w:vAlign w:val="center"/>
          </w:tcPr>
          <w:p>
            <w:pPr>
              <w:jc w:val="center"/>
              <w:rPr>
                <w:rFonts w:hint="eastAsia" w:ascii="仿宋_GB2312" w:eastAsia="仿宋_GB2312"/>
                <w:sz w:val="24"/>
                <w:szCs w:val="24"/>
              </w:rPr>
            </w:pPr>
            <w:r>
              <w:rPr>
                <w:rFonts w:hint="eastAsia" w:ascii="仿宋_GB2312" w:eastAsia="仿宋_GB2312"/>
                <w:sz w:val="24"/>
                <w:szCs w:val="24"/>
              </w:rPr>
              <w:t>效益指标</w:t>
            </w: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经济效益</w:t>
            </w:r>
          </w:p>
          <w:p>
            <w:pPr>
              <w:jc w:val="center"/>
              <w:rPr>
                <w:rFonts w:hint="eastAsia" w:ascii="仿宋_GB2312" w:eastAsia="仿宋_GB2312"/>
                <w:sz w:val="24"/>
                <w:szCs w:val="24"/>
              </w:rPr>
            </w:pPr>
            <w:r>
              <w:rPr>
                <w:rFonts w:hint="eastAsia" w:ascii="仿宋_GB2312" w:eastAsia="仿宋_GB2312"/>
                <w:sz w:val="24"/>
                <w:szCs w:val="24"/>
              </w:rPr>
              <w:t>指标</w:t>
            </w: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项目带动相关产业增值</w:t>
            </w:r>
          </w:p>
        </w:tc>
        <w:tc>
          <w:tcPr>
            <w:tcW w:w="1172"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万元</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社会效益</w:t>
            </w:r>
          </w:p>
          <w:p>
            <w:pPr>
              <w:jc w:val="center"/>
              <w:rPr>
                <w:rFonts w:hint="eastAsia" w:ascii="仿宋_GB2312" w:eastAsia="仿宋_GB2312"/>
                <w:sz w:val="24"/>
                <w:szCs w:val="24"/>
              </w:rPr>
            </w:pPr>
            <w:r>
              <w:rPr>
                <w:rFonts w:hint="eastAsia" w:ascii="仿宋_GB2312" w:eastAsia="仿宋_GB2312"/>
                <w:sz w:val="24"/>
                <w:szCs w:val="24"/>
              </w:rPr>
              <w:t>指标</w:t>
            </w: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人居环境改善受惠人数</w:t>
            </w:r>
          </w:p>
        </w:tc>
        <w:tc>
          <w:tcPr>
            <w:tcW w:w="1172"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万人</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生态效益</w:t>
            </w:r>
          </w:p>
          <w:p>
            <w:pPr>
              <w:jc w:val="center"/>
              <w:rPr>
                <w:rFonts w:hint="eastAsia" w:ascii="仿宋_GB2312" w:eastAsia="仿宋_GB2312"/>
                <w:sz w:val="24"/>
                <w:szCs w:val="24"/>
              </w:rPr>
            </w:pPr>
            <w:r>
              <w:rPr>
                <w:rFonts w:hint="eastAsia" w:ascii="仿宋_GB2312" w:eastAsia="仿宋_GB2312"/>
                <w:sz w:val="24"/>
                <w:szCs w:val="24"/>
              </w:rPr>
              <w:t>指标</w:t>
            </w:r>
          </w:p>
        </w:tc>
        <w:tc>
          <w:tcPr>
            <w:tcW w:w="1900"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优化区域生态环境</w:t>
            </w:r>
          </w:p>
        </w:tc>
        <w:tc>
          <w:tcPr>
            <w:tcW w:w="117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科学</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可持续影响指标</w:t>
            </w: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后期管护持续时间</w:t>
            </w:r>
          </w:p>
        </w:tc>
        <w:tc>
          <w:tcPr>
            <w:tcW w:w="1172"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年</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exact"/>
        </w:trPr>
        <w:tc>
          <w:tcPr>
            <w:tcW w:w="2064" w:type="dxa"/>
            <w:vMerge w:val="continue"/>
            <w:noWrap w:val="0"/>
            <w:vAlign w:val="center"/>
          </w:tcPr>
          <w:p>
            <w:pPr>
              <w:jc w:val="center"/>
              <w:rPr>
                <w:rFonts w:hint="eastAsia" w:ascii="仿宋_GB2312" w:eastAsia="仿宋_GB2312"/>
                <w:sz w:val="24"/>
                <w:szCs w:val="24"/>
              </w:rPr>
            </w:pPr>
          </w:p>
        </w:tc>
        <w:tc>
          <w:tcPr>
            <w:tcW w:w="1398" w:type="dxa"/>
            <w:vMerge w:val="continue"/>
            <w:noWrap w:val="0"/>
            <w:vAlign w:val="center"/>
          </w:tcPr>
          <w:p>
            <w:pPr>
              <w:jc w:val="center"/>
              <w:rPr>
                <w:rFonts w:hint="eastAsia" w:ascii="仿宋_GB2312" w:eastAsia="仿宋_GB2312"/>
                <w:sz w:val="24"/>
                <w:szCs w:val="24"/>
              </w:rPr>
            </w:pPr>
          </w:p>
        </w:tc>
        <w:tc>
          <w:tcPr>
            <w:tcW w:w="1401"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社会公众或服务对象满意度指标</w:t>
            </w:r>
          </w:p>
        </w:tc>
        <w:tc>
          <w:tcPr>
            <w:tcW w:w="1900" w:type="dxa"/>
            <w:noWrap w:val="0"/>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项目满意度</w:t>
            </w:r>
          </w:p>
        </w:tc>
        <w:tc>
          <w:tcPr>
            <w:tcW w:w="1172" w:type="dxa"/>
            <w:noWrap w:val="0"/>
            <w:vAlign w:val="center"/>
          </w:tcPr>
          <w:p>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w:t>
            </w:r>
          </w:p>
        </w:tc>
        <w:tc>
          <w:tcPr>
            <w:tcW w:w="1402" w:type="dxa"/>
            <w:noWrap w:val="0"/>
            <w:vAlign w:val="center"/>
          </w:tcPr>
          <w:p>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100</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DD69D"/>
    <w:multiLevelType w:val="singleLevel"/>
    <w:tmpl w:val="1CDDD69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TIwNjVlN2FhYTVkMjQ5OWNkMGExYTBjODI1MTQifQ=="/>
  </w:docVars>
  <w:rsids>
    <w:rsidRoot w:val="006F059E"/>
    <w:rsid w:val="00116DB4"/>
    <w:rsid w:val="00381F03"/>
    <w:rsid w:val="004B1647"/>
    <w:rsid w:val="006F059E"/>
    <w:rsid w:val="00D76B0B"/>
    <w:rsid w:val="00F96CC0"/>
    <w:rsid w:val="1D653691"/>
    <w:rsid w:val="1DE52BDA"/>
    <w:rsid w:val="20E96E38"/>
    <w:rsid w:val="24B85BB9"/>
    <w:rsid w:val="2DA97E2F"/>
    <w:rsid w:val="2F633A97"/>
    <w:rsid w:val="3EC6723B"/>
    <w:rsid w:val="44B059E5"/>
    <w:rsid w:val="4CC21888"/>
    <w:rsid w:val="7B12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rFonts w:ascii="Times New Roman" w:hAnsi="Times New Roman"/>
      <w:kern w:val="0"/>
      <w:szCs w:val="21"/>
    </w:rPr>
  </w:style>
  <w:style w:type="paragraph" w:customStyle="1" w:styleId="8">
    <w:name w:val="p18"/>
    <w:basedOn w:val="1"/>
    <w:qFormat/>
    <w:uiPriority w:val="0"/>
    <w:pPr>
      <w:widowControl/>
    </w:pPr>
    <w:rPr>
      <w:rFonts w:ascii="Times New Roman" w:hAnsi="Times New Roman"/>
      <w:kern w:val="0"/>
      <w:szCs w:val="21"/>
    </w:rPr>
  </w:style>
  <w:style w:type="character" w:customStyle="1" w:styleId="9">
    <w:name w:val="页眉 Char"/>
    <w:basedOn w:val="6"/>
    <w:link w:val="3"/>
    <w:qFormat/>
    <w:uiPriority w:val="0"/>
    <w:rPr>
      <w:rFonts w:ascii="Calibri" w:hAnsi="Calibri" w:eastAsia="宋体" w:cs="Times New Roman"/>
      <w:kern w:val="2"/>
      <w:sz w:val="18"/>
      <w:szCs w:val="18"/>
    </w:rPr>
  </w:style>
  <w:style w:type="character" w:customStyle="1" w:styleId="10">
    <w:name w:val="页脚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2088</Words>
  <Characters>2176</Characters>
  <Lines>1</Lines>
  <Paragraphs>3</Paragraphs>
  <TotalTime>30</TotalTime>
  <ScaleCrop>false</ScaleCrop>
  <LinksUpToDate>false</LinksUpToDate>
  <CharactersWithSpaces>2195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2023-06-07T06:50:00Z</dcterms:created>
  <dc:creator>admin-3</dc:creator>
  <cp:lastModifiedBy>刘新容</cp:lastModifiedBy>
  <dcterms:modified xsi:type="dcterms:W3CDTF">2023-06-08T04:03:03Z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280FEA9F49FA4576A199054C0C5DAD4A_13</vt:lpwstr>
  </property>
</Properties>
</file>