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00" w:lineRule="exact"/>
        <w:jc w:val="both"/>
        <w:rPr>
          <w:rFonts w:ascii="黑体" w:hAnsi="黑体" w:eastAsia="黑体" w:cs="Times New Roman"/>
          <w:kern w:val="2"/>
          <w:sz w:val="32"/>
          <w:szCs w:val="32"/>
        </w:rPr>
      </w:pPr>
    </w:p>
    <w:p>
      <w:pPr>
        <w:widowControl w:val="0"/>
        <w:adjustRightInd/>
        <w:snapToGrid/>
        <w:spacing w:after="0" w:line="400" w:lineRule="exact"/>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202</w:t>
      </w:r>
      <w:r>
        <w:rPr>
          <w:rFonts w:hint="eastAsia" w:ascii="方正小标宋简体" w:hAnsi="Times New Roman" w:eastAsia="方正小标宋简体" w:cs="Times New Roman"/>
          <w:kern w:val="2"/>
          <w:sz w:val="44"/>
          <w:szCs w:val="44"/>
          <w:lang w:val="en-US" w:eastAsia="zh-CN"/>
        </w:rPr>
        <w:t>2</w:t>
      </w:r>
      <w:r>
        <w:rPr>
          <w:rFonts w:hint="eastAsia" w:ascii="方正小标宋简体" w:hAnsi="Times New Roman" w:eastAsia="方正小标宋简体" w:cs="Times New Roman"/>
          <w:kern w:val="2"/>
          <w:sz w:val="44"/>
          <w:szCs w:val="44"/>
        </w:rPr>
        <w:t>年赫山区畜牧水产事务中心部门</w:t>
      </w:r>
    </w:p>
    <w:p>
      <w:pPr>
        <w:widowControl w:val="0"/>
        <w:adjustRightInd/>
        <w:snapToGrid/>
        <w:spacing w:after="0" w:line="400" w:lineRule="exact"/>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整体支出绩效评价报告</w:t>
      </w:r>
    </w:p>
    <w:p>
      <w:pPr>
        <w:widowControl w:val="0"/>
        <w:adjustRightInd/>
        <w:snapToGrid/>
        <w:spacing w:after="0" w:line="400" w:lineRule="exact"/>
        <w:jc w:val="both"/>
        <w:rPr>
          <w:rFonts w:ascii="仿宋_GB2312" w:hAnsi="Times New Roman" w:eastAsia="仿宋_GB2312" w:cs="Times New Roman"/>
          <w:kern w:val="2"/>
          <w:sz w:val="32"/>
          <w:szCs w:val="32"/>
        </w:rPr>
      </w:pPr>
    </w:p>
    <w:p>
      <w:pPr>
        <w:widowControl w:val="0"/>
        <w:adjustRightInd/>
        <w:snapToGrid/>
        <w:spacing w:after="0" w:line="400" w:lineRule="exact"/>
        <w:ind w:firstLine="643" w:firstLineChars="200"/>
        <w:jc w:val="both"/>
        <w:rPr>
          <w:rFonts w:ascii="黑体" w:hAnsi="黑体" w:eastAsia="黑体" w:cs="Times New Roman"/>
          <w:b/>
          <w:kern w:val="2"/>
          <w:sz w:val="21"/>
          <w:szCs w:val="32"/>
        </w:rPr>
      </w:pPr>
      <w:r>
        <w:rPr>
          <w:rFonts w:hint="eastAsia" w:ascii="黑体" w:hAnsi="黑体" w:eastAsia="黑体" w:cs="Times New Roman"/>
          <w:b/>
          <w:kern w:val="2"/>
          <w:sz w:val="32"/>
          <w:szCs w:val="32"/>
        </w:rPr>
        <w:t>一、基本情况</w:t>
      </w: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（一）部门职能概述。</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1.贯彻执行党和国家以及省、市、区有关养殖业工作的方针政策和法律法规。</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2.负责全区养殖业生产的指导服务，承担养殖业生产技术技能培训。</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3.参与拟订畜牧业、渔业发展规划和养殖业重大项目的筛选、立项申报。</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4.承担养殖业技术研究攻关，新品种、新技术的引进、培育、开发利用和推广；指导畜禽水产良种繁育试验示范及种质资源保护、开发利用。</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5.组织实施动物疫病、动物血吸虫病、水产养殖病害综合防治和动物疫病检测。</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6.负责资质范围内渔业船舶登记检验工作。</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7.参与畜禽屠宰管理、动物疫病处置、畜禽水产品质量安全、饲料和兽药生产经营管理、渔业资源保护及生产秩序和安全监管服务等工作。</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8.承担区农业农村局委托的有关行政职能。</w:t>
      </w:r>
    </w:p>
    <w:p>
      <w:pPr>
        <w:widowControl w:val="0"/>
        <w:adjustRightInd/>
        <w:snapToGrid/>
        <w:spacing w:after="0"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9.完成区委、区政府和区农业农村局交办的其他任务。</w:t>
      </w: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bookmarkStart w:id="0" w:name="OLE_LINK1"/>
      <w:r>
        <w:rPr>
          <w:rFonts w:hint="eastAsia" w:ascii="仿宋_GB2312" w:hAnsi="仿宋_GB2312" w:eastAsia="仿宋_GB2312" w:cs="仿宋_GB2312"/>
          <w:kern w:val="2"/>
          <w:sz w:val="32"/>
          <w:szCs w:val="32"/>
        </w:rPr>
        <w:t>（二）部门组织机构</w:t>
      </w:r>
    </w:p>
    <w:bookmarkEnd w:id="0"/>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根据赫山区编制委员会核定，我中心内设股室6个，二个二级机构。</w:t>
      </w: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内设股室分别为办公室、政工人事股、财务股、畜牧业技术推广站、水产技术推广站、动物疫病预防控制股，所属二级机构分别是益阳市赫山区鱼类良种繁育场、益阳市赫山区畜禽良种繁育场。</w:t>
      </w:r>
    </w:p>
    <w:p>
      <w:pPr>
        <w:widowControl w:val="0"/>
        <w:adjustRightInd/>
        <w:snapToGrid/>
        <w:spacing w:after="0" w:line="400" w:lineRule="exact"/>
        <w:ind w:firstLine="643" w:firstLineChars="200"/>
        <w:jc w:val="both"/>
        <w:rPr>
          <w:rFonts w:hint="eastAsia" w:ascii="黑体" w:hAnsi="黑体" w:eastAsia="黑体" w:cs="Times New Roman"/>
          <w:b/>
          <w:kern w:val="2"/>
          <w:sz w:val="32"/>
          <w:szCs w:val="32"/>
        </w:rPr>
      </w:pPr>
      <w:r>
        <w:rPr>
          <w:rFonts w:hint="eastAsia" w:ascii="黑体" w:hAnsi="黑体" w:eastAsia="黑体" w:cs="Times New Roman"/>
          <w:b/>
          <w:kern w:val="2"/>
          <w:sz w:val="32"/>
          <w:szCs w:val="32"/>
          <w:lang w:eastAsia="zh-CN"/>
        </w:rPr>
        <w:t>二、一般公共预算支出情况</w:t>
      </w:r>
    </w:p>
    <w:p>
      <w:pPr>
        <w:widowControl w:val="0"/>
        <w:numPr>
          <w:ilvl w:val="0"/>
          <w:numId w:val="0"/>
        </w:numPr>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年部门预算总收入</w:t>
      </w:r>
      <w:r>
        <w:rPr>
          <w:rFonts w:hint="eastAsia" w:ascii="仿宋_GB2312" w:hAnsi="仿宋_GB2312" w:eastAsia="仿宋_GB2312" w:cs="仿宋_GB2312"/>
          <w:kern w:val="2"/>
          <w:sz w:val="32"/>
          <w:szCs w:val="32"/>
          <w:lang w:val="en-US" w:eastAsia="zh-CN"/>
        </w:rPr>
        <w:t>4010.43</w:t>
      </w:r>
      <w:r>
        <w:rPr>
          <w:rFonts w:hint="eastAsia" w:ascii="仿宋_GB2312" w:hAnsi="仿宋_GB2312" w:eastAsia="仿宋_GB2312" w:cs="仿宋_GB2312"/>
          <w:kern w:val="2"/>
          <w:sz w:val="32"/>
          <w:szCs w:val="32"/>
        </w:rPr>
        <w:t>万元，其中一般预算拨款收入</w:t>
      </w:r>
      <w:r>
        <w:rPr>
          <w:rFonts w:hint="eastAsia" w:ascii="仿宋_GB2312" w:hAnsi="仿宋_GB2312" w:eastAsia="仿宋_GB2312" w:cs="仿宋_GB2312"/>
          <w:kern w:val="2"/>
          <w:sz w:val="32"/>
          <w:szCs w:val="32"/>
          <w:lang w:val="en-US" w:eastAsia="zh-CN"/>
        </w:rPr>
        <w:t>3804.74</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kern w:val="2"/>
          <w:sz w:val="32"/>
          <w:szCs w:val="32"/>
          <w:lang w:eastAsia="zh-CN"/>
        </w:rPr>
        <w:t>其他收入</w:t>
      </w:r>
      <w:r>
        <w:rPr>
          <w:rFonts w:hint="eastAsia" w:ascii="仿宋_GB2312" w:hAnsi="仿宋_GB2312" w:eastAsia="仿宋_GB2312" w:cs="仿宋_GB2312"/>
          <w:kern w:val="2"/>
          <w:sz w:val="32"/>
          <w:szCs w:val="32"/>
          <w:lang w:val="en-US" w:eastAsia="zh-CN"/>
        </w:rPr>
        <w:t>205.69</w:t>
      </w:r>
      <w:r>
        <w:rPr>
          <w:rFonts w:hint="eastAsia" w:ascii="仿宋_GB2312" w:hAnsi="仿宋_GB2312" w:eastAsia="仿宋_GB2312" w:cs="仿宋_GB2312"/>
          <w:kern w:val="2"/>
          <w:sz w:val="32"/>
          <w:szCs w:val="32"/>
        </w:rPr>
        <w:t>万元，年初结转和结余</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年部门预算总支出</w:t>
      </w:r>
      <w:r>
        <w:rPr>
          <w:rFonts w:hint="eastAsia" w:ascii="仿宋_GB2312" w:hAnsi="仿宋_GB2312" w:eastAsia="仿宋_GB2312" w:cs="仿宋_GB2312"/>
          <w:kern w:val="2"/>
          <w:sz w:val="32"/>
          <w:szCs w:val="32"/>
          <w:lang w:val="en-US" w:eastAsia="zh-CN"/>
        </w:rPr>
        <w:t>4010.43</w:t>
      </w:r>
      <w:r>
        <w:rPr>
          <w:rFonts w:hint="eastAsia" w:ascii="仿宋_GB2312" w:hAnsi="仿宋_GB2312" w:eastAsia="仿宋_GB2312" w:cs="仿宋_GB2312"/>
          <w:kern w:val="2"/>
          <w:sz w:val="32"/>
          <w:szCs w:val="32"/>
        </w:rPr>
        <w:t>万元，其中：基本支出</w:t>
      </w:r>
      <w:r>
        <w:rPr>
          <w:rFonts w:hint="eastAsia" w:ascii="仿宋_GB2312" w:hAnsi="仿宋_GB2312" w:eastAsia="仿宋_GB2312" w:cs="仿宋_GB2312"/>
          <w:kern w:val="2"/>
          <w:sz w:val="32"/>
          <w:szCs w:val="32"/>
          <w:lang w:val="zh-CN"/>
        </w:rPr>
        <w:t>1564</w:t>
      </w:r>
      <w:r>
        <w:rPr>
          <w:rFonts w:hint="eastAsia" w:ascii="仿宋_GB2312" w:hAnsi="仿宋_GB2312" w:eastAsia="仿宋_GB2312" w:cs="仿宋_GB2312"/>
          <w:kern w:val="2"/>
          <w:sz w:val="32"/>
          <w:szCs w:val="32"/>
          <w:lang w:val="en-US" w:eastAsia="zh-CN"/>
        </w:rPr>
        <w:t>.81</w:t>
      </w:r>
      <w:r>
        <w:rPr>
          <w:rFonts w:hint="eastAsia" w:ascii="仿宋_GB2312" w:hAnsi="仿宋_GB2312" w:eastAsia="仿宋_GB2312" w:cs="仿宋_GB2312"/>
          <w:kern w:val="2"/>
          <w:sz w:val="32"/>
          <w:szCs w:val="32"/>
        </w:rPr>
        <w:t>万元、项目支出</w:t>
      </w:r>
      <w:r>
        <w:rPr>
          <w:rFonts w:hint="eastAsia" w:ascii="仿宋_GB2312" w:hAnsi="仿宋_GB2312" w:eastAsia="仿宋_GB2312" w:cs="仿宋_GB2312"/>
          <w:kern w:val="2"/>
          <w:sz w:val="32"/>
          <w:szCs w:val="32"/>
          <w:lang w:val="en-US" w:eastAsia="zh-CN"/>
        </w:rPr>
        <w:t>2445.62</w:t>
      </w:r>
      <w:r>
        <w:rPr>
          <w:rFonts w:hint="eastAsia" w:ascii="仿宋_GB2312" w:hAnsi="仿宋_GB2312" w:eastAsia="仿宋_GB2312" w:cs="仿宋_GB2312"/>
          <w:kern w:val="2"/>
          <w:sz w:val="32"/>
          <w:szCs w:val="32"/>
        </w:rPr>
        <w:t>万元。</w:t>
      </w:r>
      <w:bookmarkStart w:id="1" w:name="OLE_LINK2"/>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(一)基本支出部分 </w:t>
      </w: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22</w:t>
      </w:r>
      <w:r>
        <w:rPr>
          <w:rFonts w:hint="eastAsia" w:ascii="仿宋_GB2312" w:hAnsi="仿宋_GB2312" w:eastAsia="仿宋_GB2312" w:cs="仿宋_GB2312"/>
          <w:kern w:val="2"/>
          <w:sz w:val="32"/>
          <w:szCs w:val="32"/>
        </w:rPr>
        <w:t>年基本支出</w:t>
      </w:r>
      <w:r>
        <w:rPr>
          <w:rFonts w:hint="eastAsia" w:ascii="仿宋_GB2312" w:hAnsi="仿宋_GB2312" w:eastAsia="仿宋_GB2312" w:cs="仿宋_GB2312"/>
          <w:kern w:val="2"/>
          <w:sz w:val="32"/>
          <w:szCs w:val="32"/>
          <w:lang w:val="zh-CN"/>
        </w:rPr>
        <w:t>1564</w:t>
      </w:r>
      <w:r>
        <w:rPr>
          <w:rFonts w:hint="eastAsia" w:ascii="仿宋_GB2312" w:hAnsi="仿宋_GB2312" w:eastAsia="仿宋_GB2312" w:cs="仿宋_GB2312"/>
          <w:kern w:val="2"/>
          <w:sz w:val="32"/>
          <w:szCs w:val="32"/>
          <w:lang w:val="en-US" w:eastAsia="zh-CN"/>
        </w:rPr>
        <w:t>.81</w:t>
      </w:r>
      <w:r>
        <w:rPr>
          <w:rFonts w:hint="eastAsia" w:ascii="仿宋_GB2312" w:hAnsi="仿宋_GB2312" w:eastAsia="仿宋_GB2312" w:cs="仿宋_GB2312"/>
          <w:kern w:val="2"/>
          <w:sz w:val="32"/>
          <w:szCs w:val="32"/>
        </w:rPr>
        <w:t>万元，主要包括人员工资、医疗保险、住房公积金和日常公用经费等。</w:t>
      </w: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我中心在认真贯彻落实厉行节约、严控“三公”经费、降低一般运行经费、加强项目支出管理等方面取得了一定的成绩。严格执行区财政局、区委组织部、区人力社局联合下发的《益阳市赫山区培训费管理办法》的通知(益赫财行[2015]14号)、区财政局下发的《益阳市赫山区会议费管理办法》的通知(益赫财行[2015]13号)、《关于严控“三公”经费预算管理的通知》(益赫财预[2015]17号)等文件精神，并先后出台了本单位公务接待、车辆管理等管理办法，实行“三公”经费预算和公示制度，有效地控制了“三公”经费支出。实际支出没有超出预算规模、范围和标准，没有挤占、摊派、乱收费和转移“三公”经费支出的行为，所有“三公”经费支出合法、合规。</w:t>
      </w: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kern w:val="2"/>
          <w:sz w:val="32"/>
          <w:szCs w:val="32"/>
          <w:lang w:eastAsia="zh-CN"/>
        </w:rPr>
        <w:t>项目支出情况</w:t>
      </w:r>
      <w:r>
        <w:rPr>
          <w:rFonts w:hint="eastAsia" w:ascii="仿宋_GB2312" w:hAnsi="仿宋_GB2312" w:eastAsia="仿宋_GB2312" w:cs="仿宋_GB2312"/>
          <w:kern w:val="2"/>
          <w:sz w:val="32"/>
          <w:szCs w:val="32"/>
        </w:rPr>
        <w:t xml:space="preserve"> </w:t>
      </w: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年度财政拨款支出</w:t>
      </w:r>
      <w:r>
        <w:rPr>
          <w:rFonts w:hint="eastAsia" w:ascii="仿宋_GB2312" w:hAnsi="仿宋_GB2312" w:eastAsia="仿宋_GB2312" w:cs="仿宋_GB2312"/>
          <w:kern w:val="2"/>
          <w:sz w:val="32"/>
          <w:szCs w:val="32"/>
          <w:lang w:eastAsia="zh-CN"/>
        </w:rPr>
        <w:t>项目支出合计</w:t>
      </w:r>
      <w:r>
        <w:rPr>
          <w:rFonts w:hint="eastAsia" w:ascii="仿宋_GB2312" w:hAnsi="仿宋_GB2312" w:eastAsia="仿宋_GB2312" w:cs="仿宋_GB2312"/>
          <w:kern w:val="2"/>
          <w:sz w:val="32"/>
          <w:szCs w:val="32"/>
          <w:lang w:val="en-US" w:eastAsia="zh-CN"/>
        </w:rPr>
        <w:t>2445.62</w:t>
      </w:r>
      <w:r>
        <w:rPr>
          <w:rFonts w:hint="eastAsia" w:ascii="仿宋_GB2312" w:hAnsi="仿宋_GB2312" w:eastAsia="仿宋_GB2312" w:cs="仿宋_GB2312"/>
          <w:kern w:val="2"/>
          <w:sz w:val="32"/>
          <w:szCs w:val="32"/>
        </w:rPr>
        <w:t>万元。主要有农技推广服务项目16</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val="en-US" w:eastAsia="zh-CN"/>
        </w:rPr>
        <w:t>7万</w:t>
      </w:r>
      <w:r>
        <w:rPr>
          <w:rFonts w:hint="eastAsia" w:ascii="仿宋_GB2312" w:hAnsi="仿宋_GB2312" w:eastAsia="仿宋_GB2312" w:cs="仿宋_GB2312"/>
          <w:kern w:val="2"/>
          <w:sz w:val="32"/>
          <w:szCs w:val="32"/>
          <w:lang w:eastAsia="zh-CN"/>
        </w:rPr>
        <w:t>元</w:t>
      </w:r>
      <w:r>
        <w:rPr>
          <w:rFonts w:hint="eastAsia" w:ascii="仿宋_GB2312" w:hAnsi="仿宋_GB2312" w:eastAsia="仿宋_GB2312" w:cs="仿宋_GB2312"/>
          <w:kern w:val="2"/>
          <w:sz w:val="32"/>
          <w:szCs w:val="32"/>
        </w:rPr>
        <w:t>；病虫害控制575</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万元；农业生产发展180</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00万元；农业资源保护修复与利用722</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08万元；渔业发展260</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00万元；其他农业农村支出262</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00</w:t>
      </w:r>
      <w:r>
        <w:rPr>
          <w:rFonts w:hint="eastAsia" w:ascii="仿宋_GB2312" w:hAnsi="仿宋_GB2312" w:eastAsia="仿宋_GB2312" w:cs="仿宋_GB2312"/>
          <w:kern w:val="2"/>
          <w:sz w:val="32"/>
          <w:szCs w:val="32"/>
          <w:lang w:eastAsia="zh-CN"/>
        </w:rPr>
        <w:t>万元；其他农林水支出168</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7</w:t>
      </w:r>
      <w:r>
        <w:rPr>
          <w:rFonts w:hint="eastAsia" w:ascii="仿宋_GB2312" w:hAnsi="仿宋_GB2312" w:eastAsia="仿宋_GB2312" w:cs="仿宋_GB2312"/>
          <w:kern w:val="2"/>
          <w:sz w:val="32"/>
          <w:szCs w:val="32"/>
          <w:lang w:val="en-US" w:eastAsia="zh-CN"/>
        </w:rPr>
        <w:t>4万元</w:t>
      </w:r>
      <w:r>
        <w:rPr>
          <w:rFonts w:hint="eastAsia" w:ascii="仿宋_GB2312" w:hAnsi="仿宋_GB2312" w:eastAsia="仿宋_GB2312" w:cs="仿宋_GB2312"/>
          <w:kern w:val="2"/>
          <w:sz w:val="32"/>
          <w:szCs w:val="32"/>
          <w:lang w:eastAsia="zh-CN"/>
        </w:rPr>
        <w:t>；交通运输支出135</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00万元；其他支出125</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2</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lang w:eastAsia="zh-CN"/>
        </w:rPr>
        <w:t>万元。</w:t>
      </w:r>
    </w:p>
    <w:tbl>
      <w:tblPr>
        <w:tblW w:w="13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88"/>
        <w:gridCol w:w="1260"/>
        <w:gridCol w:w="1240"/>
        <w:gridCol w:w="2270"/>
        <w:gridCol w:w="1771"/>
        <w:gridCol w:w="1771"/>
        <w:gridCol w:w="1771"/>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255" w:hRule="atLeast"/>
        </w:trPr>
        <w:tc>
          <w:tcPr>
            <w:tcW w:w="8429" w:type="dxa"/>
            <w:gridSpan w:val="5"/>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32"/>
                <w:szCs w:val="32"/>
                <w:u w:val="none"/>
                <w:bdr w:val="none" w:color="auto" w:sz="0" w:space="0"/>
                <w:lang w:val="en-US" w:eastAsia="zh-CN" w:bidi="ar"/>
              </w:rPr>
              <w:t>一般公共预算财政拨款项目支出决算明细表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38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支出功能分类科目代码</w:t>
            </w:r>
          </w:p>
        </w:tc>
        <w:tc>
          <w:tcPr>
            <w:tcW w:w="2270" w:type="dxa"/>
            <w:vMerge w:val="restart"/>
            <w:tcBorders>
              <w:top w:val="nil"/>
              <w:left w:val="nil"/>
              <w:bottom w:val="single" w:color="000000" w:sz="4" w:space="0"/>
              <w:right w:val="single" w:color="000000" w:sz="4" w:space="0"/>
            </w:tcBorders>
            <w:shd w:val="clear" w:color="FFFFFF" w:fill="C0C0C0"/>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lang w:val="en-US" w:eastAsia="zh-CN" w:bidi="ar-SA"/>
              </w:rPr>
            </w:pPr>
          </w:p>
        </w:tc>
        <w:tc>
          <w:tcPr>
            <w:tcW w:w="1771" w:type="dxa"/>
            <w:vMerge w:val="restart"/>
            <w:tcBorders>
              <w:top w:val="nil"/>
              <w:left w:val="nil"/>
              <w:bottom w:val="single" w:color="000000" w:sz="4" w:space="0"/>
              <w:right w:val="single" w:color="000000" w:sz="4" w:space="0"/>
            </w:tcBorders>
            <w:shd w:val="clear" w:color="FFFFFF" w:fill="C0C0C0"/>
            <w:vAlign w:val="bottom"/>
          </w:tcPr>
          <w:p>
            <w:pPr>
              <w:rPr>
                <w:rFonts w:hint="eastAsia" w:ascii="Arial" w:hAnsi="Arial" w:eastAsia="微软雅黑" w:cs="Arial"/>
                <w:i w:val="0"/>
                <w:iCs w:val="0"/>
                <w:color w:val="000000"/>
                <w:sz w:val="20"/>
                <w:szCs w:val="20"/>
                <w:u w:val="none"/>
                <w:lang w:val="en-US" w:eastAsia="zh-CN" w:bidi="ar-SA"/>
              </w:rPr>
            </w:pPr>
          </w:p>
        </w:tc>
        <w:tc>
          <w:tcPr>
            <w:tcW w:w="1771" w:type="dxa"/>
            <w:tcBorders>
              <w:top w:val="nil"/>
              <w:left w:val="nil"/>
              <w:bottom w:val="single" w:color="000000" w:sz="4" w:space="0"/>
              <w:right w:val="single" w:color="000000" w:sz="4" w:space="0"/>
            </w:tcBorders>
            <w:shd w:val="clear" w:color="FFFFFF" w:fill="C0C0C0"/>
            <w:vAlign w:val="center"/>
          </w:tcPr>
          <w:p>
            <w:pPr>
              <w:rPr>
                <w:rFonts w:hint="eastAsia" w:ascii="Arial" w:hAnsi="Arial" w:eastAsia="微软雅黑" w:cs="Arial"/>
                <w:i w:val="0"/>
                <w:iCs w:val="0"/>
                <w:color w:val="000000"/>
                <w:sz w:val="20"/>
                <w:szCs w:val="20"/>
                <w:u w:val="none"/>
                <w:lang w:val="en-US" w:eastAsia="zh-CN" w:bidi="ar-SA"/>
              </w:rPr>
            </w:pPr>
          </w:p>
        </w:tc>
        <w:tc>
          <w:tcPr>
            <w:tcW w:w="1771" w:type="dxa"/>
            <w:tcBorders>
              <w:top w:val="nil"/>
              <w:left w:val="nil"/>
              <w:bottom w:val="single" w:color="000000" w:sz="4" w:space="0"/>
              <w:right w:val="single" w:color="000000" w:sz="4" w:space="0"/>
            </w:tcBorders>
            <w:shd w:val="clear" w:color="FFFFFF" w:fill="C0C0C0"/>
            <w:vAlign w:val="center"/>
          </w:tcPr>
          <w:p>
            <w:pPr>
              <w:rPr>
                <w:rFonts w:hint="eastAsia" w:ascii="Arial" w:hAnsi="Arial" w:eastAsia="微软雅黑" w:cs="Arial"/>
                <w:i w:val="0"/>
                <w:iCs w:val="0"/>
                <w:color w:val="000000"/>
                <w:sz w:val="20"/>
                <w:szCs w:val="20"/>
                <w:u w:val="none"/>
                <w:lang w:val="en-US" w:eastAsia="zh-CN" w:bidi="ar-SA"/>
              </w:rPr>
            </w:pPr>
          </w:p>
        </w:tc>
        <w:tc>
          <w:tcPr>
            <w:tcW w:w="1771" w:type="dxa"/>
            <w:tcBorders>
              <w:top w:val="nil"/>
              <w:left w:val="nil"/>
              <w:bottom w:val="single" w:color="000000" w:sz="4" w:space="0"/>
              <w:right w:val="single" w:color="000000" w:sz="4" w:space="0"/>
            </w:tcBorders>
            <w:shd w:val="clear" w:color="FFFFFF" w:fill="C0C0C0"/>
            <w:vAlign w:val="center"/>
          </w:tcPr>
          <w:p>
            <w:pPr>
              <w:rPr>
                <w:rFonts w:hint="eastAsia" w:ascii="Arial" w:hAnsi="Arial" w:eastAsia="微软雅黑" w:cs="Arial"/>
                <w:i w:val="0"/>
                <w:iCs w:val="0"/>
                <w:color w:val="00000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7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7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188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w:t>
            </w:r>
          </w:p>
        </w:tc>
        <w:tc>
          <w:tcPr>
            <w:tcW w:w="12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w:t>
            </w:r>
          </w:p>
        </w:tc>
        <w:tc>
          <w:tcPr>
            <w:tcW w:w="12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2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7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188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23,203,611.21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2130106</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农技推广服务项目</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血吸虫防治工作经费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非瘟防控经费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动物疫病扑杀补助资金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动物防疫经费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定点屠宰场洗消通道建设补助资金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村级动物防疫员劳务补贴</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1,129,450.00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专项监测经费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病死畜禽无害化处理资金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强制免疫“先打后补”补贴资金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254,631.60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特聘防疫员工资</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149,959.56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2130122</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生猪良种补贴</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2130122</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2021年畜牧业发展奖补资金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2130135</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人工增殖放流</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2130135</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禁捕退捕工作经费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6,240,803.73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2130135</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洞庭湖尾水监测点项目</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渔业高质量发展渔业信息项目</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2130148</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尾水治理</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无害化处理资金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屠宰环节无害化处理资金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非瘟防控经费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病死畜禽无害化处理长效机制补助资金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禁捕退捕工作经费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1,231,941.32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非瘟防控经费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动物防疫经费</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病死畜禽无害化处理资金</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水产养殖病情测报</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苗种产地检疫</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水产绿色健康养殖“五大行动“水产养殖用药</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227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渔业油料补贴</w:t>
            </w:r>
          </w:p>
        </w:tc>
        <w:tc>
          <w:tcPr>
            <w:tcW w:w="177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313" w:type="dxa"/>
          <w:trHeight w:val="308" w:hRule="atLeast"/>
        </w:trPr>
        <w:tc>
          <w:tcPr>
            <w:tcW w:w="4388" w:type="dxa"/>
            <w:gridSpan w:val="3"/>
            <w:tcBorders>
              <w:top w:val="nil"/>
              <w:left w:val="single" w:color="000000" w:sz="4" w:space="0"/>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2270" w:type="dxa"/>
            <w:tcBorders>
              <w:top w:val="nil"/>
              <w:left w:val="nil"/>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鱼塘改造、尾水治理</w:t>
            </w:r>
          </w:p>
        </w:tc>
        <w:tc>
          <w:tcPr>
            <w:tcW w:w="1771" w:type="dxa"/>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1,050,000.00</w:t>
            </w:r>
          </w:p>
        </w:tc>
      </w:tr>
    </w:tbl>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lang w:eastAsia="zh-CN"/>
        </w:rPr>
      </w:pPr>
    </w:p>
    <w:p>
      <w:pPr>
        <w:widowControl w:val="0"/>
        <w:adjustRightInd/>
        <w:snapToGrid/>
        <w:spacing w:after="0" w:line="400" w:lineRule="exact"/>
        <w:ind w:firstLine="640" w:firstLineChars="200"/>
        <w:rPr>
          <w:rFonts w:hint="eastAsia" w:ascii="仿宋_GB2312" w:hAnsi="仿宋_GB2312" w:eastAsia="仿宋_GB2312" w:cs="仿宋_GB2312"/>
          <w:kern w:val="2"/>
          <w:sz w:val="32"/>
          <w:szCs w:val="32"/>
          <w:lang w:eastAsia="zh-CN"/>
        </w:rPr>
      </w:pPr>
    </w:p>
    <w:bookmarkEnd w:id="1"/>
    <w:p>
      <w:pPr>
        <w:widowControl w:val="0"/>
        <w:adjustRightInd/>
        <w:snapToGrid/>
        <w:spacing w:after="0" w:line="400" w:lineRule="exact"/>
        <w:ind w:firstLine="643" w:firstLineChars="200"/>
        <w:jc w:val="both"/>
        <w:rPr>
          <w:rFonts w:hint="eastAsia" w:ascii="黑体" w:hAnsi="黑体" w:eastAsia="黑体" w:cs="Times New Roman"/>
          <w:b/>
          <w:kern w:val="2"/>
          <w:sz w:val="32"/>
          <w:szCs w:val="32"/>
          <w:lang w:eastAsia="zh-CN"/>
        </w:rPr>
      </w:pPr>
      <w:r>
        <w:rPr>
          <w:rFonts w:hint="eastAsia" w:ascii="黑体" w:hAnsi="黑体" w:eastAsia="黑体" w:cs="Times New Roman"/>
          <w:b/>
          <w:kern w:val="2"/>
          <w:sz w:val="32"/>
          <w:szCs w:val="32"/>
          <w:lang w:eastAsia="zh-CN"/>
        </w:rPr>
        <w:t>三、整体绩效情况</w:t>
      </w:r>
    </w:p>
    <w:p>
      <w:pPr>
        <w:widowControl w:val="0"/>
        <w:adjustRightInd/>
        <w:snapToGrid/>
        <w:spacing w:after="0" w:line="400" w:lineRule="exact"/>
        <w:ind w:firstLine="643" w:firstLineChars="200"/>
        <w:rPr>
          <w:rFonts w:hint="eastAsia" w:ascii="仿宋_GB2312" w:hAnsi="仿宋_GB2312" w:eastAsia="仿宋_GB2312" w:cs="仿宋_GB2312"/>
          <w:kern w:val="2"/>
          <w:sz w:val="32"/>
          <w:szCs w:val="32"/>
          <w:lang w:eastAsia="zh-CN"/>
        </w:rPr>
      </w:pPr>
      <w:r>
        <w:rPr>
          <w:rFonts w:hint="eastAsia" w:ascii="仿宋" w:hAnsi="仿宋" w:eastAsia="仿宋" w:cs="Times New Roman"/>
          <w:b/>
          <w:kern w:val="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一是全面完成全年职责任务和政府分配的其他各项工作任务，促进养殖业经济发展。 二是社会效益、经济效益、生态效益、可持续影响和社会公众满意度达到预期目标。三是部署、指导、实施动物疫病防控，流行病学调查，保障全年无重大动物疫情发生或蔓延。 四是加强动物卫生监督，屠宰检疫、屠宰市场监管，最大限度保障畜禽水产品质量安全。五是资金使用规范，注重绩效，支出审批程序严格，厉行节约，支出费用合理，最大限度地提高资金的使用效益。严格按照预算编制控制人员经费的使用。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年度“三公”经费财政拨款支出1.0</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万元，其中公务用车购置及运行维护费</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lang w:eastAsia="zh-CN"/>
        </w:rPr>
        <w:t>万元，公务接待费1.0</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万元。较上年三公经费</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.0</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万元减少</w:t>
      </w:r>
      <w:r>
        <w:rPr>
          <w:rFonts w:hint="eastAsia" w:ascii="仿宋_GB2312" w:hAnsi="仿宋_GB2312" w:eastAsia="仿宋_GB2312" w:cs="仿宋_GB2312"/>
          <w:kern w:val="2"/>
          <w:sz w:val="32"/>
          <w:szCs w:val="32"/>
          <w:lang w:val="en-US" w:eastAsia="zh-CN"/>
        </w:rPr>
        <w:t>0.03</w:t>
      </w:r>
      <w:r>
        <w:rPr>
          <w:rFonts w:hint="eastAsia" w:ascii="仿宋_GB2312" w:hAnsi="仿宋_GB2312" w:eastAsia="仿宋_GB2312" w:cs="仿宋_GB2312"/>
          <w:kern w:val="2"/>
          <w:sz w:val="32"/>
          <w:szCs w:val="32"/>
          <w:lang w:eastAsia="zh-CN"/>
        </w:rPr>
        <w:t>万元，主要原因为公务用车购置及运行维护费减少。</w:t>
      </w:r>
    </w:p>
    <w:p>
      <w:pPr>
        <w:numPr>
          <w:ilvl w:val="0"/>
          <w:numId w:val="0"/>
        </w:numPr>
        <w:adjustRightInd/>
        <w:snapToGrid/>
        <w:spacing w:after="0" w:line="400" w:lineRule="exact"/>
        <w:ind w:firstLine="640" w:firstLineChars="200"/>
        <w:jc w:val="both"/>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整体评价评分为9</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lang w:eastAsia="zh-CN"/>
        </w:rPr>
        <w:t>分，项目评分100分。</w:t>
      </w:r>
    </w:p>
    <w:p>
      <w:pPr>
        <w:spacing w:line="400" w:lineRule="exact"/>
        <w:rPr>
          <w:rFonts w:hint="eastAsia"/>
        </w:rPr>
      </w:pPr>
    </w:p>
    <w:p>
      <w:pPr>
        <w:spacing w:line="400" w:lineRule="exact"/>
        <w:rPr>
          <w:rFonts w:hint="eastAsia"/>
        </w:rPr>
      </w:pPr>
    </w:p>
    <w:p>
      <w:pPr>
        <w:widowControl w:val="0"/>
        <w:adjustRightInd/>
        <w:snapToGrid/>
        <w:spacing w:after="0" w:line="480" w:lineRule="exact"/>
        <w:jc w:val="both"/>
        <w:rPr>
          <w:rFonts w:hint="eastAsia" w:ascii="黑体" w:hAnsi="黑体" w:eastAsia="黑体" w:cs="Times New Roman"/>
          <w:kern w:val="2"/>
          <w:sz w:val="32"/>
          <w:szCs w:val="32"/>
        </w:rPr>
      </w:pPr>
    </w:p>
    <w:p>
      <w:pPr>
        <w:widowControl w:val="0"/>
        <w:adjustRightInd/>
        <w:snapToGrid/>
        <w:spacing w:after="0" w:line="480" w:lineRule="exact"/>
        <w:jc w:val="left"/>
        <w:rPr>
          <w:rFonts w:hint="eastAsia" w:ascii="方正小标宋简体" w:hAnsi="Times New Roman" w:eastAsia="方正小标宋简体" w:cs="Times New Roman"/>
          <w:bCs/>
          <w:kern w:val="2"/>
          <w:sz w:val="36"/>
          <w:szCs w:val="36"/>
          <w:lang w:val="en-US" w:eastAsia="zh-CN"/>
        </w:rPr>
      </w:pPr>
      <w:r>
        <w:rPr>
          <w:rFonts w:hint="eastAsia" w:ascii="方正小标宋简体" w:hAnsi="Times New Roman" w:eastAsia="方正小标宋简体" w:cs="Times New Roman"/>
          <w:bCs/>
          <w:kern w:val="2"/>
          <w:sz w:val="36"/>
          <w:szCs w:val="36"/>
          <w:lang w:val="en-US" w:eastAsia="zh-CN"/>
        </w:rPr>
        <w:t>附件：</w:t>
      </w:r>
    </w:p>
    <w:p>
      <w:pPr>
        <w:widowControl w:val="0"/>
        <w:adjustRightInd/>
        <w:snapToGrid/>
        <w:spacing w:after="0" w:line="480" w:lineRule="exact"/>
        <w:jc w:val="center"/>
        <w:rPr>
          <w:rFonts w:hint="eastAsia" w:ascii="方正小标宋简体" w:hAnsi="Times New Roman" w:eastAsia="方正小标宋简体" w:cs="Times New Roman"/>
          <w:bCs/>
          <w:kern w:val="2"/>
          <w:sz w:val="36"/>
          <w:szCs w:val="36"/>
        </w:rPr>
      </w:pPr>
      <w:r>
        <w:rPr>
          <w:rFonts w:hint="eastAsia" w:ascii="方正小标宋简体" w:hAnsi="Times New Roman" w:eastAsia="方正小标宋简体" w:cs="Times New Roman"/>
          <w:bCs/>
          <w:kern w:val="2"/>
          <w:sz w:val="36"/>
          <w:szCs w:val="36"/>
        </w:rPr>
        <w:t>202</w:t>
      </w:r>
      <w:r>
        <w:rPr>
          <w:rFonts w:hint="eastAsia" w:ascii="方正小标宋简体" w:hAnsi="Times New Roman" w:eastAsia="方正小标宋简体" w:cs="Times New Roman"/>
          <w:bCs/>
          <w:kern w:val="2"/>
          <w:sz w:val="36"/>
          <w:szCs w:val="36"/>
          <w:lang w:val="en-US" w:eastAsia="zh-CN"/>
        </w:rPr>
        <w:t>2</w:t>
      </w:r>
      <w:r>
        <w:rPr>
          <w:rFonts w:hint="eastAsia" w:ascii="方正小标宋简体" w:hAnsi="Times New Roman" w:eastAsia="方正小标宋简体" w:cs="Times New Roman"/>
          <w:bCs/>
          <w:kern w:val="2"/>
          <w:sz w:val="36"/>
          <w:szCs w:val="36"/>
        </w:rPr>
        <w:t>年度部门整体支出绩效自评指标计分表</w:t>
      </w:r>
    </w:p>
    <w:tbl>
      <w:tblPr>
        <w:tblStyle w:val="2"/>
        <w:tblpPr w:leftFromText="180" w:rightFromText="180" w:vertAnchor="page" w:horzAnchor="margin" w:tblpY="4531"/>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570"/>
        <w:gridCol w:w="703"/>
        <w:gridCol w:w="446"/>
        <w:gridCol w:w="2976"/>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547"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bCs/>
                <w:kern w:val="2"/>
                <w:sz w:val="21"/>
                <w:szCs w:val="21"/>
              </w:rPr>
            </w:pPr>
            <w:r>
              <w:rPr>
                <w:rFonts w:hint="eastAsia" w:cs="Times New Roman" w:asciiTheme="majorEastAsia" w:hAnsiTheme="majorEastAsia" w:eastAsiaTheme="majorEastAsia"/>
                <w:bCs/>
                <w:kern w:val="2"/>
                <w:sz w:val="21"/>
                <w:szCs w:val="21"/>
              </w:rPr>
              <w:t>一级</w:t>
            </w:r>
            <w:r>
              <w:rPr>
                <w:rFonts w:hint="eastAsia" w:cs="Times New Roman" w:asciiTheme="majorEastAsia" w:hAnsiTheme="majorEastAsia" w:eastAsiaTheme="majorEastAsia"/>
                <w:bCs/>
                <w:kern w:val="2"/>
                <w:sz w:val="21"/>
                <w:szCs w:val="21"/>
              </w:rPr>
              <w:br w:type="textWrapping"/>
            </w:r>
            <w:r>
              <w:rPr>
                <w:rFonts w:hint="eastAsia" w:cs="Times New Roman" w:asciiTheme="majorEastAsia" w:hAnsiTheme="majorEastAsia" w:eastAsiaTheme="majorEastAsia"/>
                <w:bCs/>
                <w:kern w:val="2"/>
                <w:sz w:val="21"/>
                <w:szCs w:val="21"/>
              </w:rPr>
              <w:t>指标</w:t>
            </w:r>
          </w:p>
        </w:tc>
        <w:tc>
          <w:tcPr>
            <w:tcW w:w="570"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bCs/>
                <w:kern w:val="2"/>
                <w:sz w:val="21"/>
                <w:szCs w:val="21"/>
              </w:rPr>
            </w:pPr>
            <w:r>
              <w:rPr>
                <w:rFonts w:hint="eastAsia" w:cs="Times New Roman" w:asciiTheme="majorEastAsia" w:hAnsiTheme="majorEastAsia" w:eastAsiaTheme="majorEastAsia"/>
                <w:bCs/>
                <w:kern w:val="2"/>
                <w:sz w:val="21"/>
                <w:szCs w:val="21"/>
              </w:rPr>
              <w:t>二级指标</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bCs/>
                <w:kern w:val="2"/>
                <w:sz w:val="21"/>
                <w:szCs w:val="21"/>
              </w:rPr>
            </w:pPr>
            <w:r>
              <w:rPr>
                <w:rFonts w:hint="eastAsia" w:cs="Times New Roman" w:asciiTheme="majorEastAsia" w:hAnsiTheme="majorEastAsia" w:eastAsiaTheme="majorEastAsia"/>
                <w:bCs/>
                <w:kern w:val="2"/>
                <w:sz w:val="21"/>
                <w:szCs w:val="21"/>
              </w:rPr>
              <w:t>三级指标</w:t>
            </w:r>
          </w:p>
        </w:tc>
        <w:tc>
          <w:tcPr>
            <w:tcW w:w="446" w:type="dxa"/>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bCs/>
                <w:kern w:val="2"/>
                <w:sz w:val="21"/>
                <w:szCs w:val="21"/>
              </w:rPr>
            </w:pPr>
            <w:r>
              <w:rPr>
                <w:rFonts w:hint="eastAsia" w:cs="Times New Roman" w:asciiTheme="majorEastAsia" w:hAnsiTheme="majorEastAsia" w:eastAsiaTheme="majorEastAsia"/>
                <w:bCs/>
                <w:kern w:val="2"/>
                <w:sz w:val="21"/>
                <w:szCs w:val="21"/>
              </w:rPr>
              <w:t>自评分</w:t>
            </w:r>
          </w:p>
        </w:tc>
        <w:tc>
          <w:tcPr>
            <w:tcW w:w="2976" w:type="dxa"/>
            <w:shd w:val="clear" w:color="auto" w:fill="auto"/>
            <w:tcMar>
              <w:top w:w="10" w:type="dxa"/>
              <w:left w:w="10" w:type="dxa"/>
              <w:bottom w:w="0" w:type="dxa"/>
              <w:right w:w="10" w:type="dxa"/>
            </w:tcMar>
            <w:vAlign w:val="center"/>
          </w:tcPr>
          <w:p>
            <w:pPr>
              <w:widowControl w:val="0"/>
              <w:tabs>
                <w:tab w:val="left" w:pos="627"/>
                <w:tab w:val="center" w:pos="1538"/>
              </w:tabs>
              <w:adjustRightInd/>
              <w:snapToGrid/>
              <w:spacing w:after="0" w:line="240" w:lineRule="exact"/>
              <w:jc w:val="left"/>
              <w:rPr>
                <w:rFonts w:cs="Times New Roman" w:asciiTheme="majorEastAsia" w:hAnsiTheme="majorEastAsia" w:eastAsiaTheme="majorEastAsia"/>
                <w:bCs/>
                <w:kern w:val="2"/>
                <w:sz w:val="21"/>
                <w:szCs w:val="21"/>
              </w:rPr>
            </w:pPr>
            <w:r>
              <w:rPr>
                <w:rFonts w:hint="eastAsia" w:cs="Times New Roman" w:asciiTheme="majorEastAsia" w:hAnsiTheme="majorEastAsia" w:eastAsiaTheme="majorEastAsia"/>
                <w:bCs/>
                <w:kern w:val="2"/>
                <w:sz w:val="21"/>
                <w:szCs w:val="21"/>
                <w:lang w:eastAsia="zh-CN"/>
              </w:rPr>
              <w:tab/>
            </w:r>
            <w:r>
              <w:rPr>
                <w:rFonts w:hint="eastAsia" w:cs="Times New Roman" w:asciiTheme="majorEastAsia" w:hAnsiTheme="majorEastAsia" w:eastAsiaTheme="majorEastAsia"/>
                <w:bCs/>
                <w:kern w:val="2"/>
                <w:sz w:val="21"/>
                <w:szCs w:val="21"/>
                <w:lang w:eastAsia="zh-CN"/>
              </w:rPr>
              <w:tab/>
            </w:r>
            <w:r>
              <w:rPr>
                <w:rFonts w:hint="eastAsia" w:cs="Times New Roman" w:asciiTheme="majorEastAsia" w:hAnsiTheme="majorEastAsia" w:eastAsiaTheme="majorEastAsia"/>
                <w:bCs/>
                <w:kern w:val="2"/>
                <w:sz w:val="21"/>
                <w:szCs w:val="21"/>
              </w:rPr>
              <w:t>指标解释</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bCs/>
                <w:kern w:val="2"/>
                <w:sz w:val="21"/>
                <w:szCs w:val="21"/>
              </w:rPr>
            </w:pPr>
            <w:r>
              <w:rPr>
                <w:rFonts w:hint="eastAsia" w:cs="Times New Roman" w:asciiTheme="majorEastAsia" w:hAnsiTheme="majorEastAsia" w:eastAsiaTheme="majorEastAsia"/>
                <w:bCs/>
                <w:kern w:val="2"/>
                <w:sz w:val="21"/>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shd w:val="clear" w:color="auto" w:fill="auto"/>
            <w:tcMar>
              <w:top w:w="10" w:type="dxa"/>
              <w:left w:w="10" w:type="dxa"/>
              <w:bottom w:w="0" w:type="dxa"/>
              <w:right w:w="10" w:type="dxa"/>
            </w:tcMar>
            <w:textDirection w:val="tbRlV"/>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投   入（20分）</w:t>
            </w:r>
          </w:p>
        </w:tc>
        <w:tc>
          <w:tcPr>
            <w:tcW w:w="570"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目标</w:t>
            </w:r>
            <w:r>
              <w:rPr>
                <w:rFonts w:hint="eastAsia" w:cs="Times New Roman" w:asciiTheme="majorEastAsia" w:hAnsiTheme="majorEastAsia" w:eastAsiaTheme="majorEastAsia"/>
                <w:kern w:val="2"/>
                <w:sz w:val="21"/>
                <w:szCs w:val="21"/>
              </w:rPr>
              <w:br w:type="textWrapping"/>
            </w:r>
            <w:r>
              <w:rPr>
                <w:rFonts w:hint="eastAsia" w:cs="Times New Roman" w:asciiTheme="majorEastAsia" w:hAnsiTheme="majorEastAsia" w:eastAsiaTheme="majorEastAsia"/>
                <w:kern w:val="2"/>
                <w:sz w:val="21"/>
                <w:szCs w:val="21"/>
              </w:rPr>
              <w:t>设定（5分）</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绩效目标合理性（2分）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部门所设立的整体绩效目标依据是否充分，是否符合客观实际，用以反映和考核部门整体绩效目标与部门履职、年度工作任务的相符性情况。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①符合国家法律法规、国民经济和社会发展总体规划计1分；②符合部门“三定”方案确定的职责计0.5分；③是否符合部门制定的中长期实施规划计0.5分。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绩效指标明确性（3分）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3</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部门依据整体绩效目标所设定的绩效指标是否清晰、细化、可衡量，用以反映和考核部门整体绩效目标的明细化情况。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预算</w:t>
            </w:r>
            <w:r>
              <w:rPr>
                <w:rFonts w:hint="eastAsia" w:cs="Times New Roman" w:asciiTheme="majorEastAsia" w:hAnsiTheme="majorEastAsia" w:eastAsiaTheme="majorEastAsia"/>
                <w:kern w:val="2"/>
                <w:sz w:val="21"/>
                <w:szCs w:val="21"/>
              </w:rPr>
              <w:br w:type="textWrapping"/>
            </w:r>
            <w:r>
              <w:rPr>
                <w:rFonts w:hint="eastAsia" w:cs="Times New Roman" w:asciiTheme="majorEastAsia" w:hAnsiTheme="majorEastAsia" w:eastAsiaTheme="majorEastAsia"/>
                <w:kern w:val="2"/>
                <w:sz w:val="21"/>
                <w:szCs w:val="21"/>
              </w:rPr>
              <w:t>配置（15分）</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在职人员控制率（5分）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5</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部门本年度实际在职人员数与编制数的比率，用以反映和考核部门对人员成本的控制程度。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“三公经费”</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变动率（5分）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5</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部门本年度“三公经费”预算数与上年度“三公经费”预算数的变动比率，用以反映和考核部门对控制重点行政成本的努力程度。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重点支出安排率（5分）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5</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部门本年度预算安排的重点项目支出与部门项目总支出的比率，用以反映和考核部门对履行主要职责或完成重点任务的保障程度。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shd w:val="clear" w:color="auto" w:fill="auto"/>
            <w:tcMar>
              <w:top w:w="10" w:type="dxa"/>
              <w:left w:w="10" w:type="dxa"/>
              <w:bottom w:w="0" w:type="dxa"/>
              <w:right w:w="10" w:type="dxa"/>
            </w:tcMar>
            <w:textDirection w:val="tbRlV"/>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过             程（30分）</w:t>
            </w:r>
          </w:p>
        </w:tc>
        <w:tc>
          <w:tcPr>
            <w:tcW w:w="570"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预算</w:t>
            </w:r>
            <w:r>
              <w:rPr>
                <w:rFonts w:hint="eastAsia" w:cs="Times New Roman" w:asciiTheme="majorEastAsia" w:hAnsiTheme="majorEastAsia" w:eastAsiaTheme="majorEastAsia"/>
                <w:kern w:val="2"/>
                <w:sz w:val="21"/>
                <w:szCs w:val="21"/>
              </w:rPr>
              <w:br w:type="textWrapping"/>
            </w:r>
            <w:r>
              <w:rPr>
                <w:rFonts w:hint="eastAsia" w:cs="Times New Roman" w:asciiTheme="majorEastAsia" w:hAnsiTheme="majorEastAsia" w:eastAsiaTheme="majorEastAsia"/>
                <w:kern w:val="2"/>
                <w:sz w:val="21"/>
                <w:szCs w:val="21"/>
              </w:rPr>
              <w:t>执行</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（20分）</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预算完成率（4分）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4</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部门本年度预算完成数与预算数的比率，用以反映和考核部门预算完成程度。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预算完成率=（预算完成数/预算数）×100%。完成年初预算计4分，未完成年初预算按比例扣减，预算完成数：部门本年度实际完成的预算数。预算数：财政部门批复的本年度部门预算数。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预算调整率（2分）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部门本年度预算调整数与预算数的比率，用以反映和考核部门预算的调整程度。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支付进度率（2分）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部门实际支付进度与既定支付进度的比率，用以反映和考核部门预算执行的及时性和均衡性程度。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shd w:val="clear" w:color="auto" w:fill="auto"/>
            <w:tcMar>
              <w:top w:w="10" w:type="dxa"/>
              <w:left w:w="10" w:type="dxa"/>
              <w:bottom w:w="0" w:type="dxa"/>
              <w:right w:w="10" w:type="dxa"/>
            </w:tcMar>
            <w:textDirection w:val="tbRlV"/>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结转结余控制率（4分）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4</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部门本年度结转结余总额与上年结转结余总额增减比例，用以反映和考核部门对存量资金的实际控制程度。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公用经费</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控制率（2分）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部门本年度实际支出的公用经费总额与预算安排的公用经费总额的比率，用以反映和考核部门对机构运转成本的实际控制程度。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公用经费控制率=（实际支出公用经费总额/预算安排公用经费总额）×100%。为100%的计2分，每超过1个百分点扣0.1分，扣完为止。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shd w:val="clear" w:color="auto" w:fill="auto"/>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“三公经费”控制率（2分）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部门本年度“三公经费”实际支出数与预算安排数的比率，用以反映和考核部门对“三公经费”的实际控制程度。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“三公经费”控制率=（“三公经费”实际支出数/“三公经费”预算安排数）×100%。为100%的计2分，每超过1个百分点扣0.5分，扣完为止。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政府采购</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执行率（4分）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4</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部门本年度实际政府采购金额与年初政府采购预算的比率，用以反映和考核部门政府采购预算执行情况。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预算</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管理</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（5分）</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管理制度</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健全性（2分）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部门为加强预算管理、规范财务行为而制定的管理制度是否健全完整，用以反映和考核部门预算管理制度对完成主要职责或促进事业发展的保障情况。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已制定或具有预算资金管理办法、内部财务管理制度、会计核算制度等管理制度计1分；相关管理制度合法、合规、完整计0.5分；相关管理制度得到有效执行计0.5分。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shd w:val="clear" w:color="auto" w:fill="auto"/>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资金使用</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合规性（1分）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部门使用预算资金是否符合相关的预算财务管理制度的规定，用以反映和考核部门预算资金的规范运行情况。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预决算信</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息公开性（1分）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部门是否按照政府信息公开有关规定公开相关预决算信息，用以反映和考核部门预决算管理的公开透明情况。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①按规定内容公开预决算信息计0.5分；②按规定时限公开预决算信息计0.5分。预决算信息是指与部门预算、执行、决算、监督、绩效等管理相关的信息。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基础信息</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完善性（1分）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部门基础信息是否完善，用以反映和考核基础信息对预算管理工作的支撑情况。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①基础数据信息和会计信息资料真实计0.4分；②基础数据信息和会计信息资料完整计0.3分；③基础数据信息和会计信息资料准确计0.3分。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shd w:val="clear" w:color="auto" w:fill="auto"/>
            <w:tcMar>
              <w:top w:w="10" w:type="dxa"/>
              <w:left w:w="10" w:type="dxa"/>
              <w:bottom w:w="0" w:type="dxa"/>
              <w:right w:w="10" w:type="dxa"/>
            </w:tcMar>
            <w:textDirection w:val="tbRlV"/>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资产</w:t>
            </w:r>
            <w:r>
              <w:rPr>
                <w:rFonts w:hint="eastAsia" w:cs="Times New Roman" w:asciiTheme="majorEastAsia" w:hAnsiTheme="majorEastAsia" w:eastAsiaTheme="majorEastAsia"/>
                <w:kern w:val="2"/>
                <w:sz w:val="21"/>
                <w:szCs w:val="21"/>
              </w:rPr>
              <w:br w:type="textWrapping"/>
            </w:r>
            <w:r>
              <w:rPr>
                <w:rFonts w:hint="eastAsia" w:cs="Times New Roman" w:asciiTheme="majorEastAsia" w:hAnsiTheme="majorEastAsia" w:eastAsiaTheme="majorEastAsia"/>
                <w:kern w:val="2"/>
                <w:sz w:val="21"/>
                <w:szCs w:val="21"/>
              </w:rPr>
              <w:t>管理</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（5分）</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管理制度</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健全性（2分）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部门为加强资产管理、规范资产管理行为而制定的管理制度是否健全完整，用以反映和考核部门资产管理制度对完成主要职责或促进社会发展的保障情况。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①制定或具有资产管理制度计1分；②相关资金管理制度合法、合规、完整计0.5分；③相关资产管理制度得到有效执行计0.5分。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shd w:val="clear" w:color="auto" w:fill="auto"/>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shd w:val="clear" w:color="auto" w:fill="auto"/>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资产管理</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安全性（2分）</w:t>
            </w:r>
          </w:p>
        </w:tc>
        <w:tc>
          <w:tcPr>
            <w:tcW w:w="446" w:type="dxa"/>
            <w:tcMar>
              <w:top w:w="10" w:type="dxa"/>
              <w:left w:w="10" w:type="dxa"/>
              <w:bottom w:w="0" w:type="dxa"/>
              <w:right w:w="10" w:type="dxa"/>
            </w:tcMar>
            <w:vAlign w:val="center"/>
          </w:tcPr>
          <w:p>
            <w:pPr>
              <w:widowControl w:val="0"/>
              <w:tabs>
                <w:tab w:val="left" w:pos="761"/>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w:t>
            </w:r>
          </w:p>
        </w:tc>
        <w:tc>
          <w:tcPr>
            <w:tcW w:w="2976" w:type="dxa"/>
            <w:shd w:val="clear" w:color="auto" w:fill="auto"/>
            <w:tcMar>
              <w:top w:w="10" w:type="dxa"/>
              <w:left w:w="10" w:type="dxa"/>
              <w:bottom w:w="0" w:type="dxa"/>
              <w:right w:w="10" w:type="dxa"/>
            </w:tcMar>
            <w:vAlign w:val="center"/>
          </w:tcPr>
          <w:p>
            <w:pPr>
              <w:widowControl w:val="0"/>
              <w:tabs>
                <w:tab w:val="left" w:pos="761"/>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部门的资产是否保存完整、使用合规、配置合理、处置规范、收入及时足额上缴，用以反映和考核部门资产安全运行情况。</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①资产保存完整计0.4分；②资产配置合理计0.4分；③资产处置规范计0.4分；④资产账务管理合规、帐实相符计0.4分；⑤资产有偿使用及处置收入及时足额上缴计0.4分。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shd w:val="clear" w:color="auto" w:fill="auto"/>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shd w:val="clear" w:color="auto" w:fill="auto"/>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固定资产</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利用率（1分）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部门实际在用固定资产总额与所有固定资产总额的比率，用以反映和考核部门固定资产使用效率程度。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固定资产利用率=（实际在用固定资产总额/所有固定资产总额）×100%。利用率为100%的计1分，每降1个百分点扣0.1分，扣完为止。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shd w:val="clear" w:color="auto" w:fill="auto"/>
            <w:tcMar>
              <w:top w:w="10" w:type="dxa"/>
              <w:left w:w="10" w:type="dxa"/>
              <w:bottom w:w="0" w:type="dxa"/>
              <w:right w:w="10" w:type="dxa"/>
            </w:tcMar>
            <w:textDirection w:val="tbRlV"/>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产   出（30分）</w:t>
            </w:r>
          </w:p>
        </w:tc>
        <w:tc>
          <w:tcPr>
            <w:tcW w:w="570"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职责</w:t>
            </w:r>
            <w:r>
              <w:rPr>
                <w:rFonts w:hint="eastAsia" w:cs="Times New Roman" w:asciiTheme="majorEastAsia" w:hAnsiTheme="majorEastAsia" w:eastAsiaTheme="majorEastAsia"/>
                <w:kern w:val="2"/>
                <w:sz w:val="21"/>
                <w:szCs w:val="21"/>
              </w:rPr>
              <w:br w:type="textWrapping"/>
            </w:r>
            <w:r>
              <w:rPr>
                <w:rFonts w:hint="eastAsia" w:cs="Times New Roman" w:asciiTheme="majorEastAsia" w:hAnsiTheme="majorEastAsia" w:eastAsiaTheme="majorEastAsia"/>
                <w:kern w:val="2"/>
                <w:sz w:val="21"/>
                <w:szCs w:val="21"/>
              </w:rPr>
              <w:t>履行</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实际完成率（8分）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8</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部门履行职责而实际完成工作数与计划工作数的比率，用以反映和考核部门履职工作任务目标的实现程度。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实际完成率得分=完成市委市政府绩效考核得分或上级主管部门考核指标得分/指标分值*8分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完成及时率（4分）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4</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部门在规定时限内及时完成的实际工作数与计划工作数的比率,用以反映和考核部门履职时效目标的实现程度。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完成及时率=（及时完成实际工作数/计划工作数）×100%。1-4季度各得1分</w:t>
            </w:r>
            <w:r>
              <w:rPr>
                <w:rFonts w:hint="eastAsia" w:cs="Times New Roman" w:asciiTheme="majorEastAsia" w:hAnsiTheme="majorEastAsia" w:eastAsiaTheme="majorEastAsia"/>
                <w:kern w:val="2"/>
                <w:sz w:val="21"/>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质量达标率（8分）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hint="eastAsia" w:cs="Times New Roman" w:asciiTheme="majorEastAsia" w:hAnsiTheme="majorEastAsia" w:eastAsiaTheme="majorEastAsia"/>
                <w:kern w:val="2"/>
                <w:sz w:val="21"/>
                <w:szCs w:val="21"/>
                <w:lang w:eastAsia="zh-CN"/>
              </w:rPr>
            </w:pPr>
            <w:r>
              <w:rPr>
                <w:rFonts w:hint="eastAsia" w:cs="Times New Roman" w:asciiTheme="majorEastAsia" w:hAnsiTheme="majorEastAsia" w:eastAsiaTheme="majorEastAsia"/>
                <w:kern w:val="2"/>
                <w:sz w:val="21"/>
                <w:szCs w:val="21"/>
                <w:lang w:val="en-US" w:eastAsia="zh-CN"/>
              </w:rPr>
              <w:t>7</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达到质量标准（绩效标准值）的实际工作数与计划工作数的比率,用以反映和考核部门履职质量目标的实现程度。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质量达标率=（质量达标实际工作数/计划工作数）×100%。实际得分=达标率*8分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重点工作</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办结率（10分）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hint="eastAsia" w:cs="Times New Roman" w:asciiTheme="majorEastAsia" w:hAnsiTheme="majorEastAsia" w:eastAsiaTheme="majorEastAsia"/>
                <w:kern w:val="2"/>
                <w:sz w:val="21"/>
                <w:szCs w:val="21"/>
                <w:lang w:eastAsia="zh-CN"/>
              </w:rPr>
            </w:pPr>
            <w:r>
              <w:rPr>
                <w:rFonts w:hint="eastAsia" w:cs="Times New Roman" w:asciiTheme="majorEastAsia" w:hAnsiTheme="majorEastAsia" w:eastAsiaTheme="majorEastAsia"/>
                <w:kern w:val="2"/>
                <w:sz w:val="21"/>
                <w:szCs w:val="21"/>
                <w:lang w:val="en-US" w:eastAsia="zh-CN"/>
              </w:rPr>
              <w:t>9</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部门年度重点工作实际完成数与交办或下达数的比率，用以反映部门对重点工作的办理落实程度。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重点工作办结率=（重点工作实际完成数/交办或下达数）×100%。实际得分=办结率*10分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shd w:val="clear" w:color="auto" w:fill="auto"/>
            <w:tcMar>
              <w:top w:w="10" w:type="dxa"/>
              <w:left w:w="10" w:type="dxa"/>
              <w:bottom w:w="0" w:type="dxa"/>
              <w:right w:w="10" w:type="dxa"/>
            </w:tcMar>
            <w:textDirection w:val="tbRlV"/>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效   果（20分）</w:t>
            </w:r>
          </w:p>
        </w:tc>
        <w:tc>
          <w:tcPr>
            <w:tcW w:w="570"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履职</w:t>
            </w:r>
            <w:r>
              <w:rPr>
                <w:rFonts w:hint="eastAsia" w:cs="Times New Roman" w:asciiTheme="majorEastAsia" w:hAnsiTheme="majorEastAsia" w:eastAsiaTheme="majorEastAsia"/>
                <w:kern w:val="2"/>
                <w:sz w:val="21"/>
                <w:szCs w:val="21"/>
              </w:rPr>
              <w:br w:type="textWrapping"/>
            </w:r>
            <w:r>
              <w:rPr>
                <w:rFonts w:hint="eastAsia" w:cs="Times New Roman" w:asciiTheme="majorEastAsia" w:hAnsiTheme="majorEastAsia" w:eastAsiaTheme="majorEastAsia"/>
                <w:kern w:val="2"/>
                <w:sz w:val="21"/>
                <w:szCs w:val="21"/>
              </w:rPr>
              <w:t>效益（20分）</w:t>
            </w: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经济效益（5分）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3</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部门履行职责对经济发展所带来的直接或间接影响。</w:t>
            </w:r>
          </w:p>
        </w:tc>
        <w:tc>
          <w:tcPr>
            <w:tcW w:w="3721" w:type="dxa"/>
            <w:vMerge w:val="restart"/>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宋体" w:asciiTheme="majorEastAsia" w:hAnsiTheme="majorEastAsia" w:eastAsiaTheme="majorEastAsia"/>
                <w:sz w:val="21"/>
                <w:szCs w:val="21"/>
              </w:rPr>
              <w:t>按经济效益实现程度计算得分（5分）；按社会效益实现程度计算得分（5分）；按生态效益实现程度计算得分（5分）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社会效益（5分）</w:t>
            </w:r>
          </w:p>
        </w:tc>
        <w:tc>
          <w:tcPr>
            <w:tcW w:w="446" w:type="dxa"/>
            <w:vAlign w:val="center"/>
          </w:tcPr>
          <w:p>
            <w:pPr>
              <w:widowControl w:val="0"/>
              <w:tabs>
                <w:tab w:val="left" w:pos="2604"/>
              </w:tabs>
              <w:adjustRightInd/>
              <w:snapToGrid/>
              <w:spacing w:after="0" w:line="240" w:lineRule="exact"/>
              <w:jc w:val="center"/>
              <w:rPr>
                <w:rFonts w:hint="eastAsia" w:cs="Times New Roman" w:asciiTheme="majorEastAsia" w:hAnsiTheme="majorEastAsia" w:eastAsiaTheme="majorEastAsia"/>
                <w:kern w:val="2"/>
                <w:sz w:val="21"/>
                <w:szCs w:val="21"/>
                <w:lang w:eastAsia="zh-CN"/>
              </w:rPr>
            </w:pPr>
            <w:r>
              <w:rPr>
                <w:rFonts w:hint="eastAsia" w:cs="Times New Roman" w:asciiTheme="majorEastAsia" w:hAnsiTheme="majorEastAsia" w:eastAsiaTheme="majorEastAsia"/>
                <w:kern w:val="2"/>
                <w:sz w:val="21"/>
                <w:szCs w:val="21"/>
                <w:lang w:val="en-US" w:eastAsia="zh-CN"/>
              </w:rPr>
              <w:t>4</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部门履行职责对社会发展所带来的直接或间接影响。</w:t>
            </w:r>
          </w:p>
        </w:tc>
        <w:tc>
          <w:tcPr>
            <w:tcW w:w="3721" w:type="dxa"/>
            <w:vMerge w:val="continue"/>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生态效益（5分）</w:t>
            </w:r>
          </w:p>
        </w:tc>
        <w:tc>
          <w:tcPr>
            <w:tcW w:w="446" w:type="dxa"/>
            <w:vAlign w:val="center"/>
          </w:tcPr>
          <w:p>
            <w:pPr>
              <w:widowControl w:val="0"/>
              <w:tabs>
                <w:tab w:val="left" w:pos="2604"/>
              </w:tabs>
              <w:adjustRightInd/>
              <w:snapToGrid/>
              <w:spacing w:after="0" w:line="240" w:lineRule="exact"/>
              <w:jc w:val="center"/>
              <w:rPr>
                <w:rFonts w:hint="eastAsia" w:cs="Times New Roman" w:asciiTheme="majorEastAsia" w:hAnsiTheme="majorEastAsia" w:eastAsiaTheme="majorEastAsia"/>
                <w:kern w:val="2"/>
                <w:sz w:val="21"/>
                <w:szCs w:val="21"/>
                <w:lang w:eastAsia="zh-CN"/>
              </w:rPr>
            </w:pPr>
            <w:r>
              <w:rPr>
                <w:rFonts w:hint="eastAsia" w:cs="Times New Roman" w:asciiTheme="majorEastAsia" w:hAnsiTheme="majorEastAsia" w:eastAsiaTheme="majorEastAsia"/>
                <w:kern w:val="2"/>
                <w:sz w:val="21"/>
                <w:szCs w:val="21"/>
                <w:lang w:val="en-US" w:eastAsia="zh-CN"/>
              </w:rPr>
              <w:t>5</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部门履行职责对生态环境所带来的直接或间接影响。</w:t>
            </w:r>
          </w:p>
        </w:tc>
        <w:tc>
          <w:tcPr>
            <w:tcW w:w="3721" w:type="dxa"/>
            <w:vMerge w:val="continue"/>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570" w:type="dxa"/>
            <w:vMerge w:val="continue"/>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p>
        </w:tc>
        <w:tc>
          <w:tcPr>
            <w:tcW w:w="703" w:type="dxa"/>
            <w:shd w:val="clear" w:color="auto" w:fill="auto"/>
            <w:tcMar>
              <w:top w:w="10" w:type="dxa"/>
              <w:left w:w="10" w:type="dxa"/>
              <w:bottom w:w="0" w:type="dxa"/>
              <w:right w:w="10" w:type="dxa"/>
            </w:tcMar>
            <w:vAlign w:val="center"/>
          </w:tcPr>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社会公众</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或服务对</w:t>
            </w:r>
          </w:p>
          <w:p>
            <w:pPr>
              <w:widowControl w:val="0"/>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象满意度（5分）</w:t>
            </w:r>
          </w:p>
        </w:tc>
        <w:tc>
          <w:tcPr>
            <w:tcW w:w="446" w:type="dxa"/>
            <w:tcMar>
              <w:top w:w="10" w:type="dxa"/>
              <w:left w:w="10" w:type="dxa"/>
              <w:bottom w:w="0" w:type="dxa"/>
              <w:right w:w="10" w:type="dxa"/>
            </w:tcMar>
            <w:vAlign w:val="center"/>
          </w:tcPr>
          <w:p>
            <w:pPr>
              <w:widowControl w:val="0"/>
              <w:tabs>
                <w:tab w:val="left" w:pos="2604"/>
              </w:tabs>
              <w:adjustRightInd/>
              <w:snapToGrid/>
              <w:spacing w:after="0" w:line="240" w:lineRule="exact"/>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5</w:t>
            </w:r>
          </w:p>
        </w:tc>
        <w:tc>
          <w:tcPr>
            <w:tcW w:w="2976" w:type="dxa"/>
            <w:shd w:val="clear" w:color="auto" w:fill="auto"/>
            <w:tcMar>
              <w:top w:w="10" w:type="dxa"/>
              <w:left w:w="10" w:type="dxa"/>
              <w:bottom w:w="0" w:type="dxa"/>
              <w:right w:w="10" w:type="dxa"/>
            </w:tcMar>
            <w:vAlign w:val="center"/>
          </w:tcPr>
          <w:p>
            <w:pPr>
              <w:widowControl w:val="0"/>
              <w:tabs>
                <w:tab w:val="left" w:pos="2604"/>
              </w:tabs>
              <w:adjustRightInd/>
              <w:snapToGrid/>
              <w:spacing w:after="0" w:line="240" w:lineRule="exact"/>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社会公众或部门的服务对象对部门履职效果的满意程度。</w:t>
            </w:r>
          </w:p>
        </w:tc>
        <w:tc>
          <w:tcPr>
            <w:tcW w:w="3721" w:type="dxa"/>
            <w:shd w:val="clear" w:color="auto" w:fill="auto"/>
            <w:tcMar>
              <w:top w:w="10" w:type="dxa"/>
              <w:left w:w="10" w:type="dxa"/>
              <w:bottom w:w="0" w:type="dxa"/>
              <w:right w:w="10" w:type="dxa"/>
            </w:tcMar>
            <w:vAlign w:val="center"/>
          </w:tcPr>
          <w:p>
            <w:pPr>
              <w:widowControl w:val="0"/>
              <w:adjustRightInd/>
              <w:snapToGrid/>
              <w:spacing w:after="0" w:line="240" w:lineRule="exact"/>
              <w:jc w:val="both"/>
              <w:rPr>
                <w:rFonts w:cs="Times New Roman" w:asciiTheme="majorEastAsia" w:hAnsiTheme="majorEastAsia" w:eastAsiaTheme="majorEastAsia"/>
                <w:kern w:val="2"/>
                <w:sz w:val="21"/>
                <w:szCs w:val="21"/>
              </w:rPr>
            </w:pPr>
            <w:r>
              <w:rPr>
                <w:rFonts w:hint="eastAsia" w:cs="宋体" w:asciiTheme="majorEastAsia" w:hAnsiTheme="majorEastAsia" w:eastAsiaTheme="majorEastAsia"/>
                <w:sz w:val="21"/>
                <w:szCs w:val="21"/>
              </w:rPr>
              <w:t>按收集到的服务对象的满意率计算得分（5分）</w:t>
            </w:r>
          </w:p>
        </w:tc>
      </w:tr>
    </w:tbl>
    <w:p>
      <w:pPr>
        <w:widowControl w:val="0"/>
        <w:adjustRightInd/>
        <w:snapToGrid/>
        <w:spacing w:after="0" w:line="480" w:lineRule="exact"/>
        <w:rPr>
          <w:rFonts w:ascii="方正小标宋简体" w:hAnsi="Times New Roman" w:eastAsia="方正小标宋简体" w:cs="Times New Roman"/>
          <w:bCs/>
          <w:kern w:val="2"/>
          <w:sz w:val="36"/>
          <w:szCs w:val="36"/>
        </w:rPr>
      </w:pPr>
    </w:p>
    <w:p>
      <w:pPr>
        <w:spacing w:line="400" w:lineRule="exac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DRlNTNmODEyN2VjNWE4NjRhMGY3N2ZmNTFkMjUyOWIifQ=="/>
  </w:docVars>
  <w:rsids>
    <w:rsidRoot w:val="00D31D50"/>
    <w:rsid w:val="00323B43"/>
    <w:rsid w:val="003D37D8"/>
    <w:rsid w:val="00426133"/>
    <w:rsid w:val="004358AB"/>
    <w:rsid w:val="008B7726"/>
    <w:rsid w:val="00B93003"/>
    <w:rsid w:val="00D31D50"/>
    <w:rsid w:val="00E51115"/>
    <w:rsid w:val="03396CB6"/>
    <w:rsid w:val="10E02E12"/>
    <w:rsid w:val="13C7650B"/>
    <w:rsid w:val="16EB42BE"/>
    <w:rsid w:val="175C6B1B"/>
    <w:rsid w:val="19510D51"/>
    <w:rsid w:val="216B497A"/>
    <w:rsid w:val="2392781F"/>
    <w:rsid w:val="242D1F30"/>
    <w:rsid w:val="2AF2048B"/>
    <w:rsid w:val="2F8E3C04"/>
    <w:rsid w:val="38FB262F"/>
    <w:rsid w:val="3CB765E1"/>
    <w:rsid w:val="3F620FE1"/>
    <w:rsid w:val="40CD2BBB"/>
    <w:rsid w:val="47FB61A8"/>
    <w:rsid w:val="49425710"/>
    <w:rsid w:val="4A723504"/>
    <w:rsid w:val="4F900B6C"/>
    <w:rsid w:val="4FD16D78"/>
    <w:rsid w:val="559E79C4"/>
    <w:rsid w:val="567A473C"/>
    <w:rsid w:val="6B2A6728"/>
    <w:rsid w:val="6D003795"/>
    <w:rsid w:val="6F9208F0"/>
    <w:rsid w:val="71D376CA"/>
    <w:rsid w:val="7DF0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5312</Words>
  <Characters>6090</Characters>
  <Lines>37</Lines>
  <Paragraphs>10</Paragraphs>
  <TotalTime>1</TotalTime>
  <ScaleCrop>false</ScaleCrop>
  <LinksUpToDate>false</LinksUpToDate>
  <CharactersWithSpaces>6136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2023-07-03T07:38:06Z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AE6E4FC3DC2C4B70A04C5E30C4643493_12</vt:lpwstr>
  </property>
</Properties>
</file>