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黑体" w:hAnsi="黑体" w:eastAsia="黑体" w:cs="黑体"/>
          <w:bCs/>
          <w:color w:val="000000"/>
          <w:kern w:val="0"/>
          <w:sz w:val="36"/>
          <w:szCs w:val="36"/>
        </w:rPr>
      </w:pPr>
      <w:r>
        <w:rPr>
          <w:rFonts w:hint="eastAsia" w:ascii="黑体" w:hAnsi="黑体" w:eastAsia="黑体" w:cs="黑体"/>
          <w:bCs/>
          <w:color w:val="000000"/>
          <w:kern w:val="0"/>
          <w:sz w:val="36"/>
          <w:szCs w:val="36"/>
        </w:rPr>
        <w:t>益阳市赫山区委组织部2021年部门整体支出</w:t>
      </w:r>
    </w:p>
    <w:p>
      <w:pPr>
        <w:spacing w:line="600" w:lineRule="exact"/>
        <w:jc w:val="center"/>
        <w:rPr>
          <w:rFonts w:cs="黑体" w:asciiTheme="minorEastAsia" w:hAnsiTheme="minorEastAsia"/>
          <w:b/>
          <w:color w:val="000000"/>
          <w:kern w:val="0"/>
          <w:sz w:val="32"/>
          <w:szCs w:val="32"/>
        </w:rPr>
      </w:pPr>
      <w:r>
        <w:rPr>
          <w:rFonts w:hint="eastAsia" w:ascii="黑体" w:hAnsi="黑体" w:eastAsia="黑体" w:cs="黑体"/>
          <w:bCs/>
          <w:color w:val="000000"/>
          <w:kern w:val="0"/>
          <w:sz w:val="36"/>
          <w:szCs w:val="36"/>
        </w:rPr>
        <w:t>绩效评价报告</w:t>
      </w:r>
    </w:p>
    <w:p>
      <w:pPr>
        <w:spacing w:line="60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根据益赫财绩【2022】1号《益阳市赫山区财政局关于做好2021年度预算绩效自评工作的通知》文件精神，我办从预算配置、预算执行、预算管理、职责履行、履职效益等五方面入手，对照《部门整体支出绩效评价指标表》，认真负责、客观公正地开展2021年度部门整体支出绩效自评工作，现将相关情况报告如下：</w:t>
      </w:r>
    </w:p>
    <w:p>
      <w:pPr>
        <w:spacing w:line="600" w:lineRule="exact"/>
        <w:ind w:firstLine="600" w:firstLineChars="200"/>
        <w:jc w:val="left"/>
        <w:rPr>
          <w:rFonts w:ascii="黑体" w:hAnsi="黑体" w:eastAsia="黑体" w:cs="黑体"/>
          <w:color w:val="000000"/>
          <w:kern w:val="0"/>
          <w:sz w:val="30"/>
          <w:szCs w:val="30"/>
        </w:rPr>
      </w:pPr>
      <w:r>
        <w:rPr>
          <w:rFonts w:hint="eastAsia" w:ascii="黑体" w:hAnsi="黑体" w:eastAsia="黑体" w:cs="黑体"/>
          <w:color w:val="000000"/>
          <w:kern w:val="0"/>
          <w:sz w:val="30"/>
          <w:szCs w:val="30"/>
        </w:rPr>
        <w:t>一、益阳市赫山区委组织部基本情况</w:t>
      </w:r>
    </w:p>
    <w:p>
      <w:pPr>
        <w:spacing w:line="600" w:lineRule="exact"/>
        <w:ind w:firstLine="602" w:firstLineChars="200"/>
        <w:jc w:val="left"/>
        <w:rPr>
          <w:rFonts w:ascii="仿宋" w:hAnsi="仿宋" w:eastAsia="仿宋" w:cs="仿宋"/>
          <w:color w:val="auto"/>
          <w:kern w:val="0"/>
          <w:sz w:val="30"/>
          <w:szCs w:val="30"/>
        </w:rPr>
      </w:pPr>
      <w:r>
        <w:rPr>
          <w:rFonts w:hint="eastAsia" w:ascii="仿宋" w:hAnsi="仿宋" w:eastAsia="仿宋" w:cs="仿宋"/>
          <w:b/>
          <w:bCs/>
          <w:color w:val="auto"/>
          <w:kern w:val="0"/>
          <w:sz w:val="30"/>
          <w:szCs w:val="30"/>
          <w:lang w:eastAsia="zh-CN"/>
        </w:rPr>
        <w:t>（</w:t>
      </w:r>
      <w:r>
        <w:rPr>
          <w:rFonts w:hint="eastAsia" w:ascii="仿宋" w:hAnsi="仿宋" w:eastAsia="仿宋" w:cs="仿宋"/>
          <w:b/>
          <w:bCs/>
          <w:color w:val="auto"/>
          <w:kern w:val="0"/>
          <w:sz w:val="30"/>
          <w:szCs w:val="30"/>
          <w:lang w:val="en-US" w:eastAsia="zh-CN"/>
        </w:rPr>
        <w:t>一</w:t>
      </w:r>
      <w:r>
        <w:rPr>
          <w:rFonts w:hint="eastAsia" w:ascii="仿宋" w:hAnsi="仿宋" w:eastAsia="仿宋" w:cs="仿宋"/>
          <w:b/>
          <w:bCs/>
          <w:color w:val="auto"/>
          <w:kern w:val="0"/>
          <w:sz w:val="30"/>
          <w:szCs w:val="30"/>
          <w:lang w:eastAsia="zh-CN"/>
        </w:rPr>
        <w:t>）</w:t>
      </w:r>
      <w:r>
        <w:rPr>
          <w:rFonts w:hint="eastAsia" w:ascii="仿宋" w:hAnsi="仿宋" w:eastAsia="仿宋" w:cs="仿宋"/>
          <w:b/>
          <w:bCs/>
          <w:color w:val="auto"/>
          <w:kern w:val="0"/>
          <w:sz w:val="30"/>
          <w:szCs w:val="30"/>
        </w:rPr>
        <w:t>部门职责</w:t>
      </w:r>
    </w:p>
    <w:p>
      <w:pPr>
        <w:spacing w:line="600" w:lineRule="exact"/>
        <w:ind w:firstLine="600" w:firstLineChars="200"/>
        <w:jc w:val="left"/>
        <w:rPr>
          <w:rFonts w:ascii="仿宋" w:hAnsi="仿宋" w:eastAsia="仿宋" w:cs="仿宋"/>
          <w:color w:val="auto"/>
          <w:sz w:val="30"/>
          <w:szCs w:val="30"/>
        </w:rPr>
      </w:pPr>
      <w:r>
        <w:rPr>
          <w:rFonts w:hint="eastAsia" w:ascii="仿宋" w:hAnsi="仿宋" w:eastAsia="仿宋" w:cs="仿宋"/>
          <w:color w:val="auto"/>
          <w:sz w:val="30"/>
          <w:szCs w:val="30"/>
          <w:lang w:val="en-US" w:eastAsia="zh-CN"/>
        </w:rPr>
        <w:t>1.</w:t>
      </w:r>
      <w:r>
        <w:rPr>
          <w:rFonts w:hint="eastAsia" w:ascii="仿宋" w:hAnsi="仿宋" w:eastAsia="仿宋" w:cs="仿宋"/>
          <w:color w:val="auto"/>
          <w:sz w:val="30"/>
          <w:szCs w:val="30"/>
        </w:rPr>
        <w:t>严格执行党的干部路线、方针、政策，负责全区干部队伍建设的管理，拟订或参与拟订组织、干部、人事工作的政策、规定、制度。负责全区党的建设制度改革工作的规划研究、部署和组织实施。</w:t>
      </w:r>
    </w:p>
    <w:p>
      <w:pPr>
        <w:spacing w:line="600" w:lineRule="exact"/>
        <w:ind w:firstLine="600" w:firstLineChars="200"/>
        <w:jc w:val="left"/>
        <w:rPr>
          <w:rFonts w:ascii="仿宋" w:hAnsi="仿宋" w:eastAsia="仿宋" w:cs="仿宋"/>
          <w:color w:val="auto"/>
          <w:sz w:val="30"/>
          <w:szCs w:val="30"/>
        </w:rPr>
      </w:pPr>
      <w:r>
        <w:rPr>
          <w:rFonts w:hint="eastAsia" w:ascii="仿宋" w:hAnsi="仿宋" w:eastAsia="仿宋" w:cs="仿宋"/>
          <w:color w:val="auto"/>
          <w:sz w:val="30"/>
          <w:szCs w:val="30"/>
          <w:lang w:val="en-US" w:eastAsia="zh-CN"/>
        </w:rPr>
        <w:t>2.</w:t>
      </w:r>
      <w:r>
        <w:rPr>
          <w:rFonts w:hint="eastAsia" w:ascii="仿宋" w:hAnsi="仿宋" w:eastAsia="仿宋" w:cs="仿宋"/>
          <w:color w:val="auto"/>
          <w:sz w:val="30"/>
          <w:szCs w:val="30"/>
        </w:rPr>
        <w:t>负责干部队伍建设的规划、指导和实施工作；负责全区干部监督工作的指导；负责全区干部教育培训的管理，制定和实施全区干部教育培训规划、计划，落实上级调训任务。</w:t>
      </w:r>
    </w:p>
    <w:p>
      <w:pPr>
        <w:spacing w:line="600" w:lineRule="exact"/>
        <w:ind w:firstLine="600" w:firstLineChars="200"/>
        <w:jc w:val="left"/>
        <w:rPr>
          <w:rFonts w:ascii="仿宋" w:hAnsi="仿宋" w:eastAsia="仿宋" w:cs="仿宋"/>
          <w:color w:val="auto"/>
          <w:sz w:val="30"/>
          <w:szCs w:val="30"/>
        </w:rPr>
      </w:pPr>
      <w:r>
        <w:rPr>
          <w:rFonts w:hint="eastAsia" w:ascii="仿宋" w:hAnsi="仿宋" w:eastAsia="仿宋" w:cs="仿宋"/>
          <w:color w:val="auto"/>
          <w:sz w:val="30"/>
          <w:szCs w:val="30"/>
          <w:lang w:val="en-US" w:eastAsia="zh-CN"/>
        </w:rPr>
        <w:t>3.</w:t>
      </w:r>
      <w:r>
        <w:rPr>
          <w:rFonts w:hint="eastAsia" w:ascii="仿宋" w:hAnsi="仿宋" w:eastAsia="仿宋" w:cs="仿宋"/>
          <w:color w:val="auto"/>
          <w:sz w:val="30"/>
          <w:szCs w:val="30"/>
        </w:rPr>
        <w:t>执行公务员管理政策和法律法规。负责公务员职务与职级并行制度的组织实施；负责公务员和参照公务员法管理单位参公人员的考试录用、考核、奖惩、工资管理、信息统计、能力建设等工作；指导实施公务员调任、转任、挂职政策；负责公务员信息统计管理工作。</w:t>
      </w:r>
    </w:p>
    <w:p>
      <w:pPr>
        <w:spacing w:line="600" w:lineRule="exact"/>
        <w:ind w:firstLine="600" w:firstLineChars="200"/>
        <w:jc w:val="left"/>
        <w:rPr>
          <w:rFonts w:ascii="仿宋" w:hAnsi="仿宋" w:eastAsia="仿宋" w:cs="仿宋"/>
          <w:color w:val="auto"/>
          <w:sz w:val="30"/>
          <w:szCs w:val="30"/>
        </w:rPr>
      </w:pPr>
      <w:r>
        <w:rPr>
          <w:rFonts w:hint="eastAsia" w:ascii="仿宋" w:hAnsi="仿宋" w:eastAsia="仿宋" w:cs="仿宋"/>
          <w:color w:val="auto"/>
          <w:sz w:val="30"/>
          <w:szCs w:val="30"/>
          <w:lang w:val="en-US" w:eastAsia="zh-CN"/>
        </w:rPr>
        <w:t>4.</w:t>
      </w:r>
      <w:r>
        <w:rPr>
          <w:rFonts w:hint="eastAsia" w:ascii="仿宋" w:hAnsi="仿宋" w:eastAsia="仿宋" w:cs="仿宋"/>
          <w:color w:val="auto"/>
          <w:sz w:val="30"/>
          <w:szCs w:val="30"/>
        </w:rPr>
        <w:t>负责全区干部信息、人事档案、干部统计宏观指导；负责大组工网建设。负责全区人才工作和人才队伍建设的牵头抓总。推动和促进各类人才成长、开发和合理流动，参与选拔和管理有突出贡献的专家和专门人才。</w:t>
      </w:r>
    </w:p>
    <w:p>
      <w:pPr>
        <w:spacing w:line="600" w:lineRule="exact"/>
        <w:ind w:firstLine="600" w:firstLineChars="200"/>
        <w:jc w:val="left"/>
        <w:rPr>
          <w:rFonts w:ascii="仿宋" w:hAnsi="仿宋" w:eastAsia="仿宋" w:cs="仿宋"/>
          <w:color w:val="auto"/>
          <w:sz w:val="30"/>
          <w:szCs w:val="30"/>
        </w:rPr>
      </w:pPr>
      <w:r>
        <w:rPr>
          <w:rFonts w:hint="eastAsia" w:ascii="仿宋" w:hAnsi="仿宋" w:eastAsia="仿宋" w:cs="仿宋"/>
          <w:color w:val="auto"/>
          <w:sz w:val="30"/>
          <w:szCs w:val="30"/>
          <w:lang w:val="en-US" w:eastAsia="zh-CN"/>
        </w:rPr>
        <w:t>5.</w:t>
      </w:r>
      <w:r>
        <w:rPr>
          <w:rFonts w:hint="eastAsia" w:ascii="仿宋" w:hAnsi="仿宋" w:eastAsia="仿宋" w:cs="仿宋"/>
          <w:color w:val="auto"/>
          <w:sz w:val="30"/>
          <w:szCs w:val="30"/>
        </w:rPr>
        <w:t>研究指导党组织建设工作；研究指导党员队伍建设工作；承担区委基层党建工作领导小组日常工作，综合协调有关部门统筹推进基层党建工作，健全和落实基层党建工作责任制。负责基层和全区党建述职评议；协调有关部门指导村级（社区）组织活动场所建设管理、发展壮大村级（社区）集体经济；</w:t>
      </w:r>
    </w:p>
    <w:p>
      <w:pPr>
        <w:spacing w:line="600" w:lineRule="exact"/>
        <w:ind w:firstLine="600" w:firstLineChars="200"/>
        <w:jc w:val="left"/>
        <w:rPr>
          <w:rFonts w:ascii="仿宋" w:hAnsi="仿宋" w:eastAsia="仿宋" w:cs="仿宋"/>
          <w:color w:val="auto"/>
          <w:sz w:val="30"/>
          <w:szCs w:val="30"/>
        </w:rPr>
      </w:pPr>
      <w:r>
        <w:rPr>
          <w:rFonts w:hint="eastAsia" w:ascii="仿宋" w:hAnsi="仿宋" w:eastAsia="仿宋" w:cs="仿宋"/>
          <w:color w:val="auto"/>
          <w:sz w:val="30"/>
          <w:szCs w:val="30"/>
          <w:lang w:val="en-US" w:eastAsia="zh-CN"/>
        </w:rPr>
        <w:t>6.</w:t>
      </w:r>
      <w:r>
        <w:rPr>
          <w:rFonts w:hint="eastAsia" w:ascii="仿宋" w:hAnsi="仿宋" w:eastAsia="仿宋" w:cs="仿宋"/>
          <w:color w:val="auto"/>
          <w:sz w:val="30"/>
          <w:szCs w:val="30"/>
        </w:rPr>
        <w:t>承担区直属机关工作委员会、区委非公有制经济组织和社会组织工作委员会职责。</w:t>
      </w:r>
    </w:p>
    <w:p>
      <w:pPr>
        <w:spacing w:line="600" w:lineRule="exact"/>
        <w:ind w:firstLine="600" w:firstLineChars="200"/>
        <w:jc w:val="left"/>
        <w:rPr>
          <w:rFonts w:ascii="仿宋" w:hAnsi="仿宋" w:eastAsia="仿宋" w:cs="仿宋"/>
          <w:color w:val="auto"/>
          <w:sz w:val="30"/>
          <w:szCs w:val="30"/>
        </w:rPr>
      </w:pPr>
      <w:r>
        <w:rPr>
          <w:rFonts w:hint="eastAsia" w:ascii="仿宋" w:hAnsi="仿宋" w:eastAsia="仿宋" w:cs="仿宋"/>
          <w:color w:val="auto"/>
          <w:sz w:val="30"/>
          <w:szCs w:val="30"/>
          <w:lang w:val="en-US" w:eastAsia="zh-CN"/>
        </w:rPr>
        <w:t>7.</w:t>
      </w:r>
      <w:r>
        <w:rPr>
          <w:rFonts w:hint="eastAsia" w:ascii="仿宋" w:hAnsi="仿宋" w:eastAsia="仿宋" w:cs="仿宋"/>
          <w:color w:val="auto"/>
          <w:sz w:val="30"/>
          <w:szCs w:val="30"/>
        </w:rPr>
        <w:t>负责离退休老干部的管理服务工作，承办市、区委管理干部的离退休呈报、审批手续。</w:t>
      </w:r>
    </w:p>
    <w:p>
      <w:pPr>
        <w:spacing w:line="600" w:lineRule="exact"/>
        <w:ind w:firstLine="600" w:firstLineChars="200"/>
        <w:jc w:val="left"/>
        <w:rPr>
          <w:rFonts w:ascii="仿宋" w:hAnsi="仿宋" w:eastAsia="仿宋" w:cs="仿宋"/>
          <w:color w:val="auto"/>
          <w:sz w:val="30"/>
          <w:szCs w:val="30"/>
        </w:rPr>
      </w:pPr>
      <w:r>
        <w:rPr>
          <w:rFonts w:hint="eastAsia" w:ascii="仿宋" w:hAnsi="仿宋" w:eastAsia="仿宋" w:cs="仿宋"/>
          <w:color w:val="auto"/>
          <w:sz w:val="30"/>
          <w:szCs w:val="30"/>
          <w:lang w:val="en-US" w:eastAsia="zh-CN"/>
        </w:rPr>
        <w:t>8.</w:t>
      </w:r>
      <w:r>
        <w:rPr>
          <w:rFonts w:hint="eastAsia" w:ascii="仿宋" w:hAnsi="仿宋" w:eastAsia="仿宋" w:cs="仿宋"/>
          <w:color w:val="auto"/>
          <w:sz w:val="30"/>
          <w:szCs w:val="30"/>
        </w:rPr>
        <w:t>统筹协调全区绩效评估管理工作。</w:t>
      </w:r>
    </w:p>
    <w:p>
      <w:pPr>
        <w:spacing w:line="600" w:lineRule="exact"/>
        <w:ind w:firstLine="600" w:firstLineChars="200"/>
        <w:jc w:val="left"/>
        <w:rPr>
          <w:rFonts w:ascii="仿宋" w:hAnsi="仿宋" w:eastAsia="仿宋" w:cs="仿宋"/>
          <w:color w:val="auto"/>
          <w:sz w:val="30"/>
          <w:szCs w:val="30"/>
        </w:rPr>
      </w:pPr>
      <w:r>
        <w:rPr>
          <w:rFonts w:hint="eastAsia" w:ascii="仿宋" w:hAnsi="仿宋" w:eastAsia="仿宋" w:cs="仿宋"/>
          <w:color w:val="auto"/>
          <w:sz w:val="30"/>
          <w:szCs w:val="30"/>
          <w:lang w:val="en-US" w:eastAsia="zh-CN"/>
        </w:rPr>
        <w:t>9.</w:t>
      </w:r>
      <w:r>
        <w:rPr>
          <w:rFonts w:hint="eastAsia" w:ascii="仿宋" w:hAnsi="仿宋" w:eastAsia="仿宋" w:cs="仿宋"/>
          <w:color w:val="auto"/>
          <w:sz w:val="30"/>
          <w:szCs w:val="30"/>
        </w:rPr>
        <w:t>负责组织工作的综合协调、督促检查和调查研究；指导下级党组织开展组织工作，及时向区委和市委组织部报告工作；负责党员、干部的来信来访工作。</w:t>
      </w:r>
    </w:p>
    <w:p>
      <w:pPr>
        <w:spacing w:line="600" w:lineRule="exact"/>
        <w:ind w:firstLine="602" w:firstLineChars="200"/>
        <w:jc w:val="left"/>
        <w:rPr>
          <w:rFonts w:hint="default" w:ascii="仿宋" w:hAnsi="仿宋" w:eastAsia="仿宋" w:cs="仿宋"/>
          <w:b/>
          <w:bCs/>
          <w:color w:val="000000"/>
          <w:kern w:val="0"/>
          <w:sz w:val="30"/>
          <w:szCs w:val="30"/>
          <w:lang w:val="en-US" w:eastAsia="zh-CN"/>
        </w:rPr>
      </w:pPr>
      <w:r>
        <w:rPr>
          <w:rFonts w:hint="eastAsia" w:ascii="仿宋" w:hAnsi="仿宋" w:eastAsia="仿宋" w:cs="仿宋"/>
          <w:b/>
          <w:bCs/>
          <w:color w:val="000000"/>
          <w:kern w:val="0"/>
          <w:sz w:val="30"/>
          <w:szCs w:val="30"/>
          <w:lang w:eastAsia="zh-CN"/>
        </w:rPr>
        <w:t>（</w:t>
      </w:r>
      <w:r>
        <w:rPr>
          <w:rFonts w:hint="eastAsia" w:ascii="仿宋" w:hAnsi="仿宋" w:eastAsia="仿宋" w:cs="仿宋"/>
          <w:b/>
          <w:bCs/>
          <w:color w:val="000000"/>
          <w:kern w:val="0"/>
          <w:sz w:val="30"/>
          <w:szCs w:val="30"/>
          <w:lang w:val="en-US" w:eastAsia="zh-CN"/>
        </w:rPr>
        <w:t>二</w:t>
      </w:r>
      <w:r>
        <w:rPr>
          <w:rFonts w:hint="eastAsia" w:ascii="仿宋" w:hAnsi="仿宋" w:eastAsia="仿宋" w:cs="仿宋"/>
          <w:b/>
          <w:bCs/>
          <w:color w:val="000000"/>
          <w:kern w:val="0"/>
          <w:sz w:val="30"/>
          <w:szCs w:val="30"/>
          <w:lang w:eastAsia="zh-CN"/>
        </w:rPr>
        <w:t>）</w:t>
      </w:r>
      <w:r>
        <w:rPr>
          <w:rFonts w:hint="eastAsia" w:ascii="仿宋" w:hAnsi="仿宋" w:eastAsia="仿宋" w:cs="仿宋"/>
          <w:b/>
          <w:bCs/>
          <w:color w:val="000000"/>
          <w:kern w:val="0"/>
          <w:sz w:val="30"/>
          <w:szCs w:val="30"/>
          <w:lang w:val="en-US" w:eastAsia="zh-CN"/>
        </w:rPr>
        <w:t>机构设置和人员编制情况</w:t>
      </w:r>
    </w:p>
    <w:p>
      <w:pPr>
        <w:spacing w:line="60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区委组织部是区委工作机关，正科级单位，加挂中共益阳市赫山区直属机关工作委员会、中共益阳市赫山区委非公有制经济组织和社会组织工作委员会、益阳市赫山区公务员局、中共益阳市赫山区老干部局牌子。经费来源为财政全额拨款，执行行政单位会计制度。2021年度末，我部设办公室、干部科、人才科、公务员管理科、工资福利科、干部监督科、干部信息科、区委基层党建工作领导小组办公室、组织指导科、党员管理科、区直属机关工作委员会办公室、区委非公有制经济组织和社会组织工作委员会办公室、调研室、绩效科、区委离退休工委办公室、区关心下一代工作委员会办公室。区委组织部机关行政编制31名，全额拨款事业编制4人，退休人员20人。</w:t>
      </w:r>
    </w:p>
    <w:p>
      <w:pPr>
        <w:spacing w:line="600" w:lineRule="exact"/>
        <w:ind w:firstLine="600" w:firstLineChars="200"/>
        <w:jc w:val="left"/>
        <w:rPr>
          <w:rFonts w:ascii="黑体" w:hAnsi="黑体" w:eastAsia="黑体" w:cs="黑体"/>
          <w:color w:val="000000"/>
          <w:kern w:val="0"/>
          <w:sz w:val="30"/>
          <w:szCs w:val="30"/>
        </w:rPr>
      </w:pPr>
      <w:r>
        <w:rPr>
          <w:rFonts w:hint="eastAsia" w:ascii="黑体" w:hAnsi="黑体" w:eastAsia="黑体" w:cs="黑体"/>
          <w:color w:val="000000"/>
          <w:kern w:val="0"/>
          <w:sz w:val="30"/>
          <w:szCs w:val="30"/>
        </w:rPr>
        <w:t>二、一般公共预算支出情况</w:t>
      </w:r>
    </w:p>
    <w:p>
      <w:pPr>
        <w:spacing w:line="600" w:lineRule="exact"/>
        <w:ind w:firstLine="602" w:firstLineChars="200"/>
        <w:jc w:val="left"/>
        <w:rPr>
          <w:rFonts w:ascii="仿宋" w:hAnsi="仿宋" w:eastAsia="仿宋" w:cs="仿宋"/>
          <w:b/>
          <w:bCs/>
          <w:color w:val="000000"/>
          <w:kern w:val="0"/>
          <w:sz w:val="30"/>
          <w:szCs w:val="30"/>
        </w:rPr>
      </w:pPr>
      <w:r>
        <w:rPr>
          <w:rFonts w:hint="eastAsia" w:ascii="仿宋" w:hAnsi="仿宋" w:eastAsia="仿宋" w:cs="仿宋"/>
          <w:b/>
          <w:bCs/>
          <w:color w:val="000000"/>
          <w:kern w:val="0"/>
          <w:sz w:val="30"/>
          <w:szCs w:val="30"/>
        </w:rPr>
        <w:t xml:space="preserve">（一）基本支出情况 </w:t>
      </w:r>
    </w:p>
    <w:p>
      <w:pPr>
        <w:pStyle w:val="4"/>
        <w:spacing w:line="600" w:lineRule="exact"/>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1.部门决算收支情况：2021年我单位一般公共预算财政拨款支出</w:t>
      </w:r>
      <w:r>
        <w:rPr>
          <w:rFonts w:hint="eastAsia" w:ascii="仿宋" w:hAnsi="仿宋" w:eastAsia="仿宋" w:cs="仿宋"/>
          <w:color w:val="auto"/>
          <w:sz w:val="30"/>
          <w:szCs w:val="30"/>
          <w:lang w:eastAsia="zh-CN"/>
        </w:rPr>
        <w:t>总计</w:t>
      </w:r>
      <w:r>
        <w:rPr>
          <w:rFonts w:hint="eastAsia" w:ascii="仿宋" w:hAnsi="仿宋" w:eastAsia="仿宋" w:cs="仿宋"/>
          <w:color w:val="auto"/>
          <w:sz w:val="30"/>
          <w:szCs w:val="30"/>
        </w:rPr>
        <w:t>1058.47万元，其中：基本支出（含专项业务经费）883.11万元，较上年减少94.91万元，降低9.7%，主要原因是</w:t>
      </w:r>
      <w:r>
        <w:rPr>
          <w:rFonts w:hint="eastAsia" w:ascii="仿宋" w:hAnsi="仿宋" w:eastAsia="仿宋" w:cs="仿宋"/>
          <w:color w:val="auto"/>
          <w:sz w:val="32"/>
          <w:szCs w:val="32"/>
        </w:rPr>
        <w:t>收入和支出减少的主</w:t>
      </w:r>
      <w:r>
        <w:rPr>
          <w:rFonts w:hint="eastAsia" w:ascii="仿宋" w:hAnsi="仿宋" w:eastAsia="仿宋" w:cs="仿宋"/>
          <w:color w:val="auto"/>
          <w:sz w:val="30"/>
          <w:szCs w:val="30"/>
        </w:rPr>
        <w:t>要是因为收入减少，厉行节约，缩减开支</w:t>
      </w:r>
      <w:r>
        <w:rPr>
          <w:rFonts w:hint="eastAsia" w:ascii="仿宋" w:hAnsi="仿宋" w:eastAsia="仿宋" w:cs="仿宋"/>
          <w:color w:val="auto"/>
          <w:sz w:val="30"/>
          <w:szCs w:val="30"/>
          <w:lang w:val="en-US" w:eastAsia="zh-CN"/>
        </w:rPr>
        <w:t>。</w:t>
      </w:r>
    </w:p>
    <w:p>
      <w:pPr>
        <w:spacing w:line="60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2.部门整体支出绩效目标</w:t>
      </w:r>
    </w:p>
    <w:p>
      <w:pPr>
        <w:spacing w:line="60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预决算公开：根据区财政局的统一部署及相关要求，本单位已在赫山信息网站上进行了预（决）算公开。</w:t>
      </w:r>
    </w:p>
    <w:p>
      <w:pPr>
        <w:spacing w:line="60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存量资金管理：本单位已实行国库集中支付管理。</w:t>
      </w:r>
    </w:p>
    <w:p>
      <w:pPr>
        <w:spacing w:line="60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资产管理：制定了《赫山区委组织部资产管理制度》，建立了固定资产台账，指定专人管理，及时登记，科学使用，实现了“一物一卡一条码”。固定资产的调出、处置、报废、报损严格执行国家有关规定的审批程序办理。</w:t>
      </w:r>
    </w:p>
    <w:p>
      <w:pPr>
        <w:spacing w:line="60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“三公”经费控制：2021年，本单位“三公”经费支出</w:t>
      </w:r>
      <w:r>
        <w:rPr>
          <w:rFonts w:hint="eastAsia" w:ascii="仿宋" w:hAnsi="仿宋" w:eastAsia="仿宋" w:cs="仿宋"/>
          <w:color w:val="000000"/>
          <w:kern w:val="0"/>
          <w:sz w:val="30"/>
          <w:szCs w:val="30"/>
          <w:lang w:val="en-US" w:eastAsia="zh-CN"/>
        </w:rPr>
        <w:t>0</w:t>
      </w:r>
      <w:r>
        <w:rPr>
          <w:rFonts w:hint="eastAsia" w:ascii="仿宋" w:hAnsi="仿宋" w:eastAsia="仿宋" w:cs="仿宋"/>
          <w:color w:val="000000"/>
          <w:kern w:val="0"/>
          <w:sz w:val="30"/>
          <w:szCs w:val="30"/>
        </w:rPr>
        <w:t>万元，其中：公务用车运行维护费</w:t>
      </w:r>
      <w:r>
        <w:rPr>
          <w:rFonts w:hint="eastAsia" w:ascii="仿宋" w:hAnsi="仿宋" w:eastAsia="仿宋" w:cs="仿宋"/>
          <w:color w:val="000000"/>
          <w:kern w:val="0"/>
          <w:sz w:val="30"/>
          <w:szCs w:val="30"/>
          <w:lang w:val="en-US" w:eastAsia="zh-CN"/>
        </w:rPr>
        <w:t>0</w:t>
      </w:r>
      <w:r>
        <w:rPr>
          <w:rFonts w:hint="eastAsia" w:ascii="仿宋" w:hAnsi="仿宋" w:eastAsia="仿宋" w:cs="仿宋"/>
          <w:color w:val="000000"/>
          <w:kern w:val="0"/>
          <w:sz w:val="30"/>
          <w:szCs w:val="30"/>
        </w:rPr>
        <w:t>万元，无公务接待费，无出国出境费。</w:t>
      </w:r>
    </w:p>
    <w:p>
      <w:pPr>
        <w:spacing w:line="60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内部控制制度建设：2021年，本单位完善了《赫山区委组织部机关管理制度》《财务管理制度》《赫山区委组织部物资采购制度》《赫山区委组织部资产管理制度》《机关管理制度》等一系列内部控制制度，相关制度合法合规、完整，并得到有效执行。</w:t>
      </w:r>
    </w:p>
    <w:p>
      <w:pPr>
        <w:spacing w:line="60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绩效目标完成情况：</w:t>
      </w:r>
    </w:p>
    <w:p>
      <w:pPr>
        <w:spacing w:line="60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（1）干部工作稳中有进。一是聚焦工作重点，区乡班子换届圆满完成；二是聚焦精准选配，着力锻造过硬干部队伍；三是聚焦引培结合，着力提升干部队伍素能；四是聚焦精细管理，着力完善干部监管体系。</w:t>
      </w:r>
    </w:p>
    <w:p>
      <w:pPr>
        <w:spacing w:line="60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（2）基层党建亮点纷呈。一是出台《赫山区排查整顿农村发展党员违规违纪问题工作实施方案》；二是摸排出20个软弱涣散基层党组织，均按照“六个一”的要求开展整顿，已全部完成销号验收；三是 成立以区委书记为组长的区委实施乡村振兴战略领导小组，设立赫山区乡村振兴区派驻村帮扶工作队管理办公室，选派工作队63支、驻村队员204名政治素质高、工作能力强、善做群众工作的党员干部奔赴全区63个村（社区），带领群众向着乡村振兴新目标稳步启航；四是培育壮大村集体经济，33个集体经济薄弱村今年年底已“清零”，全部实现年收入5万元以上目标；五是能够在村（社区）实现“一站式办理、一门式服务”的为民服务事项共67项，推动基层公共服务（一门式）全覆盖工作由“好不好”向“优不优”转变”；六是全区目前已建立小区党支部274个，31个小区根据实际就近成立了21个联合支部，其他小区通过单位代管、社区党建网格覆盖的形式，实现100%的党组织覆盖率；七是推行“干部沉下去、民情摸上来、问题化解掉、民心聚起来”工作法，组织16773名乡村党员干部与146614户群众结对，收集问题3310个，帮助解决问题1223个；八是坚持应摸尽摸、工作见底。28家两新组织参与“标杆引领”党组织创建，10家被授牌市两新标杆，龙岭非公企业党委被授牌省两新标杆；深入开展党建引领助力千企行动，把党建变成桥梁和纽带，转化为生产力，助推企业发展，帮助解决了一批疑难问题。</w:t>
      </w:r>
    </w:p>
    <w:p>
      <w:pPr>
        <w:spacing w:line="60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3）人才工作成果丰硕。持续落实《赫山区“513”人才规划》，全年引进各类人才402名，发放补贴267.28万元。出台《赫山区工业新型优势产业链高质量发展扶持奖励办法》，统筹安排400万元用于服务企业招工、高端人才引进及培训。吸引中南大学创新创业教育实践基地落户衡龙新区，建成全国首家5G+电容器智能制造创新孵化中心。打造10个农业科技服务示范点，自主研发科技服务App，81名科技专家线上线下为农户提供技术服务。探索“院长当村长”乡村振兴模式，5名高校院长（书记）获聘我区“名誉村长”。</w:t>
      </w:r>
    </w:p>
    <w:p>
      <w:pPr>
        <w:spacing w:line="60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4）老干工作全面加强。一是坚持以学为先，畅通离退休干部线上线下学习渠道；做好上传下达，及时传达各级老干部工作政策要求，推送中央、省、市、区委工作政策和信息；学习宣传各级离退休干部先进集体和先进个人，大力弘扬老干部优良作风和优良传统，发挥示范引领作用；二是全面落实“三会一课”“双述双评”等制度，开展对离退休党支部党建工作“体检”，提升离退休支部书记和在职联络员党建业务能力；创建省级示范离退休干部党支部1个、市级示范离退休干部党支部4个；三是切实保障政治待遇，按标准按时足额发放离退休干部各项离退休费用，做好离休干部无固定收入的配偶、遗孀医疗参保工作，组织离休干部和处级退休干部到定点医院开展健康体检；四是积极开展爱国主义教育、文明劝导、疫苗接种、普法宣传、送文化科技下乡、精准扶贫等志愿服务活动；组织离退休党员、退伍老兵为学生讲述党史故事和家风家教故事，组织离退休干部党员和“五老”志愿者为留守儿童、困境儿童等群体开展结对帮扶，区关工委被评为2021年全省关心下一代工作先进集体；精心组织离退休干部开展中国共产党成立100周年系列庆祝活动，营造浓烈的庆党活动氛围。</w:t>
      </w:r>
    </w:p>
    <w:p>
      <w:pPr>
        <w:spacing w:line="60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3.部门整体支出实施情况分析</w:t>
      </w:r>
    </w:p>
    <w:p>
      <w:pPr>
        <w:spacing w:line="60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本单位在部门整体支出中，严格按照年初预算安排，严格遵守资金管理制度，强化监督，专款专用，确保各项资金及时到位，无截留、挪用等现象。健全和完善管理制度，加强基本支出管理。严格审批程序，严格执行国家规定的开支范围及开支标准，量入为出，坚持会审联签制度。严格报账程序，实行国库集中支付制度，严格完善相关资料手续、审核审批程序，保证了各项资金使用的合理合规，充分发挥了各项资金的效益性。</w:t>
      </w:r>
    </w:p>
    <w:p>
      <w:pPr>
        <w:spacing w:line="600" w:lineRule="exact"/>
        <w:ind w:firstLine="602" w:firstLineChars="200"/>
        <w:jc w:val="left"/>
        <w:rPr>
          <w:rFonts w:ascii="仿宋" w:hAnsi="仿宋" w:eastAsia="仿宋" w:cs="仿宋"/>
          <w:b/>
          <w:bCs/>
          <w:color w:val="000000"/>
          <w:kern w:val="0"/>
          <w:sz w:val="30"/>
          <w:szCs w:val="30"/>
        </w:rPr>
      </w:pPr>
      <w:r>
        <w:rPr>
          <w:rFonts w:hint="eastAsia" w:ascii="仿宋" w:hAnsi="仿宋" w:eastAsia="仿宋" w:cs="仿宋"/>
          <w:b/>
          <w:bCs/>
          <w:color w:val="000000"/>
          <w:kern w:val="0"/>
          <w:sz w:val="30"/>
          <w:szCs w:val="30"/>
        </w:rPr>
        <w:t>（二）项目支出情况</w:t>
      </w:r>
    </w:p>
    <w:p>
      <w:pPr>
        <w:spacing w:line="600" w:lineRule="exact"/>
        <w:ind w:firstLine="600" w:firstLineChars="200"/>
        <w:jc w:val="left"/>
        <w:rPr>
          <w:rFonts w:ascii="仿宋" w:hAnsi="仿宋" w:eastAsia="仿宋" w:cs="仿宋"/>
          <w:color w:val="auto"/>
          <w:kern w:val="0"/>
          <w:sz w:val="30"/>
          <w:szCs w:val="30"/>
        </w:rPr>
      </w:pPr>
      <w:r>
        <w:rPr>
          <w:rFonts w:hint="eastAsia" w:ascii="仿宋" w:hAnsi="仿宋" w:eastAsia="仿宋" w:cs="仿宋"/>
          <w:color w:val="auto"/>
          <w:kern w:val="0"/>
          <w:sz w:val="30"/>
          <w:szCs w:val="30"/>
        </w:rPr>
        <w:t>本单位2021年项目支出</w:t>
      </w:r>
      <w:r>
        <w:rPr>
          <w:rFonts w:hint="eastAsia" w:ascii="仿宋" w:hAnsi="仿宋" w:eastAsia="仿宋" w:cs="仿宋"/>
          <w:color w:val="auto"/>
          <w:sz w:val="30"/>
          <w:szCs w:val="30"/>
          <w:lang w:eastAsia="zh-CN"/>
        </w:rPr>
        <w:t>162.07万元，</w:t>
      </w:r>
      <w:r>
        <w:rPr>
          <w:rFonts w:hint="eastAsia" w:ascii="仿宋" w:hAnsi="仿宋" w:eastAsia="仿宋" w:cs="仿宋"/>
          <w:color w:val="auto"/>
          <w:kern w:val="0"/>
          <w:sz w:val="30"/>
          <w:szCs w:val="30"/>
        </w:rPr>
        <w:t>为2020年中央第二批农村综合改革转移支付红色美丽村庄建设试点专项资金。</w:t>
      </w:r>
      <w:r>
        <w:rPr>
          <w:rFonts w:hint="eastAsia" w:ascii="仿宋" w:hAnsi="仿宋" w:eastAsia="仿宋" w:cs="仿宋"/>
          <w:color w:val="auto"/>
          <w:sz w:val="30"/>
          <w:szCs w:val="30"/>
          <w:lang w:eastAsia="zh-CN"/>
        </w:rPr>
        <w:t>较上年减少</w:t>
      </w:r>
      <w:r>
        <w:rPr>
          <w:rFonts w:hint="eastAsia" w:ascii="仿宋" w:hAnsi="仿宋" w:eastAsia="仿宋" w:cs="仿宋"/>
          <w:color w:val="auto"/>
          <w:sz w:val="30"/>
          <w:szCs w:val="30"/>
          <w:lang w:val="en-US" w:eastAsia="zh-CN"/>
        </w:rPr>
        <w:t>137.93万元，减少45.98%，</w:t>
      </w:r>
      <w:r>
        <w:rPr>
          <w:rFonts w:hint="eastAsia" w:ascii="仿宋" w:hAnsi="仿宋" w:eastAsia="仿宋" w:cs="仿宋"/>
          <w:color w:val="auto"/>
          <w:kern w:val="0"/>
          <w:sz w:val="30"/>
          <w:szCs w:val="30"/>
        </w:rPr>
        <w:t>主要原因是每年专项项目资金不同。</w:t>
      </w:r>
    </w:p>
    <w:p>
      <w:pPr>
        <w:spacing w:line="600" w:lineRule="exact"/>
        <w:ind w:firstLine="600" w:firstLineChars="200"/>
        <w:jc w:val="left"/>
        <w:rPr>
          <w:rFonts w:ascii="黑体" w:hAnsi="黑体" w:eastAsia="黑体" w:cs="黑体"/>
          <w:color w:val="000000"/>
          <w:kern w:val="0"/>
          <w:sz w:val="30"/>
          <w:szCs w:val="30"/>
        </w:rPr>
      </w:pPr>
      <w:r>
        <w:rPr>
          <w:rFonts w:hint="eastAsia" w:ascii="黑体" w:hAnsi="黑体" w:eastAsia="黑体" w:cs="黑体"/>
          <w:color w:val="000000"/>
          <w:kern w:val="0"/>
          <w:sz w:val="30"/>
          <w:szCs w:val="30"/>
        </w:rPr>
        <w:t>三、政府性基金预算支出情况</w:t>
      </w:r>
    </w:p>
    <w:p>
      <w:pPr>
        <w:spacing w:line="60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无</w:t>
      </w:r>
    </w:p>
    <w:p>
      <w:pPr>
        <w:spacing w:line="600" w:lineRule="exact"/>
        <w:ind w:firstLine="600" w:firstLineChars="200"/>
        <w:jc w:val="left"/>
        <w:rPr>
          <w:rFonts w:ascii="黑体" w:hAnsi="黑体" w:eastAsia="黑体" w:cs="黑体"/>
          <w:color w:val="000000"/>
          <w:kern w:val="0"/>
          <w:sz w:val="30"/>
          <w:szCs w:val="30"/>
        </w:rPr>
      </w:pPr>
      <w:r>
        <w:rPr>
          <w:rFonts w:hint="eastAsia" w:ascii="黑体" w:hAnsi="黑体" w:eastAsia="黑体" w:cs="黑体"/>
          <w:color w:val="000000"/>
          <w:kern w:val="0"/>
          <w:sz w:val="30"/>
          <w:szCs w:val="30"/>
        </w:rPr>
        <w:t>四、国有资本经营预算支出情况</w:t>
      </w:r>
    </w:p>
    <w:p>
      <w:pPr>
        <w:spacing w:line="60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无</w:t>
      </w:r>
    </w:p>
    <w:p>
      <w:pPr>
        <w:spacing w:line="600" w:lineRule="exact"/>
        <w:ind w:firstLine="600" w:firstLineChars="200"/>
        <w:jc w:val="left"/>
        <w:rPr>
          <w:rFonts w:ascii="黑体" w:hAnsi="黑体" w:eastAsia="黑体" w:cs="黑体"/>
          <w:color w:val="000000"/>
          <w:kern w:val="0"/>
          <w:sz w:val="30"/>
          <w:szCs w:val="30"/>
        </w:rPr>
      </w:pPr>
      <w:r>
        <w:rPr>
          <w:rFonts w:hint="eastAsia" w:ascii="黑体" w:hAnsi="黑体" w:eastAsia="黑体" w:cs="黑体"/>
          <w:color w:val="000000"/>
          <w:kern w:val="0"/>
          <w:sz w:val="30"/>
          <w:szCs w:val="30"/>
        </w:rPr>
        <w:t>五、社会保险基金预算支出情况</w:t>
      </w:r>
    </w:p>
    <w:p>
      <w:pPr>
        <w:spacing w:line="60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无</w:t>
      </w:r>
    </w:p>
    <w:p>
      <w:pPr>
        <w:spacing w:line="600" w:lineRule="exact"/>
        <w:ind w:firstLine="600" w:firstLineChars="200"/>
        <w:jc w:val="left"/>
        <w:rPr>
          <w:rFonts w:ascii="黑体" w:hAnsi="黑体" w:eastAsia="黑体" w:cs="黑体"/>
          <w:color w:val="000000"/>
          <w:kern w:val="0"/>
          <w:sz w:val="30"/>
          <w:szCs w:val="30"/>
        </w:rPr>
      </w:pPr>
      <w:r>
        <w:rPr>
          <w:rFonts w:hint="eastAsia" w:ascii="黑体" w:hAnsi="黑体" w:eastAsia="黑体" w:cs="黑体"/>
          <w:color w:val="000000"/>
          <w:kern w:val="0"/>
          <w:sz w:val="30"/>
          <w:szCs w:val="30"/>
        </w:rPr>
        <w:t>六、部门整体支出绩效情况</w:t>
      </w:r>
    </w:p>
    <w:p>
      <w:pPr>
        <w:spacing w:line="600" w:lineRule="exact"/>
        <w:ind w:firstLine="602" w:firstLineChars="200"/>
        <w:jc w:val="left"/>
        <w:rPr>
          <w:rFonts w:ascii="仿宋" w:hAnsi="仿宋" w:eastAsia="仿宋" w:cs="仿宋"/>
          <w:b/>
          <w:bCs/>
          <w:color w:val="000000"/>
          <w:kern w:val="0"/>
          <w:sz w:val="30"/>
          <w:szCs w:val="30"/>
        </w:rPr>
      </w:pPr>
      <w:r>
        <w:rPr>
          <w:rFonts w:hint="eastAsia" w:ascii="仿宋" w:hAnsi="仿宋" w:eastAsia="仿宋" w:cs="仿宋"/>
          <w:b/>
          <w:bCs/>
          <w:color w:val="000000"/>
          <w:kern w:val="0"/>
          <w:sz w:val="30"/>
          <w:szCs w:val="30"/>
        </w:rPr>
        <w:t>（一）绩效评价目的</w:t>
      </w:r>
    </w:p>
    <w:p>
      <w:pPr>
        <w:spacing w:line="60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本次绩效评价的目的是为了全面分析和综合评价我单位本级财政预算资金的使用管理情况，为切实提高财政资金使用效益，强化预算支出的责任和效率提供参考依据。</w:t>
      </w:r>
    </w:p>
    <w:p>
      <w:pPr>
        <w:spacing w:line="600" w:lineRule="exact"/>
        <w:ind w:firstLine="602" w:firstLineChars="200"/>
        <w:jc w:val="left"/>
        <w:rPr>
          <w:rFonts w:ascii="仿宋" w:hAnsi="仿宋" w:eastAsia="仿宋" w:cs="仿宋"/>
          <w:b/>
          <w:bCs/>
          <w:color w:val="000000"/>
          <w:kern w:val="0"/>
          <w:sz w:val="30"/>
          <w:szCs w:val="30"/>
        </w:rPr>
      </w:pPr>
      <w:r>
        <w:rPr>
          <w:rFonts w:hint="eastAsia" w:ascii="仿宋" w:hAnsi="仿宋" w:eastAsia="仿宋" w:cs="仿宋"/>
          <w:b/>
          <w:bCs/>
          <w:color w:val="000000"/>
          <w:kern w:val="0"/>
          <w:sz w:val="30"/>
          <w:szCs w:val="30"/>
        </w:rPr>
        <w:t>（二）绩效评价工作过程</w:t>
      </w:r>
    </w:p>
    <w:p>
      <w:pPr>
        <w:spacing w:line="60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1.前期准备。按照绩效自评工作要求，成立以蔡湃部长为组长的绩效评价工作小组，对相关的国家法律法规进行了认真学习，掌握政策，根据部门整体收支情况制定了部门整体支出绩效评价实施方案。</w:t>
      </w:r>
    </w:p>
    <w:p>
      <w:pPr>
        <w:spacing w:line="60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2.组织实施。采用核查法核查2021年同级财政预算批复执行及部门整体支出情况，着重核查了“三公”经费及资产管理、内部控制制度等情况。</w:t>
      </w:r>
    </w:p>
    <w:p>
      <w:pPr>
        <w:spacing w:line="60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3.分析评价。对评价过程中收集资料进行归纳，汇总分析，依据设定的部门整体支出绩效评价指标体系进行了评分，形成了综合性书面报告。</w:t>
      </w:r>
    </w:p>
    <w:p>
      <w:pPr>
        <w:spacing w:line="600" w:lineRule="exact"/>
        <w:ind w:firstLine="602" w:firstLineChars="200"/>
        <w:jc w:val="left"/>
        <w:rPr>
          <w:rFonts w:ascii="仿宋" w:hAnsi="仿宋" w:eastAsia="仿宋" w:cs="仿宋"/>
          <w:b/>
          <w:bCs/>
          <w:color w:val="000000"/>
          <w:kern w:val="0"/>
          <w:sz w:val="30"/>
          <w:szCs w:val="30"/>
        </w:rPr>
      </w:pPr>
      <w:r>
        <w:rPr>
          <w:rFonts w:hint="eastAsia" w:ascii="仿宋" w:hAnsi="仿宋" w:eastAsia="仿宋" w:cs="仿宋"/>
          <w:b/>
          <w:bCs/>
          <w:color w:val="000000"/>
          <w:kern w:val="0"/>
          <w:sz w:val="30"/>
          <w:szCs w:val="30"/>
        </w:rPr>
        <w:t>（三）主要绩效及评价结论</w:t>
      </w:r>
    </w:p>
    <w:p>
      <w:pPr>
        <w:spacing w:line="60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预算绩效评价自评为96分，具体绩效情况如下：</w:t>
      </w:r>
    </w:p>
    <w:p>
      <w:pPr>
        <w:spacing w:line="60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预算支出的绩效目标完成情况：</w:t>
      </w:r>
    </w:p>
    <w:p>
      <w:pPr>
        <w:spacing w:line="60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1.本年预算配置控制较好。财政供养人员控制在预算编制以内，编制内在职人员控制率为100%；“三公”经费支出总额小，低于年初预算。</w:t>
      </w:r>
    </w:p>
    <w:p>
      <w:pPr>
        <w:spacing w:line="60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2.预算执行方面。支出总额控制在预算总额以内，所有支出严格依照相关财务管理规定执行，特别重视量财办事、量力而行，严格控制标准、注重节约，少花钱办好事，各项支出都在合理范围内。</w:t>
      </w:r>
    </w:p>
    <w:p>
      <w:pPr>
        <w:spacing w:line="60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3.预算管理方面。我部制定了切实有效的内部管理制度和经费支出控制方案，有较强的内控风险管理意识、各项经费支出得到了有效控制。</w:t>
      </w:r>
    </w:p>
    <w:p>
      <w:pPr>
        <w:spacing w:line="600" w:lineRule="exact"/>
        <w:ind w:firstLine="600" w:firstLineChars="200"/>
        <w:jc w:val="left"/>
        <w:rPr>
          <w:rFonts w:ascii="黑体" w:hAnsi="黑体" w:eastAsia="黑体" w:cs="黑体"/>
          <w:color w:val="000000"/>
          <w:kern w:val="0"/>
          <w:sz w:val="30"/>
          <w:szCs w:val="30"/>
        </w:rPr>
      </w:pPr>
      <w:r>
        <w:rPr>
          <w:rFonts w:hint="eastAsia" w:ascii="黑体" w:hAnsi="黑体" w:eastAsia="黑体" w:cs="黑体"/>
          <w:color w:val="000000"/>
          <w:kern w:val="0"/>
          <w:sz w:val="30"/>
          <w:szCs w:val="30"/>
        </w:rPr>
        <w:t>二、实现产出和取得效益的情况</w:t>
      </w:r>
    </w:p>
    <w:p>
      <w:pPr>
        <w:spacing w:line="600" w:lineRule="exact"/>
        <w:ind w:firstLine="602" w:firstLineChars="200"/>
        <w:jc w:val="left"/>
        <w:rPr>
          <w:rFonts w:ascii="仿宋" w:hAnsi="仿宋" w:eastAsia="仿宋" w:cs="仿宋"/>
          <w:b/>
          <w:bCs/>
          <w:color w:val="000000"/>
          <w:kern w:val="0"/>
          <w:sz w:val="30"/>
          <w:szCs w:val="30"/>
        </w:rPr>
      </w:pPr>
      <w:r>
        <w:rPr>
          <w:rFonts w:hint="eastAsia" w:ascii="仿宋" w:hAnsi="仿宋" w:eastAsia="仿宋" w:cs="仿宋"/>
          <w:b/>
          <w:bCs/>
          <w:color w:val="000000"/>
          <w:kern w:val="0"/>
          <w:sz w:val="30"/>
          <w:szCs w:val="30"/>
        </w:rPr>
        <w:t>（一）效率性分析</w:t>
      </w:r>
    </w:p>
    <w:p>
      <w:pPr>
        <w:spacing w:line="60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2021年，在区委、区政府的正确领导和市委组织部的具体指导下，坚持把学习贯彻习近平新时代中国特色社会主义思想摆在首位，系统学、互动学、强化学，不断提高政治判断力、政治领悟力、政治执行力，以做到“两个维护“的实际行动走在前，作表率。严格落实“三会一课”、主题党日、组织生活会等制度，带头严肃党内政治生活，带头加强党性锻炼，争当绝对忠诚、绝对可靠的“排头兵”。加强对组工干部“八小时”内外的监督，认真落实组工干部健康体检、带薪休假、激励关怀等福利保障制度，形成严肃紧张、团结活泼的良好氛围。</w:t>
      </w:r>
    </w:p>
    <w:p>
      <w:pPr>
        <w:spacing w:line="600" w:lineRule="exact"/>
        <w:ind w:firstLine="600" w:firstLineChars="200"/>
        <w:jc w:val="left"/>
        <w:rPr>
          <w:rFonts w:ascii="黑体" w:hAnsi="黑体" w:eastAsia="黑体" w:cs="黑体"/>
          <w:color w:val="000000"/>
          <w:kern w:val="0"/>
          <w:sz w:val="30"/>
          <w:szCs w:val="30"/>
        </w:rPr>
      </w:pPr>
      <w:r>
        <w:rPr>
          <w:rFonts w:hint="eastAsia" w:ascii="黑体" w:hAnsi="黑体" w:eastAsia="黑体" w:cs="黑体"/>
          <w:color w:val="000000"/>
          <w:kern w:val="0"/>
          <w:sz w:val="30"/>
          <w:szCs w:val="30"/>
        </w:rPr>
        <w:t>七、存在的问题及原因分析</w:t>
      </w:r>
    </w:p>
    <w:p>
      <w:pPr>
        <w:spacing w:line="60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因部分工作是年中或年末根据省市相关要求开展，未纳入年初预算，另外还有部分不可预见经费的追加，无法纳入预算，导致预算执行存在偏差。</w:t>
      </w:r>
    </w:p>
    <w:p>
      <w:pPr>
        <w:spacing w:line="600" w:lineRule="exact"/>
        <w:ind w:firstLine="600" w:firstLineChars="200"/>
        <w:jc w:val="left"/>
        <w:rPr>
          <w:rFonts w:ascii="黑体" w:hAnsi="黑体" w:eastAsia="黑体" w:cs="黑体"/>
          <w:color w:val="000000"/>
          <w:kern w:val="0"/>
          <w:sz w:val="30"/>
          <w:szCs w:val="30"/>
        </w:rPr>
      </w:pPr>
      <w:r>
        <w:rPr>
          <w:rFonts w:hint="eastAsia" w:ascii="黑体" w:hAnsi="黑体" w:eastAsia="黑体" w:cs="黑体"/>
          <w:color w:val="000000"/>
          <w:kern w:val="0"/>
          <w:sz w:val="30"/>
          <w:szCs w:val="30"/>
        </w:rPr>
        <w:t>八、下一步改进措施</w:t>
      </w:r>
    </w:p>
    <w:p>
      <w:pPr>
        <w:spacing w:line="600" w:lineRule="exact"/>
        <w:ind w:firstLine="602" w:firstLineChars="200"/>
        <w:jc w:val="left"/>
        <w:rPr>
          <w:rFonts w:ascii="仿宋" w:hAnsi="仿宋" w:eastAsia="仿宋" w:cs="仿宋"/>
          <w:color w:val="000000"/>
          <w:kern w:val="0"/>
          <w:sz w:val="30"/>
          <w:szCs w:val="30"/>
        </w:rPr>
      </w:pPr>
      <w:r>
        <w:rPr>
          <w:rFonts w:hint="eastAsia" w:ascii="仿宋" w:hAnsi="仿宋" w:eastAsia="仿宋" w:cs="仿宋"/>
          <w:b/>
          <w:bCs/>
          <w:color w:val="000000"/>
          <w:kern w:val="0"/>
          <w:sz w:val="30"/>
          <w:szCs w:val="30"/>
        </w:rPr>
        <w:t>（一）提高认识，突出重点</w:t>
      </w:r>
    </w:p>
    <w:p>
      <w:pPr>
        <w:spacing w:line="60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1．提高对预算绩效管理的认识，充分理解财政绩效评价指标体系，注重绩效目标、评价指标的关联性，依据部门职责和年度工作重点，更加科学合理地确定部门绩效目标和评价目标。</w:t>
      </w:r>
    </w:p>
    <w:p>
      <w:pPr>
        <w:spacing w:line="60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2．强化全过程预算绩效管理理念，强化部门项目选择与部门职责的相关性。按财政管理要求进一步建立完善项目库和内部项目选择机制，完善项目管理制度，实施项目事加强领导重视，合理设定绩效目标，强化管理措施，科学编制预算,认真组织绩效考评。</w:t>
      </w:r>
    </w:p>
    <w:p>
      <w:pPr>
        <w:spacing w:line="600" w:lineRule="exact"/>
        <w:ind w:firstLine="602" w:firstLineChars="200"/>
        <w:jc w:val="left"/>
        <w:rPr>
          <w:rFonts w:ascii="仿宋" w:hAnsi="仿宋" w:eastAsia="仿宋" w:cs="仿宋"/>
          <w:b/>
          <w:bCs/>
          <w:color w:val="000000"/>
          <w:kern w:val="0"/>
          <w:sz w:val="30"/>
          <w:szCs w:val="30"/>
        </w:rPr>
      </w:pPr>
      <w:r>
        <w:rPr>
          <w:rFonts w:hint="eastAsia" w:ascii="仿宋" w:hAnsi="仿宋" w:eastAsia="仿宋" w:cs="仿宋"/>
          <w:b/>
          <w:bCs/>
          <w:color w:val="000000"/>
          <w:kern w:val="0"/>
          <w:sz w:val="30"/>
          <w:szCs w:val="30"/>
        </w:rPr>
        <w:t>（二）强化管理，规范行为</w:t>
      </w:r>
    </w:p>
    <w:p>
      <w:pPr>
        <w:spacing w:line="60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1．强化部门预算约束，细化预算编制，严格预算执行，合理制定项目方案和计划，减少预算执行中的项目预算调整和结余，平衡好预算执行进度，提高财政资金使用效率和效益。</w:t>
      </w:r>
    </w:p>
    <w:p>
      <w:pPr>
        <w:spacing w:line="60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2．加强预算项目事前、事中、事后管控，做到事前有评估、事中有监控、事后有评价，并且按预期绩效目标完成程度考核项目实施效果。</w:t>
      </w:r>
    </w:p>
    <w:p>
      <w:pPr>
        <w:spacing w:line="600" w:lineRule="exact"/>
        <w:ind w:firstLine="602" w:firstLineChars="200"/>
        <w:jc w:val="left"/>
        <w:rPr>
          <w:rFonts w:ascii="仿宋" w:hAnsi="仿宋" w:eastAsia="仿宋" w:cs="仿宋"/>
          <w:b/>
          <w:bCs/>
          <w:color w:val="000000"/>
          <w:kern w:val="0"/>
          <w:sz w:val="30"/>
          <w:szCs w:val="30"/>
        </w:rPr>
      </w:pPr>
      <w:r>
        <w:rPr>
          <w:rFonts w:hint="eastAsia" w:ascii="仿宋" w:hAnsi="仿宋" w:eastAsia="仿宋" w:cs="仿宋"/>
          <w:b/>
          <w:bCs/>
          <w:color w:val="000000"/>
          <w:kern w:val="0"/>
          <w:sz w:val="30"/>
          <w:szCs w:val="30"/>
        </w:rPr>
        <w:t>（三）科学考核，注重实效</w:t>
      </w:r>
    </w:p>
    <w:p>
      <w:pPr>
        <w:spacing w:line="60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1．建立科学合理的项目预算效果考核机制，依据预设的绩效数量、质量指标全面衡量预算实施效果，既重“绩”，更重“效”。</w:t>
      </w:r>
    </w:p>
    <w:p>
      <w:pPr>
        <w:spacing w:line="60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2．注重考核的全面性和客观性，对预设指标之外的项目效果同样纳入考核评价报告。</w:t>
      </w:r>
    </w:p>
    <w:p>
      <w:pPr>
        <w:spacing w:line="60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总之，部门整体绩效考评是一项系统性、全局性的工作，需要领导重视，全员参与，科学考核，注重实效。只有这样，才能不断增强绩效考评的客观性和科学性，切实促进财政资金科学管理和实际绩效水平不断提高。</w:t>
      </w:r>
    </w:p>
    <w:p>
      <w:pPr>
        <w:spacing w:line="600" w:lineRule="exact"/>
        <w:ind w:firstLine="600" w:firstLineChars="200"/>
        <w:jc w:val="left"/>
        <w:rPr>
          <w:rFonts w:ascii="黑体" w:hAnsi="黑体" w:eastAsia="黑体" w:cs="黑体"/>
          <w:color w:val="000000"/>
          <w:kern w:val="0"/>
          <w:sz w:val="30"/>
          <w:szCs w:val="30"/>
        </w:rPr>
      </w:pPr>
      <w:r>
        <w:rPr>
          <w:rFonts w:hint="eastAsia" w:ascii="黑体" w:hAnsi="黑体" w:eastAsia="黑体" w:cs="黑体"/>
          <w:color w:val="000000"/>
          <w:kern w:val="0"/>
          <w:sz w:val="30"/>
          <w:szCs w:val="30"/>
        </w:rPr>
        <w:t>九、其他需要说明的情况</w:t>
      </w:r>
    </w:p>
    <w:p>
      <w:pPr>
        <w:spacing w:line="600" w:lineRule="exact"/>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科学合理编制预算，严格执行预算。要按照《预算法》及其实施条例的相关规定，参考上一年的预算执行情况和年度的收支预测、部门重点工作等科学编制预算，避免年中大幅追加以及超预算。同时严格预算执行，提高资金使用效率。</w:t>
      </w:r>
    </w:p>
    <w:p>
      <w:pPr>
        <w:spacing w:line="600" w:lineRule="exact"/>
        <w:ind w:firstLine="600" w:firstLineChars="200"/>
        <w:jc w:val="left"/>
        <w:rPr>
          <w:rFonts w:ascii="方正小标宋简体" w:hAnsi="方正小标宋简体" w:eastAsia="方正小标宋简体" w:cs="方正小标宋简体"/>
          <w:color w:val="333333"/>
          <w:kern w:val="0"/>
          <w:sz w:val="36"/>
          <w:szCs w:val="36"/>
          <w:shd w:val="clear" w:color="auto" w:fill="FFFFFF"/>
        </w:rPr>
      </w:pPr>
      <w:r>
        <w:rPr>
          <w:rFonts w:hint="eastAsia" w:ascii="仿宋" w:hAnsi="仿宋" w:eastAsia="仿宋" w:cs="仿宋"/>
          <w:color w:val="000000"/>
          <w:kern w:val="0"/>
          <w:sz w:val="30"/>
          <w:szCs w:val="30"/>
        </w:rPr>
        <w:t>附件：2021年度部门整体支出绩效自评指标计分表</w:t>
      </w:r>
    </w:p>
    <w:p>
      <w:pPr>
        <w:widowControl/>
        <w:shd w:val="clear" w:color="auto" w:fill="FFFFFF"/>
        <w:jc w:val="center"/>
        <w:rPr>
          <w:rFonts w:ascii="方正小标宋简体" w:hAnsi="方正小标宋简体" w:eastAsia="方正小标宋简体" w:cs="方正小标宋简体"/>
          <w:color w:val="333333"/>
          <w:kern w:val="0"/>
          <w:sz w:val="36"/>
          <w:szCs w:val="36"/>
          <w:shd w:val="clear" w:color="auto" w:fill="FFFFFF"/>
        </w:rPr>
      </w:pPr>
    </w:p>
    <w:p>
      <w:pPr>
        <w:widowControl/>
        <w:shd w:val="clear" w:color="auto" w:fill="FFFFFF"/>
        <w:jc w:val="center"/>
        <w:rPr>
          <w:rFonts w:hint="eastAsia" w:ascii="黑体" w:hAnsi="黑体" w:eastAsia="黑体" w:cs="黑体"/>
          <w:color w:val="333333"/>
          <w:kern w:val="0"/>
          <w:sz w:val="36"/>
          <w:szCs w:val="36"/>
          <w:shd w:val="clear" w:color="auto" w:fill="FFFFFF"/>
        </w:rPr>
      </w:pPr>
    </w:p>
    <w:p>
      <w:pPr>
        <w:widowControl/>
        <w:shd w:val="clear" w:color="auto" w:fill="FFFFFF"/>
        <w:jc w:val="center"/>
        <w:rPr>
          <w:rFonts w:hint="eastAsia" w:ascii="黑体" w:hAnsi="黑体" w:eastAsia="黑体" w:cs="黑体"/>
          <w:color w:val="333333"/>
          <w:kern w:val="0"/>
          <w:sz w:val="36"/>
          <w:szCs w:val="36"/>
          <w:shd w:val="clear" w:color="auto" w:fill="FFFFFF"/>
        </w:rPr>
      </w:pPr>
    </w:p>
    <w:p>
      <w:pPr>
        <w:widowControl/>
        <w:shd w:val="clear" w:color="auto" w:fill="FFFFFF"/>
        <w:jc w:val="center"/>
        <w:rPr>
          <w:rFonts w:hint="eastAsia" w:ascii="黑体" w:hAnsi="黑体" w:eastAsia="黑体" w:cs="黑体"/>
          <w:color w:val="333333"/>
          <w:kern w:val="0"/>
          <w:sz w:val="36"/>
          <w:szCs w:val="36"/>
          <w:shd w:val="clear" w:color="auto" w:fill="FFFFFF"/>
        </w:rPr>
      </w:pPr>
    </w:p>
    <w:p>
      <w:pPr>
        <w:widowControl/>
        <w:shd w:val="clear" w:color="auto" w:fill="FFFFFF"/>
        <w:jc w:val="center"/>
        <w:rPr>
          <w:rFonts w:hint="eastAsia" w:ascii="黑体" w:hAnsi="黑体" w:eastAsia="黑体" w:cs="黑体"/>
          <w:color w:val="333333"/>
          <w:kern w:val="0"/>
          <w:sz w:val="36"/>
          <w:szCs w:val="36"/>
          <w:shd w:val="clear" w:color="auto" w:fill="FFFFFF"/>
        </w:rPr>
      </w:pPr>
    </w:p>
    <w:p>
      <w:pPr>
        <w:widowControl/>
        <w:shd w:val="clear" w:color="auto" w:fill="FFFFFF"/>
        <w:jc w:val="center"/>
        <w:rPr>
          <w:rFonts w:hint="eastAsia" w:ascii="黑体" w:hAnsi="黑体" w:eastAsia="黑体" w:cs="黑体"/>
          <w:color w:val="333333"/>
          <w:kern w:val="0"/>
          <w:sz w:val="36"/>
          <w:szCs w:val="36"/>
          <w:shd w:val="clear" w:color="auto" w:fill="FFFFFF"/>
        </w:rPr>
      </w:pPr>
    </w:p>
    <w:p>
      <w:pPr>
        <w:widowControl/>
        <w:shd w:val="clear" w:color="auto" w:fill="FFFFFF"/>
        <w:jc w:val="center"/>
        <w:rPr>
          <w:rFonts w:hint="eastAsia" w:ascii="黑体" w:hAnsi="黑体" w:eastAsia="黑体" w:cs="黑体"/>
          <w:color w:val="333333"/>
          <w:kern w:val="0"/>
          <w:sz w:val="36"/>
          <w:szCs w:val="36"/>
          <w:shd w:val="clear" w:color="auto" w:fill="FFFFFF"/>
        </w:rPr>
      </w:pPr>
    </w:p>
    <w:p>
      <w:pPr>
        <w:widowControl/>
        <w:shd w:val="clear" w:color="auto" w:fill="FFFFFF"/>
        <w:jc w:val="center"/>
        <w:rPr>
          <w:rFonts w:hint="eastAsia" w:ascii="黑体" w:hAnsi="黑体" w:eastAsia="黑体" w:cs="黑体"/>
          <w:color w:val="333333"/>
          <w:kern w:val="0"/>
          <w:sz w:val="36"/>
          <w:szCs w:val="36"/>
          <w:shd w:val="clear" w:color="auto" w:fill="FFFFFF"/>
        </w:rPr>
      </w:pPr>
    </w:p>
    <w:p>
      <w:pPr>
        <w:widowControl/>
        <w:shd w:val="clear" w:color="auto" w:fill="FFFFFF"/>
        <w:jc w:val="center"/>
        <w:rPr>
          <w:rFonts w:hint="eastAsia" w:ascii="黑体" w:hAnsi="黑体" w:eastAsia="黑体" w:cs="黑体"/>
          <w:color w:val="333333"/>
          <w:kern w:val="0"/>
          <w:sz w:val="36"/>
          <w:szCs w:val="36"/>
          <w:shd w:val="clear" w:color="auto" w:fill="FFFFFF"/>
        </w:rPr>
      </w:pPr>
    </w:p>
    <w:p>
      <w:pPr>
        <w:widowControl/>
        <w:shd w:val="clear" w:color="auto" w:fill="FFFFFF"/>
        <w:jc w:val="center"/>
        <w:rPr>
          <w:rFonts w:ascii="黑体" w:hAnsi="黑体" w:eastAsia="黑体" w:cs="黑体"/>
          <w:color w:val="333333"/>
          <w:kern w:val="0"/>
          <w:sz w:val="36"/>
          <w:szCs w:val="36"/>
          <w:shd w:val="clear" w:color="auto" w:fill="FFFFFF"/>
        </w:rPr>
      </w:pPr>
      <w:bookmarkStart w:id="0" w:name="_GoBack"/>
      <w:bookmarkEnd w:id="0"/>
      <w:r>
        <w:rPr>
          <w:rFonts w:hint="eastAsia" w:ascii="黑体" w:hAnsi="黑体" w:eastAsia="黑体" w:cs="黑体"/>
          <w:color w:val="333333"/>
          <w:kern w:val="0"/>
          <w:sz w:val="36"/>
          <w:szCs w:val="36"/>
          <w:shd w:val="clear" w:color="auto" w:fill="FFFFFF"/>
        </w:rPr>
        <w:t>2021年度部门整体支出绩效自评指标计分表</w:t>
      </w:r>
    </w:p>
    <w:p>
      <w:pPr>
        <w:widowControl/>
        <w:shd w:val="clear" w:color="auto" w:fill="FFFFFF"/>
        <w:tabs>
          <w:tab w:val="left" w:pos="2215"/>
        </w:tabs>
        <w:jc w:val="left"/>
        <w:rPr>
          <w:rFonts w:ascii="微软雅黑" w:hAnsi="微软雅黑" w:eastAsia="微软雅黑" w:cs="微软雅黑"/>
          <w:color w:val="333333"/>
          <w:sz w:val="24"/>
          <w:szCs w:val="24"/>
        </w:rPr>
      </w:pPr>
      <w:r>
        <w:rPr>
          <w:rFonts w:hint="eastAsia" w:ascii="宋体" w:hAnsi="宋体" w:eastAsia="宋体" w:cs="宋体"/>
          <w:b/>
          <w:bCs/>
          <w:color w:val="333333"/>
          <w:kern w:val="0"/>
          <w:szCs w:val="21"/>
          <w:shd w:val="clear" w:color="auto" w:fill="FFFFFF"/>
        </w:rPr>
        <w:t>单位：赫山区委组织部</w:t>
      </w:r>
      <w:r>
        <w:rPr>
          <w:rFonts w:hint="eastAsia" w:ascii="宋体" w:hAnsi="宋体" w:eastAsia="宋体" w:cs="宋体"/>
          <w:b/>
          <w:bCs/>
          <w:color w:val="333333"/>
          <w:kern w:val="0"/>
          <w:szCs w:val="21"/>
          <w:shd w:val="clear" w:color="auto" w:fill="FFFFFF"/>
        </w:rPr>
        <w:tab/>
      </w:r>
      <w:r>
        <w:rPr>
          <w:rFonts w:hint="eastAsia" w:ascii="宋体" w:hAnsi="宋体" w:eastAsia="宋体" w:cs="宋体"/>
          <w:b/>
          <w:bCs/>
          <w:color w:val="333333"/>
          <w:kern w:val="0"/>
          <w:szCs w:val="21"/>
          <w:shd w:val="clear" w:color="auto" w:fill="FFFFFF"/>
        </w:rPr>
        <w:t>                       自评分：96分</w:t>
      </w:r>
    </w:p>
    <w:tbl>
      <w:tblPr>
        <w:tblStyle w:val="2"/>
        <w:tblW w:w="960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925"/>
        <w:gridCol w:w="925"/>
        <w:gridCol w:w="925"/>
        <w:gridCol w:w="431"/>
        <w:gridCol w:w="3272"/>
        <w:gridCol w:w="313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73" w:hRule="atLeast"/>
          <w:jc w:val="center"/>
        </w:trPr>
        <w:tc>
          <w:tcPr>
            <w:tcW w:w="481" w:type="pct"/>
            <w:tcBorders>
              <w:top w:val="single" w:color="auto" w:sz="8" w:space="0"/>
              <w:left w:val="single" w:color="auto" w:sz="8" w:space="0"/>
              <w:bottom w:val="single" w:color="auto" w:sz="8" w:space="0"/>
              <w:right w:val="single" w:color="auto" w:sz="8" w:space="0"/>
            </w:tcBorders>
            <w:shd w:val="clear" w:color="auto" w:fill="auto"/>
            <w:tcMar>
              <w:top w:w="10" w:type="dxa"/>
              <w:left w:w="10" w:type="dxa"/>
              <w:bottom w:w="0" w:type="dxa"/>
              <w:right w:w="10" w:type="dxa"/>
            </w:tcMar>
            <w:vAlign w:val="center"/>
          </w:tcPr>
          <w:p>
            <w:pPr>
              <w:widowControl/>
              <w:spacing w:line="240" w:lineRule="atLeast"/>
              <w:jc w:val="center"/>
            </w:pPr>
            <w:r>
              <w:rPr>
                <w:rFonts w:hint="eastAsia" w:ascii="宋体" w:hAnsi="宋体" w:eastAsia="宋体" w:cs="宋体"/>
                <w:b/>
                <w:bCs/>
                <w:kern w:val="0"/>
                <w:szCs w:val="21"/>
              </w:rPr>
              <w:t>一级</w:t>
            </w:r>
          </w:p>
          <w:p>
            <w:pPr>
              <w:widowControl/>
              <w:spacing w:line="240" w:lineRule="atLeast"/>
              <w:jc w:val="center"/>
            </w:pPr>
            <w:r>
              <w:rPr>
                <w:rFonts w:hint="eastAsia" w:ascii="宋体" w:hAnsi="宋体" w:eastAsia="宋体" w:cs="宋体"/>
                <w:b/>
                <w:bCs/>
                <w:kern w:val="0"/>
                <w:szCs w:val="21"/>
              </w:rPr>
              <w:t>指标</w:t>
            </w:r>
          </w:p>
        </w:tc>
        <w:tc>
          <w:tcPr>
            <w:tcW w:w="481" w:type="pct"/>
            <w:tcBorders>
              <w:top w:val="single" w:color="auto" w:sz="8" w:space="0"/>
              <w:left w:val="single" w:color="auto" w:sz="8" w:space="0"/>
              <w:bottom w:val="single" w:color="auto" w:sz="8" w:space="0"/>
              <w:right w:val="single" w:color="auto" w:sz="8" w:space="0"/>
            </w:tcBorders>
            <w:shd w:val="clear" w:color="auto" w:fill="auto"/>
            <w:tcMar>
              <w:top w:w="10" w:type="dxa"/>
              <w:left w:w="10" w:type="dxa"/>
              <w:bottom w:w="0" w:type="dxa"/>
              <w:right w:w="10" w:type="dxa"/>
            </w:tcMar>
            <w:vAlign w:val="center"/>
          </w:tcPr>
          <w:p>
            <w:pPr>
              <w:widowControl/>
              <w:spacing w:line="240" w:lineRule="atLeast"/>
              <w:ind w:right="-174"/>
              <w:jc w:val="center"/>
            </w:pPr>
            <w:r>
              <w:rPr>
                <w:rFonts w:hint="eastAsia" w:ascii="宋体" w:hAnsi="宋体" w:eastAsia="宋体" w:cs="宋体"/>
                <w:b/>
                <w:bCs/>
                <w:kern w:val="0"/>
                <w:szCs w:val="21"/>
              </w:rPr>
              <w:t>二级</w:t>
            </w:r>
          </w:p>
          <w:p>
            <w:pPr>
              <w:widowControl/>
              <w:spacing w:line="240" w:lineRule="atLeast"/>
              <w:ind w:right="-174"/>
              <w:jc w:val="center"/>
            </w:pPr>
            <w:r>
              <w:rPr>
                <w:rFonts w:hint="eastAsia" w:ascii="宋体" w:hAnsi="宋体" w:eastAsia="宋体" w:cs="宋体"/>
                <w:b/>
                <w:bCs/>
                <w:kern w:val="0"/>
                <w:szCs w:val="21"/>
              </w:rPr>
              <w:t>指标</w:t>
            </w:r>
          </w:p>
        </w:tc>
        <w:tc>
          <w:tcPr>
            <w:tcW w:w="481" w:type="pct"/>
            <w:tcBorders>
              <w:top w:val="single" w:color="auto" w:sz="8" w:space="0"/>
              <w:left w:val="single" w:color="auto" w:sz="8" w:space="0"/>
              <w:bottom w:val="single" w:color="auto" w:sz="8" w:space="0"/>
              <w:right w:val="single" w:color="auto" w:sz="8" w:space="0"/>
            </w:tcBorders>
            <w:shd w:val="clear" w:color="auto" w:fill="auto"/>
            <w:tcMar>
              <w:top w:w="10" w:type="dxa"/>
              <w:left w:w="10" w:type="dxa"/>
              <w:bottom w:w="0" w:type="dxa"/>
              <w:right w:w="10" w:type="dxa"/>
            </w:tcMar>
            <w:vAlign w:val="center"/>
          </w:tcPr>
          <w:p>
            <w:pPr>
              <w:widowControl/>
              <w:spacing w:line="240" w:lineRule="atLeast"/>
              <w:jc w:val="center"/>
            </w:pPr>
            <w:r>
              <w:rPr>
                <w:rFonts w:hint="eastAsia" w:ascii="宋体" w:hAnsi="宋体" w:eastAsia="宋体" w:cs="宋体"/>
                <w:b/>
                <w:bCs/>
                <w:kern w:val="0"/>
                <w:szCs w:val="21"/>
              </w:rPr>
              <w:t>三级</w:t>
            </w:r>
          </w:p>
          <w:p>
            <w:pPr>
              <w:widowControl/>
              <w:spacing w:line="240" w:lineRule="atLeast"/>
              <w:jc w:val="center"/>
            </w:pPr>
            <w:r>
              <w:rPr>
                <w:rFonts w:hint="eastAsia" w:ascii="宋体" w:hAnsi="宋体" w:eastAsia="宋体" w:cs="宋体"/>
                <w:b/>
                <w:bCs/>
                <w:kern w:val="0"/>
                <w:szCs w:val="21"/>
              </w:rPr>
              <w:t>指标</w:t>
            </w:r>
          </w:p>
        </w:tc>
        <w:tc>
          <w:tcPr>
            <w:tcW w:w="224" w:type="pct"/>
            <w:tcBorders>
              <w:top w:val="single" w:color="auto" w:sz="8"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widowControl/>
              <w:spacing w:line="240" w:lineRule="atLeast"/>
              <w:ind w:left="105" w:right="105"/>
              <w:jc w:val="center"/>
            </w:pPr>
            <w:r>
              <w:rPr>
                <w:rFonts w:hint="eastAsia" w:ascii="宋体" w:hAnsi="宋体" w:eastAsia="宋体" w:cs="宋体"/>
                <w:b/>
                <w:bCs/>
                <w:kern w:val="0"/>
                <w:szCs w:val="21"/>
              </w:rPr>
              <w:t>自评分</w:t>
            </w:r>
          </w:p>
        </w:tc>
        <w:tc>
          <w:tcPr>
            <w:tcW w:w="1703" w:type="pct"/>
            <w:tcBorders>
              <w:top w:val="single" w:color="auto" w:sz="8" w:space="0"/>
              <w:left w:val="single" w:color="auto" w:sz="8" w:space="0"/>
              <w:bottom w:val="single" w:color="auto" w:sz="8" w:space="0"/>
              <w:right w:val="single" w:color="auto" w:sz="8" w:space="0"/>
            </w:tcBorders>
            <w:shd w:val="clear" w:color="auto" w:fill="auto"/>
            <w:tcMar>
              <w:top w:w="10" w:type="dxa"/>
              <w:left w:w="10" w:type="dxa"/>
              <w:bottom w:w="0" w:type="dxa"/>
              <w:right w:w="10" w:type="dxa"/>
            </w:tcMar>
            <w:vAlign w:val="center"/>
          </w:tcPr>
          <w:p>
            <w:pPr>
              <w:widowControl/>
              <w:spacing w:line="240" w:lineRule="atLeast"/>
              <w:ind w:left="105" w:right="105"/>
              <w:jc w:val="center"/>
            </w:pPr>
            <w:r>
              <w:rPr>
                <w:rFonts w:hint="eastAsia" w:ascii="宋体" w:hAnsi="宋体" w:eastAsia="宋体" w:cs="宋体"/>
                <w:b/>
                <w:bCs/>
                <w:kern w:val="0"/>
                <w:szCs w:val="21"/>
              </w:rPr>
              <w:t>指标解释</w:t>
            </w:r>
          </w:p>
        </w:tc>
        <w:tc>
          <w:tcPr>
            <w:tcW w:w="1629" w:type="pct"/>
            <w:tcBorders>
              <w:top w:val="single" w:color="auto" w:sz="8" w:space="0"/>
              <w:left w:val="single" w:color="auto" w:sz="8" w:space="0"/>
              <w:bottom w:val="single" w:color="auto" w:sz="8" w:space="0"/>
              <w:right w:val="single" w:color="auto" w:sz="8" w:space="0"/>
            </w:tcBorders>
            <w:shd w:val="clear" w:color="auto" w:fill="auto"/>
            <w:tcMar>
              <w:top w:w="10" w:type="dxa"/>
              <w:left w:w="10" w:type="dxa"/>
              <w:bottom w:w="0" w:type="dxa"/>
              <w:right w:w="10" w:type="dxa"/>
            </w:tcMar>
            <w:vAlign w:val="center"/>
          </w:tcPr>
          <w:p>
            <w:pPr>
              <w:widowControl/>
              <w:spacing w:line="240" w:lineRule="atLeast"/>
              <w:ind w:left="105" w:right="105"/>
              <w:jc w:val="center"/>
            </w:pPr>
            <w:r>
              <w:rPr>
                <w:rFonts w:hint="eastAsia" w:ascii="宋体" w:hAnsi="宋体" w:eastAsia="宋体" w:cs="宋体"/>
                <w:b/>
                <w:bCs/>
                <w:kern w:val="0"/>
                <w:szCs w:val="21"/>
              </w:rPr>
              <w:t>指标说明</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892" w:hRule="atLeast"/>
          <w:jc w:val="center"/>
        </w:trPr>
        <w:tc>
          <w:tcPr>
            <w:tcW w:w="481" w:type="pct"/>
            <w:vMerge w:val="restart"/>
            <w:tcBorders>
              <w:top w:val="nil"/>
              <w:left w:val="single" w:color="auto" w:sz="8" w:space="0"/>
              <w:bottom w:val="single" w:color="auto" w:sz="8" w:space="0"/>
              <w:right w:val="single" w:color="auto" w:sz="8" w:space="0"/>
            </w:tcBorders>
            <w:shd w:val="clear" w:color="auto" w:fill="auto"/>
            <w:noWrap/>
            <w:tcMar>
              <w:top w:w="10" w:type="dxa"/>
              <w:left w:w="10" w:type="dxa"/>
              <w:bottom w:w="0" w:type="dxa"/>
              <w:right w:w="10" w:type="dxa"/>
            </w:tcMar>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投入</w:t>
            </w:r>
          </w:p>
          <w:p>
            <w:pPr>
              <w:widowControl/>
              <w:spacing w:line="240" w:lineRule="atLeast"/>
            </w:pPr>
            <w:r>
              <w:rPr>
                <w:rFonts w:hint="eastAsia" w:ascii="宋体" w:hAnsi="宋体" w:eastAsia="宋体" w:cs="宋体"/>
                <w:kern w:val="0"/>
                <w:szCs w:val="21"/>
              </w:rPr>
              <w:t>（20分）</w:t>
            </w:r>
          </w:p>
        </w:tc>
        <w:tc>
          <w:tcPr>
            <w:tcW w:w="481" w:type="pct"/>
            <w:vMerge w:val="restart"/>
            <w:tcBorders>
              <w:top w:val="nil"/>
              <w:left w:val="single" w:color="auto" w:sz="8" w:space="0"/>
              <w:bottom w:val="single" w:color="auto" w:sz="8" w:space="0"/>
              <w:right w:val="single" w:color="auto" w:sz="8" w:space="0"/>
            </w:tcBorders>
            <w:shd w:val="clear" w:color="auto" w:fill="auto"/>
            <w:tcMar>
              <w:top w:w="10" w:type="dxa"/>
              <w:left w:w="10" w:type="dxa"/>
              <w:bottom w:w="0" w:type="dxa"/>
              <w:right w:w="10" w:type="dxa"/>
            </w:tcMar>
            <w:vAlign w:val="center"/>
          </w:tcPr>
          <w:p>
            <w:pPr>
              <w:widowControl/>
              <w:spacing w:line="240" w:lineRule="atLeast"/>
              <w:jc w:val="center"/>
            </w:pPr>
            <w:r>
              <w:rPr>
                <w:rFonts w:hint="eastAsia" w:ascii="宋体" w:hAnsi="宋体" w:eastAsia="宋体" w:cs="宋体"/>
                <w:kern w:val="0"/>
                <w:szCs w:val="21"/>
              </w:rPr>
              <w:t>目标</w:t>
            </w:r>
          </w:p>
          <w:p>
            <w:pPr>
              <w:widowControl/>
              <w:spacing w:line="240" w:lineRule="atLeast"/>
              <w:jc w:val="center"/>
            </w:pPr>
            <w:r>
              <w:rPr>
                <w:rFonts w:hint="eastAsia" w:ascii="宋体" w:hAnsi="宋体" w:eastAsia="宋体" w:cs="宋体"/>
                <w:kern w:val="0"/>
                <w:szCs w:val="21"/>
              </w:rPr>
              <w:t>设定   （5分）</w:t>
            </w:r>
          </w:p>
        </w:tc>
        <w:tc>
          <w:tcPr>
            <w:tcW w:w="481" w:type="pct"/>
            <w:tcBorders>
              <w:top w:val="nil"/>
              <w:left w:val="single" w:color="auto" w:sz="8" w:space="0"/>
              <w:bottom w:val="single" w:color="auto" w:sz="8" w:space="0"/>
              <w:right w:val="single" w:color="auto" w:sz="8" w:space="0"/>
            </w:tcBorders>
            <w:shd w:val="clear" w:color="auto" w:fill="auto"/>
            <w:tcMar>
              <w:top w:w="10" w:type="dxa"/>
              <w:left w:w="10" w:type="dxa"/>
              <w:bottom w:w="0" w:type="dxa"/>
              <w:right w:w="10" w:type="dxa"/>
            </w:tcMar>
            <w:vAlign w:val="center"/>
          </w:tcPr>
          <w:p>
            <w:pPr>
              <w:widowControl/>
              <w:spacing w:line="240" w:lineRule="atLeast"/>
              <w:jc w:val="center"/>
            </w:pPr>
            <w:r>
              <w:rPr>
                <w:rFonts w:hint="eastAsia" w:ascii="宋体" w:hAnsi="宋体" w:eastAsia="宋体" w:cs="宋体"/>
                <w:kern w:val="0"/>
                <w:szCs w:val="21"/>
              </w:rPr>
              <w:t>绩效目标</w:t>
            </w:r>
          </w:p>
          <w:p>
            <w:pPr>
              <w:widowControl/>
              <w:spacing w:line="240" w:lineRule="atLeast"/>
              <w:jc w:val="center"/>
            </w:pPr>
            <w:r>
              <w:rPr>
                <w:rFonts w:hint="eastAsia" w:ascii="宋体" w:hAnsi="宋体" w:eastAsia="宋体" w:cs="宋体"/>
                <w:kern w:val="0"/>
                <w:szCs w:val="21"/>
              </w:rPr>
              <w:t>合理性 （2分）</w:t>
            </w:r>
          </w:p>
        </w:tc>
        <w:tc>
          <w:tcPr>
            <w:tcW w:w="224" w:type="pct"/>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widowControl/>
              <w:spacing w:line="240" w:lineRule="atLeast"/>
              <w:ind w:left="105" w:right="105" w:firstLine="96"/>
              <w:jc w:val="center"/>
            </w:pPr>
          </w:p>
          <w:p>
            <w:pPr>
              <w:widowControl/>
              <w:spacing w:line="240" w:lineRule="atLeast"/>
              <w:ind w:left="105" w:right="105" w:firstLine="96"/>
              <w:jc w:val="center"/>
            </w:pPr>
          </w:p>
          <w:p>
            <w:pPr>
              <w:widowControl/>
              <w:spacing w:line="240" w:lineRule="atLeast"/>
              <w:ind w:left="105" w:right="105" w:firstLine="96"/>
              <w:jc w:val="center"/>
            </w:pPr>
          </w:p>
          <w:p>
            <w:pPr>
              <w:widowControl/>
              <w:spacing w:line="240" w:lineRule="atLeast"/>
              <w:ind w:left="105" w:right="105" w:firstLine="96"/>
              <w:jc w:val="center"/>
            </w:pPr>
            <w:r>
              <w:rPr>
                <w:rFonts w:hint="eastAsia" w:ascii="宋体" w:hAnsi="宋体" w:eastAsia="宋体" w:cs="宋体"/>
                <w:kern w:val="0"/>
                <w:szCs w:val="21"/>
              </w:rPr>
              <w:t>2</w:t>
            </w:r>
          </w:p>
        </w:tc>
        <w:tc>
          <w:tcPr>
            <w:tcW w:w="1703" w:type="pct"/>
            <w:tcBorders>
              <w:top w:val="nil"/>
              <w:left w:val="single" w:color="auto" w:sz="8" w:space="0"/>
              <w:bottom w:val="single" w:color="auto" w:sz="8" w:space="0"/>
              <w:right w:val="single" w:color="auto" w:sz="8" w:space="0"/>
            </w:tcBorders>
            <w:shd w:val="clear" w:color="auto" w:fill="auto"/>
            <w:tcMar>
              <w:top w:w="10" w:type="dxa"/>
              <w:left w:w="10" w:type="dxa"/>
              <w:bottom w:w="0" w:type="dxa"/>
              <w:right w:w="10" w:type="dxa"/>
            </w:tcMar>
            <w:vAlign w:val="center"/>
          </w:tcPr>
          <w:p>
            <w:pPr>
              <w:widowControl/>
              <w:spacing w:line="240" w:lineRule="atLeast"/>
              <w:ind w:left="105" w:right="105" w:firstLine="96"/>
              <w:jc w:val="left"/>
            </w:pPr>
            <w:r>
              <w:rPr>
                <w:rFonts w:hint="eastAsia" w:ascii="宋体" w:hAnsi="宋体" w:eastAsia="宋体" w:cs="宋体"/>
                <w:kern w:val="0"/>
                <w:szCs w:val="21"/>
              </w:rPr>
              <w:t>部门所设立的整体绩效目标依据是否充分，是否符合客观实际，用以反映和考核部门整体绩效目标与部门履职、年度工作任务的相符性情况。</w:t>
            </w:r>
          </w:p>
        </w:tc>
        <w:tc>
          <w:tcPr>
            <w:tcW w:w="1629" w:type="pct"/>
            <w:tcBorders>
              <w:top w:val="nil"/>
              <w:left w:val="single" w:color="auto" w:sz="8" w:space="0"/>
              <w:bottom w:val="single" w:color="auto" w:sz="8" w:space="0"/>
              <w:right w:val="single" w:color="auto" w:sz="8" w:space="0"/>
            </w:tcBorders>
            <w:shd w:val="clear" w:color="auto" w:fill="auto"/>
            <w:tcMar>
              <w:top w:w="10" w:type="dxa"/>
              <w:left w:w="10" w:type="dxa"/>
              <w:bottom w:w="0" w:type="dxa"/>
              <w:right w:w="10" w:type="dxa"/>
            </w:tcMar>
            <w:vAlign w:val="center"/>
          </w:tcPr>
          <w:p>
            <w:pPr>
              <w:widowControl/>
              <w:spacing w:line="240" w:lineRule="atLeast"/>
              <w:ind w:left="105" w:right="105"/>
              <w:jc w:val="left"/>
            </w:pPr>
            <w:r>
              <w:rPr>
                <w:rFonts w:hint="eastAsia" w:ascii="宋体" w:hAnsi="宋体" w:eastAsia="宋体" w:cs="宋体"/>
                <w:kern w:val="0"/>
                <w:szCs w:val="21"/>
              </w:rPr>
              <w:t>评价要点：</w:t>
            </w:r>
          </w:p>
          <w:p>
            <w:pPr>
              <w:widowControl/>
              <w:spacing w:line="240" w:lineRule="atLeast"/>
              <w:ind w:left="105" w:right="105"/>
              <w:jc w:val="left"/>
            </w:pPr>
            <w:r>
              <w:rPr>
                <w:rFonts w:hint="eastAsia" w:ascii="宋体" w:hAnsi="宋体" w:eastAsia="宋体" w:cs="宋体"/>
                <w:kern w:val="0"/>
                <w:szCs w:val="21"/>
              </w:rPr>
              <w:t>①是否符合国家法律法规、国民经济和社会发展总体规划；</w:t>
            </w:r>
          </w:p>
          <w:p>
            <w:pPr>
              <w:widowControl/>
              <w:spacing w:line="240" w:lineRule="atLeast"/>
              <w:ind w:left="105" w:right="105"/>
              <w:jc w:val="left"/>
            </w:pPr>
            <w:r>
              <w:rPr>
                <w:rFonts w:hint="eastAsia" w:ascii="宋体" w:hAnsi="宋体" w:eastAsia="宋体" w:cs="宋体"/>
                <w:kern w:val="0"/>
                <w:szCs w:val="21"/>
              </w:rPr>
              <w:t>②是否符合部门“三定”方案确定的职责；</w:t>
            </w:r>
          </w:p>
          <w:p>
            <w:pPr>
              <w:widowControl/>
              <w:spacing w:line="240" w:lineRule="atLeast"/>
              <w:ind w:left="105" w:right="105"/>
              <w:jc w:val="left"/>
            </w:pPr>
            <w:r>
              <w:rPr>
                <w:rFonts w:hint="eastAsia" w:ascii="宋体" w:hAnsi="宋体" w:eastAsia="宋体" w:cs="宋体"/>
                <w:kern w:val="0"/>
                <w:szCs w:val="21"/>
              </w:rPr>
              <w:t>③是否符合部门制定的中长期实施规划。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137" w:hRule="atLeast"/>
          <w:jc w:val="center"/>
        </w:trPr>
        <w:tc>
          <w:tcPr>
            <w:tcW w:w="481" w:type="pct"/>
            <w:vMerge w:val="continue"/>
            <w:tcBorders>
              <w:top w:val="nil"/>
              <w:left w:val="single" w:color="auto" w:sz="8" w:space="0"/>
              <w:bottom w:val="single" w:color="auto" w:sz="8" w:space="0"/>
              <w:right w:val="single" w:color="auto" w:sz="8" w:space="0"/>
            </w:tcBorders>
            <w:shd w:val="clear" w:color="auto" w:fill="auto"/>
            <w:noWrap/>
            <w:tcMar>
              <w:top w:w="10" w:type="dxa"/>
              <w:left w:w="10" w:type="dxa"/>
              <w:bottom w:w="0" w:type="dxa"/>
              <w:right w:w="10" w:type="dxa"/>
            </w:tcMar>
            <w:vAlign w:val="center"/>
          </w:tcPr>
          <w:p>
            <w:pPr>
              <w:jc w:val="center"/>
              <w:rPr>
                <w:rFonts w:ascii="宋体"/>
                <w:sz w:val="24"/>
                <w:szCs w:val="24"/>
              </w:rPr>
            </w:pPr>
          </w:p>
        </w:tc>
        <w:tc>
          <w:tcPr>
            <w:tcW w:w="481" w:type="pct"/>
            <w:vMerge w:val="continue"/>
            <w:tcBorders>
              <w:top w:val="nil"/>
              <w:left w:val="single" w:color="auto" w:sz="8" w:space="0"/>
              <w:bottom w:val="single" w:color="auto" w:sz="8" w:space="0"/>
              <w:right w:val="single" w:color="auto" w:sz="8" w:space="0"/>
            </w:tcBorders>
            <w:shd w:val="clear" w:color="auto" w:fill="auto"/>
            <w:tcMar>
              <w:top w:w="10" w:type="dxa"/>
              <w:left w:w="10" w:type="dxa"/>
              <w:bottom w:w="0" w:type="dxa"/>
              <w:right w:w="10" w:type="dxa"/>
            </w:tcMar>
            <w:vAlign w:val="center"/>
          </w:tcPr>
          <w:p>
            <w:pPr>
              <w:jc w:val="center"/>
              <w:rPr>
                <w:rFonts w:ascii="宋体"/>
                <w:sz w:val="24"/>
                <w:szCs w:val="24"/>
              </w:rPr>
            </w:pPr>
          </w:p>
        </w:tc>
        <w:tc>
          <w:tcPr>
            <w:tcW w:w="481" w:type="pct"/>
            <w:tcBorders>
              <w:top w:val="nil"/>
              <w:left w:val="single" w:color="auto" w:sz="8" w:space="0"/>
              <w:bottom w:val="single" w:color="auto" w:sz="8" w:space="0"/>
              <w:right w:val="single" w:color="auto" w:sz="8" w:space="0"/>
            </w:tcBorders>
            <w:shd w:val="clear" w:color="auto" w:fill="auto"/>
            <w:tcMar>
              <w:top w:w="10" w:type="dxa"/>
              <w:left w:w="10" w:type="dxa"/>
              <w:bottom w:w="0" w:type="dxa"/>
              <w:right w:w="10" w:type="dxa"/>
            </w:tcMar>
            <w:vAlign w:val="center"/>
          </w:tcPr>
          <w:p>
            <w:pPr>
              <w:widowControl/>
              <w:spacing w:line="240" w:lineRule="atLeast"/>
              <w:jc w:val="center"/>
            </w:pPr>
            <w:r>
              <w:rPr>
                <w:rFonts w:hint="eastAsia" w:ascii="宋体" w:hAnsi="宋体" w:eastAsia="宋体" w:cs="宋体"/>
                <w:kern w:val="0"/>
                <w:szCs w:val="21"/>
              </w:rPr>
              <w:t>绩效指标</w:t>
            </w:r>
          </w:p>
          <w:p>
            <w:pPr>
              <w:widowControl/>
              <w:spacing w:line="240" w:lineRule="atLeast"/>
              <w:jc w:val="center"/>
            </w:pPr>
            <w:r>
              <w:rPr>
                <w:rFonts w:hint="eastAsia" w:ascii="宋体" w:hAnsi="宋体" w:eastAsia="宋体" w:cs="宋体"/>
                <w:kern w:val="0"/>
                <w:szCs w:val="21"/>
              </w:rPr>
              <w:t>明确性 （3分）</w:t>
            </w:r>
          </w:p>
        </w:tc>
        <w:tc>
          <w:tcPr>
            <w:tcW w:w="224" w:type="pct"/>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widowControl/>
              <w:spacing w:line="240" w:lineRule="atLeast"/>
              <w:ind w:left="105" w:right="105" w:firstLine="96"/>
              <w:jc w:val="center"/>
            </w:pPr>
          </w:p>
          <w:p>
            <w:pPr>
              <w:widowControl/>
              <w:spacing w:line="240" w:lineRule="atLeast"/>
              <w:ind w:left="105" w:right="105" w:firstLine="96"/>
              <w:jc w:val="center"/>
            </w:pPr>
          </w:p>
          <w:p>
            <w:pPr>
              <w:widowControl/>
              <w:spacing w:line="240" w:lineRule="atLeast"/>
              <w:ind w:left="105" w:right="105" w:firstLine="96"/>
              <w:jc w:val="center"/>
            </w:pPr>
          </w:p>
          <w:p>
            <w:pPr>
              <w:widowControl/>
              <w:spacing w:line="240" w:lineRule="atLeast"/>
              <w:ind w:left="105" w:right="105" w:firstLine="96"/>
              <w:jc w:val="center"/>
            </w:pPr>
          </w:p>
          <w:p>
            <w:pPr>
              <w:widowControl/>
              <w:spacing w:line="240" w:lineRule="atLeast"/>
              <w:ind w:left="105" w:right="105" w:firstLine="96"/>
              <w:jc w:val="center"/>
            </w:pPr>
            <w:r>
              <w:rPr>
                <w:rFonts w:hint="eastAsia" w:ascii="宋体" w:hAnsi="宋体" w:eastAsia="宋体" w:cs="宋体"/>
                <w:kern w:val="0"/>
                <w:szCs w:val="21"/>
              </w:rPr>
              <w:t>3</w:t>
            </w:r>
          </w:p>
        </w:tc>
        <w:tc>
          <w:tcPr>
            <w:tcW w:w="1703" w:type="pct"/>
            <w:tcBorders>
              <w:top w:val="nil"/>
              <w:left w:val="single" w:color="auto" w:sz="8" w:space="0"/>
              <w:bottom w:val="single" w:color="auto" w:sz="8" w:space="0"/>
              <w:right w:val="single" w:color="auto" w:sz="8" w:space="0"/>
            </w:tcBorders>
            <w:shd w:val="clear" w:color="auto" w:fill="auto"/>
            <w:tcMar>
              <w:top w:w="10" w:type="dxa"/>
              <w:left w:w="10" w:type="dxa"/>
              <w:bottom w:w="0" w:type="dxa"/>
              <w:right w:w="10" w:type="dxa"/>
            </w:tcMar>
            <w:vAlign w:val="center"/>
          </w:tcPr>
          <w:p>
            <w:pPr>
              <w:widowControl/>
              <w:spacing w:line="240" w:lineRule="atLeast"/>
              <w:ind w:left="105" w:right="105" w:firstLine="96"/>
              <w:jc w:val="left"/>
            </w:pPr>
            <w:r>
              <w:rPr>
                <w:rFonts w:hint="eastAsia" w:ascii="宋体" w:hAnsi="宋体" w:eastAsia="宋体" w:cs="宋体"/>
                <w:kern w:val="0"/>
                <w:szCs w:val="21"/>
              </w:rPr>
              <w:t>部门依据整体绩效目标所设定的绩效指标是否清晰、细化、可衡量，用以反映和考核部门整体绩效目标的明细化情况。</w:t>
            </w:r>
          </w:p>
        </w:tc>
        <w:tc>
          <w:tcPr>
            <w:tcW w:w="1629" w:type="pct"/>
            <w:tcBorders>
              <w:top w:val="nil"/>
              <w:left w:val="single" w:color="auto" w:sz="8" w:space="0"/>
              <w:bottom w:val="single" w:color="auto" w:sz="8" w:space="0"/>
              <w:right w:val="single" w:color="auto" w:sz="8" w:space="0"/>
            </w:tcBorders>
            <w:shd w:val="clear" w:color="auto" w:fill="auto"/>
            <w:tcMar>
              <w:top w:w="10" w:type="dxa"/>
              <w:left w:w="10" w:type="dxa"/>
              <w:bottom w:w="0" w:type="dxa"/>
              <w:right w:w="10" w:type="dxa"/>
            </w:tcMar>
            <w:vAlign w:val="center"/>
          </w:tcPr>
          <w:p>
            <w:pPr>
              <w:widowControl/>
              <w:spacing w:line="240" w:lineRule="atLeast"/>
              <w:ind w:left="105" w:right="105"/>
              <w:jc w:val="left"/>
            </w:pPr>
            <w:r>
              <w:rPr>
                <w:rFonts w:hint="eastAsia" w:ascii="宋体" w:hAnsi="宋体" w:eastAsia="宋体" w:cs="宋体"/>
                <w:kern w:val="0"/>
                <w:szCs w:val="21"/>
              </w:rPr>
              <w:t>评价要点：</w:t>
            </w:r>
          </w:p>
          <w:p>
            <w:pPr>
              <w:widowControl/>
              <w:spacing w:line="240" w:lineRule="atLeast"/>
              <w:ind w:left="105" w:right="105"/>
              <w:jc w:val="left"/>
            </w:pPr>
            <w:r>
              <w:rPr>
                <w:rFonts w:hint="eastAsia" w:ascii="宋体" w:hAnsi="宋体" w:eastAsia="宋体" w:cs="宋体"/>
                <w:kern w:val="0"/>
                <w:szCs w:val="21"/>
              </w:rPr>
              <w:t>①是否将部门整体的绩效目标细化分解为具体的工作任务；</w:t>
            </w:r>
          </w:p>
          <w:p>
            <w:pPr>
              <w:widowControl/>
              <w:spacing w:line="240" w:lineRule="atLeast"/>
              <w:ind w:left="105" w:right="105"/>
              <w:jc w:val="left"/>
            </w:pPr>
            <w:r>
              <w:rPr>
                <w:rFonts w:hint="eastAsia" w:ascii="宋体" w:hAnsi="宋体" w:eastAsia="宋体" w:cs="宋体"/>
                <w:kern w:val="0"/>
                <w:szCs w:val="21"/>
              </w:rPr>
              <w:t>②是否通过清晰、可衡量的指标值予以体现。    ③是否与部门年度的任务数或计划数相对应；</w:t>
            </w:r>
          </w:p>
          <w:p>
            <w:pPr>
              <w:widowControl/>
              <w:spacing w:line="240" w:lineRule="atLeast"/>
              <w:ind w:left="105" w:right="105"/>
              <w:jc w:val="left"/>
            </w:pPr>
            <w:r>
              <w:rPr>
                <w:rFonts w:hint="eastAsia" w:ascii="宋体" w:hAnsi="宋体" w:eastAsia="宋体" w:cs="宋体"/>
                <w:kern w:val="0"/>
                <w:szCs w:val="21"/>
              </w:rPr>
              <w:t>④是否与本年度部门预算资金相匹配。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931" w:hRule="atLeast"/>
          <w:jc w:val="center"/>
        </w:trPr>
        <w:tc>
          <w:tcPr>
            <w:tcW w:w="481" w:type="pct"/>
            <w:vMerge w:val="continue"/>
            <w:tcBorders>
              <w:top w:val="nil"/>
              <w:left w:val="single" w:color="auto" w:sz="8" w:space="0"/>
              <w:bottom w:val="single" w:color="auto" w:sz="8" w:space="0"/>
              <w:right w:val="single" w:color="auto" w:sz="8" w:space="0"/>
            </w:tcBorders>
            <w:shd w:val="clear" w:color="auto" w:fill="auto"/>
            <w:noWrap/>
            <w:tcMar>
              <w:top w:w="10" w:type="dxa"/>
              <w:left w:w="10" w:type="dxa"/>
              <w:bottom w:w="0" w:type="dxa"/>
              <w:right w:w="10" w:type="dxa"/>
            </w:tcMar>
            <w:vAlign w:val="center"/>
          </w:tcPr>
          <w:p>
            <w:pPr>
              <w:jc w:val="center"/>
              <w:rPr>
                <w:rFonts w:ascii="宋体"/>
                <w:sz w:val="24"/>
                <w:szCs w:val="24"/>
              </w:rPr>
            </w:pPr>
          </w:p>
        </w:tc>
        <w:tc>
          <w:tcPr>
            <w:tcW w:w="481" w:type="pct"/>
            <w:vMerge w:val="restart"/>
            <w:tcBorders>
              <w:top w:val="nil"/>
              <w:left w:val="single" w:color="auto" w:sz="8" w:space="0"/>
              <w:bottom w:val="single" w:color="auto" w:sz="8" w:space="0"/>
              <w:right w:val="single" w:color="auto" w:sz="8" w:space="0"/>
            </w:tcBorders>
            <w:shd w:val="clear" w:color="auto" w:fill="auto"/>
            <w:tcMar>
              <w:top w:w="10" w:type="dxa"/>
              <w:left w:w="10" w:type="dxa"/>
              <w:bottom w:w="0" w:type="dxa"/>
              <w:right w:w="10" w:type="dxa"/>
            </w:tcMar>
            <w:vAlign w:val="center"/>
          </w:tcPr>
          <w:p>
            <w:pPr>
              <w:widowControl/>
              <w:spacing w:line="240" w:lineRule="atLeast"/>
              <w:jc w:val="center"/>
            </w:pPr>
            <w:r>
              <w:rPr>
                <w:rFonts w:hint="eastAsia" w:ascii="宋体" w:hAnsi="宋体" w:eastAsia="宋体" w:cs="宋体"/>
                <w:kern w:val="0"/>
                <w:szCs w:val="21"/>
              </w:rPr>
              <w:t>预算</w:t>
            </w:r>
          </w:p>
          <w:p>
            <w:pPr>
              <w:widowControl/>
              <w:spacing w:line="240" w:lineRule="atLeast"/>
              <w:jc w:val="center"/>
            </w:pPr>
            <w:r>
              <w:rPr>
                <w:rFonts w:hint="eastAsia" w:ascii="宋体" w:hAnsi="宋体" w:eastAsia="宋体" w:cs="宋体"/>
                <w:kern w:val="0"/>
                <w:szCs w:val="21"/>
              </w:rPr>
              <w:t xml:space="preserve"> 配置 （15分）</w:t>
            </w:r>
          </w:p>
        </w:tc>
        <w:tc>
          <w:tcPr>
            <w:tcW w:w="481" w:type="pct"/>
            <w:tcBorders>
              <w:top w:val="nil"/>
              <w:left w:val="single" w:color="auto" w:sz="8" w:space="0"/>
              <w:bottom w:val="single" w:color="auto" w:sz="8" w:space="0"/>
              <w:right w:val="single" w:color="auto" w:sz="8" w:space="0"/>
            </w:tcBorders>
            <w:shd w:val="clear" w:color="auto" w:fill="auto"/>
            <w:tcMar>
              <w:top w:w="10" w:type="dxa"/>
              <w:left w:w="10" w:type="dxa"/>
              <w:bottom w:w="0" w:type="dxa"/>
              <w:right w:w="10" w:type="dxa"/>
            </w:tcMar>
            <w:vAlign w:val="center"/>
          </w:tcPr>
          <w:p>
            <w:pPr>
              <w:widowControl/>
              <w:spacing w:line="240" w:lineRule="atLeast"/>
              <w:jc w:val="center"/>
            </w:pPr>
            <w:r>
              <w:rPr>
                <w:rFonts w:hint="eastAsia" w:ascii="宋体" w:hAnsi="宋体" w:eastAsia="宋体" w:cs="宋体"/>
                <w:kern w:val="0"/>
                <w:szCs w:val="21"/>
              </w:rPr>
              <w:t>在职人员</w:t>
            </w:r>
          </w:p>
          <w:p>
            <w:pPr>
              <w:widowControl/>
              <w:spacing w:line="240" w:lineRule="atLeast"/>
              <w:jc w:val="center"/>
            </w:pPr>
            <w:r>
              <w:rPr>
                <w:rFonts w:hint="eastAsia" w:ascii="宋体" w:hAnsi="宋体" w:eastAsia="宋体" w:cs="宋体"/>
                <w:kern w:val="0"/>
                <w:szCs w:val="21"/>
              </w:rPr>
              <w:t>控制率 （5分）</w:t>
            </w:r>
          </w:p>
        </w:tc>
        <w:tc>
          <w:tcPr>
            <w:tcW w:w="224" w:type="pct"/>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widowControl/>
              <w:spacing w:line="240" w:lineRule="atLeast"/>
              <w:ind w:left="105" w:right="105" w:firstLine="96"/>
              <w:jc w:val="center"/>
            </w:pPr>
          </w:p>
          <w:p>
            <w:pPr>
              <w:widowControl/>
              <w:spacing w:line="240" w:lineRule="atLeast"/>
              <w:ind w:left="105" w:right="105" w:firstLine="96"/>
              <w:jc w:val="center"/>
            </w:pPr>
          </w:p>
          <w:p>
            <w:pPr>
              <w:widowControl/>
              <w:spacing w:line="240" w:lineRule="atLeast"/>
              <w:ind w:left="105" w:right="105" w:firstLine="96"/>
              <w:jc w:val="center"/>
            </w:pPr>
          </w:p>
          <w:p>
            <w:pPr>
              <w:widowControl/>
              <w:spacing w:line="240" w:lineRule="atLeast"/>
              <w:ind w:left="105" w:right="105" w:firstLine="96"/>
              <w:jc w:val="center"/>
            </w:pPr>
            <w:r>
              <w:rPr>
                <w:rFonts w:hint="eastAsia" w:ascii="宋体" w:hAnsi="宋体" w:eastAsia="宋体" w:cs="宋体"/>
                <w:kern w:val="0"/>
                <w:szCs w:val="21"/>
              </w:rPr>
              <w:t>5</w:t>
            </w:r>
          </w:p>
        </w:tc>
        <w:tc>
          <w:tcPr>
            <w:tcW w:w="1703" w:type="pct"/>
            <w:tcBorders>
              <w:top w:val="nil"/>
              <w:left w:val="single" w:color="auto" w:sz="8" w:space="0"/>
              <w:bottom w:val="single" w:color="auto" w:sz="8" w:space="0"/>
              <w:right w:val="single" w:color="auto" w:sz="8" w:space="0"/>
            </w:tcBorders>
            <w:shd w:val="clear" w:color="auto" w:fill="auto"/>
            <w:tcMar>
              <w:top w:w="10" w:type="dxa"/>
              <w:left w:w="10" w:type="dxa"/>
              <w:bottom w:w="0" w:type="dxa"/>
              <w:right w:w="10" w:type="dxa"/>
            </w:tcMar>
            <w:vAlign w:val="center"/>
          </w:tcPr>
          <w:p>
            <w:pPr>
              <w:widowControl/>
              <w:spacing w:line="240" w:lineRule="atLeast"/>
              <w:ind w:left="105" w:right="105" w:firstLine="96"/>
              <w:jc w:val="left"/>
            </w:pPr>
            <w:r>
              <w:rPr>
                <w:rFonts w:hint="eastAsia" w:ascii="宋体" w:hAnsi="宋体" w:eastAsia="宋体" w:cs="宋体"/>
                <w:kern w:val="0"/>
                <w:szCs w:val="21"/>
              </w:rPr>
              <w:t>部门本年度实际在职人员数与编制数的比率，用以反映和考核部门对人员成本的控制程度。</w:t>
            </w:r>
          </w:p>
        </w:tc>
        <w:tc>
          <w:tcPr>
            <w:tcW w:w="1629" w:type="pct"/>
            <w:tcBorders>
              <w:top w:val="nil"/>
              <w:left w:val="single" w:color="auto" w:sz="8" w:space="0"/>
              <w:bottom w:val="single" w:color="auto" w:sz="8" w:space="0"/>
              <w:right w:val="single" w:color="auto" w:sz="8" w:space="0"/>
            </w:tcBorders>
            <w:shd w:val="clear" w:color="auto" w:fill="auto"/>
            <w:tcMar>
              <w:top w:w="10" w:type="dxa"/>
              <w:left w:w="10" w:type="dxa"/>
              <w:bottom w:w="0" w:type="dxa"/>
              <w:right w:w="10" w:type="dxa"/>
            </w:tcMar>
            <w:vAlign w:val="center"/>
          </w:tcPr>
          <w:p>
            <w:pPr>
              <w:widowControl/>
              <w:spacing w:line="240" w:lineRule="atLeast"/>
              <w:ind w:left="105" w:right="105"/>
              <w:jc w:val="left"/>
            </w:pPr>
            <w:r>
              <w:rPr>
                <w:rFonts w:hint="eastAsia" w:ascii="宋体" w:hAnsi="宋体" w:eastAsia="宋体" w:cs="宋体"/>
                <w:kern w:val="0"/>
                <w:szCs w:val="21"/>
              </w:rPr>
              <w:t>在职人员控制率=（在职人员数/编制数）×100%。</w:t>
            </w:r>
          </w:p>
          <w:p>
            <w:pPr>
              <w:widowControl/>
              <w:spacing w:line="240" w:lineRule="atLeast"/>
              <w:ind w:left="105" w:right="105"/>
              <w:jc w:val="left"/>
            </w:pPr>
            <w:r>
              <w:rPr>
                <w:rFonts w:hint="eastAsia" w:ascii="宋体" w:hAnsi="宋体" w:eastAsia="宋体" w:cs="宋体"/>
                <w:kern w:val="0"/>
                <w:szCs w:val="21"/>
              </w:rPr>
              <w:t>在职人员数：部门实际在职人数，以财政部确定的部门决算编制口径为准。</w:t>
            </w:r>
          </w:p>
          <w:p>
            <w:pPr>
              <w:widowControl/>
              <w:spacing w:line="240" w:lineRule="atLeast"/>
              <w:ind w:left="105" w:right="105"/>
              <w:jc w:val="left"/>
            </w:pPr>
            <w:r>
              <w:rPr>
                <w:rFonts w:hint="eastAsia" w:ascii="宋体" w:hAnsi="宋体" w:eastAsia="宋体" w:cs="宋体"/>
                <w:kern w:val="0"/>
                <w:szCs w:val="21"/>
              </w:rPr>
              <w:t>编制数：机构编制部门核定批复的部门的人员编制数。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030" w:hRule="atLeast"/>
          <w:jc w:val="center"/>
        </w:trPr>
        <w:tc>
          <w:tcPr>
            <w:tcW w:w="481" w:type="pct"/>
            <w:vMerge w:val="continue"/>
            <w:tcBorders>
              <w:top w:val="nil"/>
              <w:left w:val="single" w:color="auto" w:sz="8" w:space="0"/>
              <w:bottom w:val="single" w:color="auto" w:sz="8" w:space="0"/>
              <w:right w:val="single" w:color="auto" w:sz="8" w:space="0"/>
            </w:tcBorders>
            <w:shd w:val="clear" w:color="auto" w:fill="auto"/>
            <w:noWrap/>
            <w:tcMar>
              <w:top w:w="10" w:type="dxa"/>
              <w:left w:w="10" w:type="dxa"/>
              <w:bottom w:w="0" w:type="dxa"/>
              <w:right w:w="10" w:type="dxa"/>
            </w:tcMar>
            <w:vAlign w:val="center"/>
          </w:tcPr>
          <w:p>
            <w:pPr>
              <w:jc w:val="center"/>
              <w:rPr>
                <w:rFonts w:ascii="宋体"/>
                <w:sz w:val="24"/>
                <w:szCs w:val="24"/>
              </w:rPr>
            </w:pPr>
          </w:p>
        </w:tc>
        <w:tc>
          <w:tcPr>
            <w:tcW w:w="481" w:type="pct"/>
            <w:vMerge w:val="continue"/>
            <w:tcBorders>
              <w:top w:val="nil"/>
              <w:left w:val="single" w:color="auto" w:sz="8" w:space="0"/>
              <w:bottom w:val="single" w:color="auto" w:sz="8" w:space="0"/>
              <w:right w:val="single" w:color="auto" w:sz="8" w:space="0"/>
            </w:tcBorders>
            <w:shd w:val="clear" w:color="auto" w:fill="auto"/>
            <w:tcMar>
              <w:top w:w="10" w:type="dxa"/>
              <w:left w:w="10" w:type="dxa"/>
              <w:bottom w:w="0" w:type="dxa"/>
              <w:right w:w="10" w:type="dxa"/>
            </w:tcMar>
            <w:vAlign w:val="center"/>
          </w:tcPr>
          <w:p>
            <w:pPr>
              <w:jc w:val="center"/>
              <w:rPr>
                <w:rFonts w:ascii="宋体"/>
                <w:sz w:val="24"/>
                <w:szCs w:val="24"/>
              </w:rPr>
            </w:pPr>
          </w:p>
        </w:tc>
        <w:tc>
          <w:tcPr>
            <w:tcW w:w="481" w:type="pct"/>
            <w:tcBorders>
              <w:top w:val="nil"/>
              <w:left w:val="single" w:color="auto" w:sz="8" w:space="0"/>
              <w:bottom w:val="single" w:color="auto" w:sz="8" w:space="0"/>
              <w:right w:val="single" w:color="auto" w:sz="8" w:space="0"/>
            </w:tcBorders>
            <w:shd w:val="clear" w:color="auto" w:fill="auto"/>
            <w:tcMar>
              <w:top w:w="10" w:type="dxa"/>
              <w:left w:w="10" w:type="dxa"/>
              <w:bottom w:w="0" w:type="dxa"/>
              <w:right w:w="10" w:type="dxa"/>
            </w:tcMar>
            <w:vAlign w:val="center"/>
          </w:tcPr>
          <w:p>
            <w:pPr>
              <w:widowControl/>
              <w:spacing w:line="240" w:lineRule="atLeast"/>
              <w:jc w:val="center"/>
            </w:pPr>
            <w:r>
              <w:rPr>
                <w:rFonts w:hint="eastAsia" w:ascii="宋体" w:hAnsi="宋体" w:eastAsia="宋体" w:cs="宋体"/>
                <w:kern w:val="0"/>
                <w:szCs w:val="21"/>
              </w:rPr>
              <w:t>“三公经费”</w:t>
            </w:r>
          </w:p>
          <w:p>
            <w:pPr>
              <w:widowControl/>
              <w:spacing w:line="240" w:lineRule="atLeast"/>
              <w:jc w:val="center"/>
            </w:pPr>
            <w:r>
              <w:rPr>
                <w:rFonts w:hint="eastAsia" w:ascii="宋体" w:hAnsi="宋体" w:eastAsia="宋体" w:cs="宋体"/>
                <w:kern w:val="0"/>
                <w:szCs w:val="21"/>
              </w:rPr>
              <w:t>变动率 （5分）</w:t>
            </w:r>
          </w:p>
        </w:tc>
        <w:tc>
          <w:tcPr>
            <w:tcW w:w="224" w:type="pct"/>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widowControl/>
              <w:spacing w:line="240" w:lineRule="atLeast"/>
              <w:ind w:left="105" w:right="105" w:firstLine="96"/>
              <w:jc w:val="center"/>
            </w:pPr>
          </w:p>
          <w:p>
            <w:pPr>
              <w:widowControl/>
              <w:spacing w:line="240" w:lineRule="atLeast"/>
              <w:ind w:left="105" w:right="105" w:firstLine="96"/>
              <w:jc w:val="center"/>
            </w:pPr>
          </w:p>
          <w:p>
            <w:pPr>
              <w:widowControl/>
              <w:spacing w:line="240" w:lineRule="atLeast"/>
              <w:ind w:left="105" w:right="105" w:firstLine="96"/>
              <w:jc w:val="center"/>
            </w:pPr>
          </w:p>
          <w:p>
            <w:pPr>
              <w:widowControl/>
              <w:spacing w:line="240" w:lineRule="atLeast"/>
              <w:ind w:left="105" w:right="105" w:firstLine="96"/>
              <w:jc w:val="center"/>
            </w:pPr>
          </w:p>
          <w:p>
            <w:pPr>
              <w:widowControl/>
              <w:spacing w:line="240" w:lineRule="atLeast"/>
              <w:ind w:left="105" w:right="105" w:firstLine="96"/>
              <w:jc w:val="center"/>
            </w:pPr>
            <w:r>
              <w:rPr>
                <w:rFonts w:hint="eastAsia" w:ascii="宋体" w:hAnsi="宋体" w:eastAsia="宋体" w:cs="宋体"/>
                <w:kern w:val="0"/>
                <w:szCs w:val="21"/>
              </w:rPr>
              <w:t>4</w:t>
            </w:r>
          </w:p>
        </w:tc>
        <w:tc>
          <w:tcPr>
            <w:tcW w:w="1703" w:type="pct"/>
            <w:tcBorders>
              <w:top w:val="nil"/>
              <w:left w:val="single" w:color="auto" w:sz="8" w:space="0"/>
              <w:bottom w:val="single" w:color="auto" w:sz="8" w:space="0"/>
              <w:right w:val="single" w:color="auto" w:sz="8" w:space="0"/>
            </w:tcBorders>
            <w:shd w:val="clear" w:color="auto" w:fill="auto"/>
            <w:tcMar>
              <w:top w:w="10" w:type="dxa"/>
              <w:left w:w="10" w:type="dxa"/>
              <w:bottom w:w="0" w:type="dxa"/>
              <w:right w:w="10" w:type="dxa"/>
            </w:tcMar>
            <w:vAlign w:val="center"/>
          </w:tcPr>
          <w:p>
            <w:pPr>
              <w:widowControl/>
              <w:spacing w:line="240" w:lineRule="atLeast"/>
              <w:ind w:left="105" w:right="105" w:firstLine="96"/>
              <w:jc w:val="left"/>
            </w:pPr>
            <w:r>
              <w:rPr>
                <w:rFonts w:hint="eastAsia" w:ascii="宋体" w:hAnsi="宋体" w:eastAsia="宋体" w:cs="宋体"/>
                <w:kern w:val="0"/>
                <w:szCs w:val="21"/>
              </w:rPr>
              <w:t>部门本年度“三公经费”预算数与上年度“三公经费”预算数的变动比率，用以反映和考核部门对控制重点行政成本的努力程度。</w:t>
            </w:r>
          </w:p>
        </w:tc>
        <w:tc>
          <w:tcPr>
            <w:tcW w:w="1629" w:type="pct"/>
            <w:tcBorders>
              <w:top w:val="nil"/>
              <w:left w:val="single" w:color="auto" w:sz="8" w:space="0"/>
              <w:bottom w:val="single" w:color="auto" w:sz="8" w:space="0"/>
              <w:right w:val="single" w:color="auto" w:sz="8" w:space="0"/>
            </w:tcBorders>
            <w:shd w:val="clear" w:color="auto" w:fill="auto"/>
            <w:tcMar>
              <w:top w:w="10" w:type="dxa"/>
              <w:left w:w="10" w:type="dxa"/>
              <w:bottom w:w="0" w:type="dxa"/>
              <w:right w:w="10" w:type="dxa"/>
            </w:tcMar>
            <w:vAlign w:val="center"/>
          </w:tcPr>
          <w:p>
            <w:pPr>
              <w:widowControl/>
              <w:spacing w:line="240" w:lineRule="atLeast"/>
              <w:ind w:left="105" w:right="105"/>
              <w:jc w:val="left"/>
            </w:pPr>
            <w:r>
              <w:rPr>
                <w:rFonts w:hint="eastAsia" w:ascii="宋体" w:hAnsi="宋体" w:eastAsia="宋体" w:cs="宋体"/>
                <w:kern w:val="0"/>
                <w:szCs w:val="21"/>
              </w:rPr>
              <w:t>“三公经费”变动率=[（本年度“三公经费”总额-上年度“三公经费”总额）/上年度“三公经费”总额]×100%。</w:t>
            </w:r>
          </w:p>
          <w:p>
            <w:pPr>
              <w:widowControl/>
              <w:spacing w:line="240" w:lineRule="atLeast"/>
              <w:ind w:left="105" w:right="105"/>
              <w:jc w:val="left"/>
            </w:pPr>
            <w:r>
              <w:rPr>
                <w:rFonts w:hint="eastAsia" w:ascii="宋体" w:hAnsi="宋体" w:eastAsia="宋体" w:cs="宋体"/>
                <w:kern w:val="0"/>
                <w:szCs w:val="21"/>
              </w:rPr>
              <w:t>“三公经费”：年度预算安排的因公出国（境）费、公务车辆购置及运行费和公务招待费。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510" w:hRule="atLeast"/>
          <w:jc w:val="center"/>
        </w:trPr>
        <w:tc>
          <w:tcPr>
            <w:tcW w:w="481" w:type="pct"/>
            <w:vMerge w:val="continue"/>
            <w:tcBorders>
              <w:top w:val="nil"/>
              <w:left w:val="single" w:color="auto" w:sz="8" w:space="0"/>
              <w:bottom w:val="single" w:color="auto" w:sz="12" w:space="0"/>
              <w:right w:val="single" w:color="auto" w:sz="8" w:space="0"/>
            </w:tcBorders>
            <w:shd w:val="clear" w:color="auto" w:fill="auto"/>
            <w:noWrap/>
            <w:tcMar>
              <w:top w:w="10" w:type="dxa"/>
              <w:left w:w="10" w:type="dxa"/>
              <w:bottom w:w="0" w:type="dxa"/>
              <w:right w:w="10" w:type="dxa"/>
            </w:tcMar>
            <w:vAlign w:val="center"/>
          </w:tcPr>
          <w:p>
            <w:pPr>
              <w:jc w:val="center"/>
              <w:rPr>
                <w:rFonts w:ascii="宋体"/>
                <w:sz w:val="24"/>
                <w:szCs w:val="24"/>
              </w:rPr>
            </w:pPr>
          </w:p>
        </w:tc>
        <w:tc>
          <w:tcPr>
            <w:tcW w:w="481" w:type="pct"/>
            <w:vMerge w:val="continue"/>
            <w:tcBorders>
              <w:top w:val="nil"/>
              <w:left w:val="single" w:color="auto" w:sz="8" w:space="0"/>
              <w:bottom w:val="single" w:color="auto" w:sz="12" w:space="0"/>
              <w:right w:val="single" w:color="auto" w:sz="8" w:space="0"/>
            </w:tcBorders>
            <w:shd w:val="clear" w:color="auto" w:fill="auto"/>
            <w:tcMar>
              <w:top w:w="10" w:type="dxa"/>
              <w:left w:w="10" w:type="dxa"/>
              <w:bottom w:w="0" w:type="dxa"/>
              <w:right w:w="10" w:type="dxa"/>
            </w:tcMar>
            <w:vAlign w:val="center"/>
          </w:tcPr>
          <w:p>
            <w:pPr>
              <w:jc w:val="center"/>
              <w:rPr>
                <w:rFonts w:ascii="宋体"/>
                <w:sz w:val="24"/>
                <w:szCs w:val="24"/>
              </w:rPr>
            </w:pPr>
          </w:p>
        </w:tc>
        <w:tc>
          <w:tcPr>
            <w:tcW w:w="481" w:type="pct"/>
            <w:tcBorders>
              <w:top w:val="nil"/>
              <w:left w:val="single" w:color="auto" w:sz="8" w:space="0"/>
              <w:bottom w:val="single" w:color="auto" w:sz="12" w:space="0"/>
              <w:right w:val="single" w:color="auto" w:sz="8" w:space="0"/>
            </w:tcBorders>
            <w:shd w:val="clear" w:color="auto" w:fill="auto"/>
            <w:tcMar>
              <w:top w:w="10" w:type="dxa"/>
              <w:left w:w="10" w:type="dxa"/>
              <w:bottom w:w="0" w:type="dxa"/>
              <w:right w:w="10" w:type="dxa"/>
            </w:tcMar>
            <w:vAlign w:val="center"/>
          </w:tcPr>
          <w:p>
            <w:pPr>
              <w:widowControl/>
              <w:spacing w:line="240" w:lineRule="atLeast"/>
              <w:jc w:val="center"/>
            </w:pPr>
            <w:r>
              <w:rPr>
                <w:rFonts w:hint="eastAsia" w:ascii="宋体" w:hAnsi="宋体" w:eastAsia="宋体" w:cs="宋体"/>
                <w:kern w:val="0"/>
                <w:szCs w:val="21"/>
              </w:rPr>
              <w:t>重点支出</w:t>
            </w:r>
          </w:p>
          <w:p>
            <w:pPr>
              <w:widowControl/>
              <w:spacing w:line="240" w:lineRule="atLeast"/>
              <w:jc w:val="center"/>
            </w:pPr>
            <w:r>
              <w:rPr>
                <w:rFonts w:hint="eastAsia" w:ascii="宋体" w:hAnsi="宋体" w:eastAsia="宋体" w:cs="宋体"/>
                <w:kern w:val="0"/>
                <w:szCs w:val="21"/>
              </w:rPr>
              <w:t>安排率 （5分）</w:t>
            </w:r>
          </w:p>
        </w:tc>
        <w:tc>
          <w:tcPr>
            <w:tcW w:w="224" w:type="pct"/>
            <w:tcBorders>
              <w:top w:val="nil"/>
              <w:left w:val="single" w:color="auto" w:sz="8" w:space="0"/>
              <w:bottom w:val="single" w:color="auto" w:sz="12" w:space="0"/>
              <w:right w:val="single" w:color="auto" w:sz="8" w:space="0"/>
            </w:tcBorders>
            <w:shd w:val="clear" w:color="auto" w:fill="auto"/>
            <w:tcMar>
              <w:top w:w="0" w:type="dxa"/>
              <w:left w:w="0" w:type="dxa"/>
              <w:bottom w:w="0" w:type="dxa"/>
              <w:right w:w="0" w:type="dxa"/>
            </w:tcMar>
            <w:vAlign w:val="center"/>
          </w:tcPr>
          <w:p>
            <w:pPr>
              <w:widowControl/>
              <w:spacing w:line="240" w:lineRule="atLeast"/>
              <w:ind w:left="105" w:right="105" w:firstLine="96"/>
              <w:jc w:val="center"/>
            </w:pPr>
          </w:p>
          <w:p>
            <w:pPr>
              <w:widowControl/>
              <w:spacing w:line="240" w:lineRule="atLeast"/>
              <w:ind w:left="105" w:right="105" w:firstLine="96"/>
              <w:jc w:val="center"/>
            </w:pPr>
          </w:p>
          <w:p>
            <w:pPr>
              <w:widowControl/>
              <w:spacing w:line="240" w:lineRule="atLeast"/>
              <w:ind w:left="105" w:right="105" w:firstLine="96"/>
              <w:jc w:val="center"/>
            </w:pPr>
          </w:p>
          <w:p>
            <w:pPr>
              <w:widowControl/>
              <w:spacing w:line="240" w:lineRule="atLeast"/>
              <w:ind w:left="105" w:right="105" w:firstLine="96"/>
              <w:jc w:val="center"/>
            </w:pPr>
          </w:p>
          <w:p>
            <w:pPr>
              <w:widowControl/>
              <w:spacing w:line="240" w:lineRule="atLeast"/>
              <w:ind w:left="105" w:right="105" w:firstLine="96"/>
              <w:jc w:val="center"/>
            </w:pPr>
          </w:p>
          <w:p>
            <w:pPr>
              <w:widowControl/>
              <w:spacing w:line="240" w:lineRule="atLeast"/>
              <w:ind w:left="105" w:right="105" w:firstLine="96"/>
              <w:jc w:val="center"/>
            </w:pPr>
            <w:r>
              <w:rPr>
                <w:rFonts w:hint="eastAsia" w:ascii="宋体" w:hAnsi="宋体" w:eastAsia="宋体" w:cs="宋体"/>
                <w:kern w:val="0"/>
                <w:szCs w:val="21"/>
              </w:rPr>
              <w:t>5</w:t>
            </w:r>
          </w:p>
        </w:tc>
        <w:tc>
          <w:tcPr>
            <w:tcW w:w="1703" w:type="pct"/>
            <w:tcBorders>
              <w:top w:val="nil"/>
              <w:left w:val="single" w:color="auto" w:sz="8" w:space="0"/>
              <w:bottom w:val="single" w:color="auto" w:sz="12" w:space="0"/>
              <w:right w:val="single" w:color="auto" w:sz="8" w:space="0"/>
            </w:tcBorders>
            <w:shd w:val="clear" w:color="auto" w:fill="auto"/>
            <w:tcMar>
              <w:top w:w="10" w:type="dxa"/>
              <w:left w:w="10" w:type="dxa"/>
              <w:bottom w:w="0" w:type="dxa"/>
              <w:right w:w="10" w:type="dxa"/>
            </w:tcMar>
            <w:vAlign w:val="center"/>
          </w:tcPr>
          <w:p>
            <w:pPr>
              <w:widowControl/>
              <w:spacing w:line="240" w:lineRule="atLeast"/>
              <w:ind w:left="105" w:right="105" w:firstLine="96"/>
              <w:jc w:val="left"/>
            </w:pPr>
            <w:r>
              <w:rPr>
                <w:rFonts w:hint="eastAsia" w:ascii="宋体" w:hAnsi="宋体" w:eastAsia="宋体" w:cs="宋体"/>
                <w:kern w:val="0"/>
                <w:szCs w:val="21"/>
              </w:rPr>
              <w:t>部门本年度预算安排的重点预算支出与部门预算总支出的比率，用以反映和考核部门对履行主要职责或完成重点任务的保障程度。</w:t>
            </w:r>
          </w:p>
        </w:tc>
        <w:tc>
          <w:tcPr>
            <w:tcW w:w="1629" w:type="pct"/>
            <w:tcBorders>
              <w:top w:val="nil"/>
              <w:left w:val="single" w:color="auto" w:sz="8" w:space="0"/>
              <w:bottom w:val="single" w:color="auto" w:sz="12" w:space="0"/>
              <w:right w:val="single" w:color="auto" w:sz="8" w:space="0"/>
            </w:tcBorders>
            <w:shd w:val="clear" w:color="auto" w:fill="auto"/>
            <w:tcMar>
              <w:top w:w="10" w:type="dxa"/>
              <w:left w:w="10" w:type="dxa"/>
              <w:bottom w:w="0" w:type="dxa"/>
              <w:right w:w="10" w:type="dxa"/>
            </w:tcMar>
            <w:vAlign w:val="center"/>
          </w:tcPr>
          <w:p>
            <w:pPr>
              <w:widowControl/>
              <w:spacing w:line="240" w:lineRule="atLeast"/>
              <w:ind w:left="105" w:right="105"/>
              <w:jc w:val="left"/>
            </w:pPr>
            <w:r>
              <w:rPr>
                <w:rFonts w:hint="eastAsia" w:ascii="宋体" w:hAnsi="宋体" w:eastAsia="宋体" w:cs="宋体"/>
                <w:kern w:val="0"/>
                <w:szCs w:val="21"/>
              </w:rPr>
              <w:t>重点支出安排率=（重点预算支出/预算总支出）×100%。</w:t>
            </w:r>
          </w:p>
          <w:p>
            <w:pPr>
              <w:widowControl/>
              <w:spacing w:line="240" w:lineRule="atLeast"/>
              <w:ind w:left="105" w:right="105"/>
              <w:jc w:val="left"/>
            </w:pPr>
            <w:r>
              <w:rPr>
                <w:rFonts w:hint="eastAsia" w:ascii="宋体" w:hAnsi="宋体" w:eastAsia="宋体" w:cs="宋体"/>
                <w:kern w:val="0"/>
                <w:szCs w:val="21"/>
              </w:rPr>
              <w:t>重点预算支出：部门年度预算安排的，与本部门履职和发展密切相关、具有明显社会和经济影响、党委政府关心或社会比较关注的预算支出支出总额。</w:t>
            </w:r>
          </w:p>
          <w:p>
            <w:pPr>
              <w:widowControl/>
              <w:spacing w:line="240" w:lineRule="atLeast"/>
              <w:ind w:left="105" w:right="105"/>
              <w:jc w:val="left"/>
            </w:pPr>
            <w:r>
              <w:rPr>
                <w:rFonts w:hint="eastAsia" w:ascii="宋体" w:hAnsi="宋体" w:eastAsia="宋体" w:cs="宋体"/>
                <w:kern w:val="0"/>
                <w:szCs w:val="21"/>
              </w:rPr>
              <w:t>预算总支出：部门年度预算安排的预算支出支出总额。</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462" w:hRule="atLeast"/>
          <w:jc w:val="center"/>
        </w:trPr>
        <w:tc>
          <w:tcPr>
            <w:tcW w:w="481" w:type="pct"/>
            <w:vMerge w:val="restart"/>
            <w:tcBorders>
              <w:top w:val="single" w:color="auto" w:sz="12" w:space="0"/>
              <w:left w:val="single" w:color="auto" w:sz="12" w:space="0"/>
              <w:bottom w:val="single" w:color="auto" w:sz="12" w:space="0"/>
              <w:right w:val="single" w:color="auto" w:sz="12" w:space="0"/>
            </w:tcBorders>
            <w:shd w:val="clear" w:color="auto" w:fill="auto"/>
            <w:noWrap/>
            <w:tcMar>
              <w:top w:w="10" w:type="dxa"/>
              <w:left w:w="10" w:type="dxa"/>
              <w:bottom w:w="0" w:type="dxa"/>
              <w:right w:w="10" w:type="dxa"/>
            </w:tcMar>
            <w:vAlign w:val="center"/>
          </w:tcPr>
          <w:p>
            <w:pPr>
              <w:widowControl/>
              <w:spacing w:line="240" w:lineRule="atLeast"/>
              <w:jc w:val="center"/>
            </w:pPr>
            <w:r>
              <w:rPr>
                <w:rFonts w:hint="eastAsia" w:ascii="宋体" w:hAnsi="宋体" w:eastAsia="宋体" w:cs="宋体"/>
                <w:kern w:val="0"/>
                <w:szCs w:val="21"/>
              </w:rPr>
              <w:t>过程     （30分）</w:t>
            </w:r>
          </w:p>
        </w:tc>
        <w:tc>
          <w:tcPr>
            <w:tcW w:w="481" w:type="pct"/>
            <w:vMerge w:val="restart"/>
            <w:tcBorders>
              <w:top w:val="single" w:color="auto" w:sz="12" w:space="0"/>
              <w:left w:val="single" w:color="auto" w:sz="12" w:space="0"/>
              <w:bottom w:val="single" w:color="auto" w:sz="12" w:space="0"/>
              <w:right w:val="single" w:color="auto" w:sz="12" w:space="0"/>
            </w:tcBorders>
            <w:shd w:val="clear" w:color="auto" w:fill="auto"/>
            <w:tcMar>
              <w:top w:w="10" w:type="dxa"/>
              <w:left w:w="10" w:type="dxa"/>
              <w:bottom w:w="0" w:type="dxa"/>
              <w:right w:w="10" w:type="dxa"/>
            </w:tcMar>
            <w:vAlign w:val="center"/>
          </w:tcPr>
          <w:p>
            <w:pPr>
              <w:widowControl/>
              <w:spacing w:line="240" w:lineRule="atLeast"/>
              <w:jc w:val="center"/>
            </w:pPr>
            <w:r>
              <w:rPr>
                <w:rFonts w:hint="eastAsia" w:ascii="宋体" w:hAnsi="宋体" w:eastAsia="宋体" w:cs="宋体"/>
                <w:kern w:val="0"/>
                <w:szCs w:val="21"/>
              </w:rPr>
              <w:t>预算</w:t>
            </w:r>
          </w:p>
          <w:p>
            <w:pPr>
              <w:widowControl/>
              <w:spacing w:line="240" w:lineRule="atLeast"/>
              <w:jc w:val="center"/>
            </w:pPr>
            <w:r>
              <w:rPr>
                <w:rFonts w:hint="eastAsia" w:ascii="宋体" w:hAnsi="宋体" w:eastAsia="宋体" w:cs="宋体"/>
                <w:kern w:val="0"/>
                <w:szCs w:val="21"/>
              </w:rPr>
              <w:t>执行  （20分）</w:t>
            </w:r>
          </w:p>
        </w:tc>
        <w:tc>
          <w:tcPr>
            <w:tcW w:w="481" w:type="pct"/>
            <w:tcBorders>
              <w:top w:val="single" w:color="auto" w:sz="12" w:space="0"/>
              <w:left w:val="single" w:color="auto" w:sz="12" w:space="0"/>
              <w:bottom w:val="single" w:color="auto" w:sz="12" w:space="0"/>
              <w:right w:val="single" w:color="auto" w:sz="12" w:space="0"/>
            </w:tcBorders>
            <w:shd w:val="clear" w:color="auto" w:fill="auto"/>
            <w:tcMar>
              <w:top w:w="10" w:type="dxa"/>
              <w:left w:w="10" w:type="dxa"/>
              <w:bottom w:w="0" w:type="dxa"/>
              <w:right w:w="10" w:type="dxa"/>
            </w:tcMar>
            <w:vAlign w:val="center"/>
          </w:tcPr>
          <w:p>
            <w:pPr>
              <w:widowControl/>
              <w:spacing w:line="240" w:lineRule="atLeast"/>
              <w:jc w:val="center"/>
            </w:pPr>
            <w:r>
              <w:rPr>
                <w:rFonts w:hint="eastAsia" w:ascii="宋体" w:hAnsi="宋体" w:eastAsia="宋体" w:cs="宋体"/>
                <w:kern w:val="0"/>
                <w:szCs w:val="21"/>
              </w:rPr>
              <w:t>预算</w:t>
            </w:r>
          </w:p>
          <w:p>
            <w:pPr>
              <w:widowControl/>
              <w:spacing w:line="240" w:lineRule="atLeast"/>
              <w:jc w:val="center"/>
            </w:pPr>
            <w:r>
              <w:rPr>
                <w:rFonts w:hint="eastAsia" w:ascii="宋体" w:hAnsi="宋体" w:eastAsia="宋体" w:cs="宋体"/>
                <w:kern w:val="0"/>
                <w:szCs w:val="21"/>
              </w:rPr>
              <w:t>执行率 （4分）</w:t>
            </w:r>
          </w:p>
        </w:tc>
        <w:tc>
          <w:tcPr>
            <w:tcW w:w="224" w:type="pct"/>
            <w:tcBorders>
              <w:top w:val="single" w:color="auto" w:sz="12" w:space="0"/>
              <w:left w:val="single" w:color="auto" w:sz="12" w:space="0"/>
              <w:bottom w:val="single" w:color="auto" w:sz="12" w:space="0"/>
              <w:right w:val="single" w:color="auto" w:sz="12" w:space="0"/>
            </w:tcBorders>
            <w:shd w:val="clear" w:color="auto" w:fill="auto"/>
            <w:tcMar>
              <w:top w:w="0" w:type="dxa"/>
              <w:left w:w="0" w:type="dxa"/>
              <w:bottom w:w="0" w:type="dxa"/>
              <w:right w:w="0" w:type="dxa"/>
            </w:tcMar>
            <w:vAlign w:val="center"/>
          </w:tcPr>
          <w:p>
            <w:pPr>
              <w:widowControl/>
              <w:spacing w:line="240" w:lineRule="atLeast"/>
              <w:ind w:left="105" w:right="105" w:firstLine="96"/>
              <w:jc w:val="center"/>
            </w:pPr>
          </w:p>
          <w:p>
            <w:pPr>
              <w:widowControl/>
              <w:spacing w:line="240" w:lineRule="atLeast"/>
              <w:ind w:left="105" w:right="105" w:firstLine="96"/>
              <w:jc w:val="center"/>
            </w:pPr>
          </w:p>
          <w:p>
            <w:pPr>
              <w:widowControl/>
              <w:spacing w:line="240" w:lineRule="atLeast"/>
              <w:ind w:left="105" w:right="105" w:firstLine="96"/>
              <w:jc w:val="center"/>
            </w:pPr>
          </w:p>
          <w:p>
            <w:pPr>
              <w:widowControl/>
              <w:spacing w:line="240" w:lineRule="atLeast"/>
              <w:ind w:left="105" w:right="105" w:firstLine="96"/>
              <w:jc w:val="center"/>
            </w:pPr>
            <w:r>
              <w:rPr>
                <w:rFonts w:hint="eastAsia" w:ascii="宋体" w:hAnsi="宋体" w:eastAsia="宋体" w:cs="宋体"/>
                <w:kern w:val="0"/>
                <w:szCs w:val="21"/>
              </w:rPr>
              <w:t>3</w:t>
            </w:r>
          </w:p>
        </w:tc>
        <w:tc>
          <w:tcPr>
            <w:tcW w:w="1703" w:type="pct"/>
            <w:tcBorders>
              <w:top w:val="single" w:color="auto" w:sz="12" w:space="0"/>
              <w:left w:val="single" w:color="auto" w:sz="12" w:space="0"/>
              <w:bottom w:val="single" w:color="auto" w:sz="12" w:space="0"/>
              <w:right w:val="single" w:color="auto" w:sz="12" w:space="0"/>
            </w:tcBorders>
            <w:shd w:val="clear" w:color="auto" w:fill="auto"/>
            <w:tcMar>
              <w:top w:w="10" w:type="dxa"/>
              <w:left w:w="10" w:type="dxa"/>
              <w:bottom w:w="0" w:type="dxa"/>
              <w:right w:w="10" w:type="dxa"/>
            </w:tcMar>
            <w:vAlign w:val="center"/>
          </w:tcPr>
          <w:p>
            <w:pPr>
              <w:widowControl/>
              <w:spacing w:line="240" w:lineRule="atLeast"/>
              <w:ind w:left="105" w:right="105" w:firstLine="96"/>
              <w:jc w:val="left"/>
            </w:pPr>
            <w:r>
              <w:rPr>
                <w:rFonts w:hint="eastAsia" w:ascii="宋体" w:hAnsi="宋体" w:eastAsia="宋体" w:cs="宋体"/>
                <w:kern w:val="0"/>
                <w:szCs w:val="21"/>
              </w:rPr>
              <w:t>部门本年度预算完成数与预算数的比率，用以反映和考核部门预算完成程度。</w:t>
            </w:r>
          </w:p>
        </w:tc>
        <w:tc>
          <w:tcPr>
            <w:tcW w:w="1629" w:type="pct"/>
            <w:tcBorders>
              <w:top w:val="single" w:color="auto" w:sz="12" w:space="0"/>
              <w:left w:val="single" w:color="auto" w:sz="12" w:space="0"/>
              <w:bottom w:val="single" w:color="auto" w:sz="12" w:space="0"/>
              <w:right w:val="single" w:color="auto" w:sz="12" w:space="0"/>
            </w:tcBorders>
            <w:shd w:val="clear" w:color="auto" w:fill="auto"/>
            <w:tcMar>
              <w:top w:w="10" w:type="dxa"/>
              <w:left w:w="10" w:type="dxa"/>
              <w:bottom w:w="0" w:type="dxa"/>
              <w:right w:w="10" w:type="dxa"/>
            </w:tcMar>
            <w:vAlign w:val="center"/>
          </w:tcPr>
          <w:p>
            <w:pPr>
              <w:widowControl/>
              <w:spacing w:line="240" w:lineRule="atLeast"/>
              <w:ind w:left="105" w:right="105"/>
              <w:jc w:val="left"/>
            </w:pPr>
            <w:r>
              <w:rPr>
                <w:rFonts w:hint="eastAsia" w:ascii="宋体" w:hAnsi="宋体" w:eastAsia="宋体" w:cs="宋体"/>
                <w:kern w:val="0"/>
                <w:szCs w:val="21"/>
              </w:rPr>
              <w:t>预算执行率=（预算执行数/预算数）×100%。</w:t>
            </w:r>
          </w:p>
          <w:p>
            <w:pPr>
              <w:widowControl/>
              <w:spacing w:line="240" w:lineRule="atLeast"/>
              <w:ind w:left="105" w:right="105"/>
              <w:jc w:val="left"/>
            </w:pPr>
            <w:r>
              <w:rPr>
                <w:rFonts w:hint="eastAsia" w:ascii="宋体" w:hAnsi="宋体" w:eastAsia="宋体" w:cs="宋体"/>
                <w:kern w:val="0"/>
                <w:szCs w:val="21"/>
              </w:rPr>
              <w:t>预算执行数：部门本年度实际完成的预算数。</w:t>
            </w:r>
          </w:p>
          <w:p>
            <w:pPr>
              <w:widowControl/>
              <w:spacing w:line="240" w:lineRule="atLeast"/>
              <w:ind w:left="105" w:right="105"/>
              <w:jc w:val="left"/>
            </w:pPr>
            <w:r>
              <w:rPr>
                <w:rFonts w:hint="eastAsia" w:ascii="宋体" w:hAnsi="宋体" w:eastAsia="宋体" w:cs="宋体"/>
                <w:kern w:val="0"/>
                <w:szCs w:val="21"/>
              </w:rPr>
              <w:t>预算数：财政部门批复的本年度部门预算数。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824" w:hRule="atLeast"/>
          <w:jc w:val="center"/>
        </w:trPr>
        <w:tc>
          <w:tcPr>
            <w:tcW w:w="481" w:type="pct"/>
            <w:vMerge w:val="continue"/>
            <w:tcBorders>
              <w:top w:val="single" w:color="auto" w:sz="12" w:space="0"/>
              <w:left w:val="single" w:color="auto" w:sz="12" w:space="0"/>
              <w:bottom w:val="single" w:color="auto" w:sz="12" w:space="0"/>
              <w:right w:val="single" w:color="auto" w:sz="12" w:space="0"/>
            </w:tcBorders>
            <w:shd w:val="clear" w:color="auto" w:fill="auto"/>
            <w:noWrap/>
            <w:tcMar>
              <w:top w:w="10" w:type="dxa"/>
              <w:left w:w="10" w:type="dxa"/>
              <w:bottom w:w="0" w:type="dxa"/>
              <w:right w:w="10" w:type="dxa"/>
            </w:tcMar>
            <w:vAlign w:val="center"/>
          </w:tcPr>
          <w:p>
            <w:pPr>
              <w:jc w:val="center"/>
              <w:rPr>
                <w:rFonts w:ascii="宋体"/>
                <w:sz w:val="24"/>
                <w:szCs w:val="24"/>
              </w:rPr>
            </w:pPr>
          </w:p>
        </w:tc>
        <w:tc>
          <w:tcPr>
            <w:tcW w:w="481" w:type="pct"/>
            <w:vMerge w:val="continue"/>
            <w:tcBorders>
              <w:top w:val="single" w:color="auto" w:sz="12" w:space="0"/>
              <w:left w:val="single" w:color="auto" w:sz="12" w:space="0"/>
              <w:bottom w:val="single" w:color="auto" w:sz="12" w:space="0"/>
              <w:right w:val="single" w:color="auto" w:sz="12" w:space="0"/>
            </w:tcBorders>
            <w:shd w:val="clear" w:color="auto" w:fill="auto"/>
            <w:tcMar>
              <w:top w:w="10" w:type="dxa"/>
              <w:left w:w="10" w:type="dxa"/>
              <w:bottom w:w="0" w:type="dxa"/>
              <w:right w:w="10" w:type="dxa"/>
            </w:tcMar>
            <w:vAlign w:val="center"/>
          </w:tcPr>
          <w:p>
            <w:pPr>
              <w:jc w:val="center"/>
              <w:rPr>
                <w:rFonts w:ascii="宋体"/>
                <w:sz w:val="24"/>
                <w:szCs w:val="24"/>
              </w:rPr>
            </w:pPr>
          </w:p>
        </w:tc>
        <w:tc>
          <w:tcPr>
            <w:tcW w:w="481" w:type="pct"/>
            <w:tcBorders>
              <w:top w:val="single" w:color="auto" w:sz="12" w:space="0"/>
              <w:left w:val="single" w:color="auto" w:sz="12" w:space="0"/>
              <w:bottom w:val="single" w:color="auto" w:sz="12" w:space="0"/>
              <w:right w:val="single" w:color="auto" w:sz="12" w:space="0"/>
            </w:tcBorders>
            <w:shd w:val="clear" w:color="auto" w:fill="auto"/>
            <w:tcMar>
              <w:top w:w="10" w:type="dxa"/>
              <w:left w:w="10" w:type="dxa"/>
              <w:bottom w:w="0" w:type="dxa"/>
              <w:right w:w="10" w:type="dxa"/>
            </w:tcMar>
            <w:vAlign w:val="center"/>
          </w:tcPr>
          <w:p>
            <w:pPr>
              <w:widowControl/>
              <w:spacing w:line="240" w:lineRule="atLeast"/>
              <w:jc w:val="center"/>
            </w:pPr>
            <w:r>
              <w:rPr>
                <w:rFonts w:hint="eastAsia" w:ascii="宋体" w:hAnsi="宋体" w:eastAsia="宋体" w:cs="宋体"/>
                <w:kern w:val="0"/>
                <w:szCs w:val="21"/>
              </w:rPr>
              <w:t>预算</w:t>
            </w:r>
          </w:p>
          <w:p>
            <w:pPr>
              <w:widowControl/>
              <w:spacing w:line="240" w:lineRule="atLeast"/>
              <w:jc w:val="center"/>
            </w:pPr>
            <w:r>
              <w:rPr>
                <w:rFonts w:hint="eastAsia" w:ascii="宋体" w:hAnsi="宋体" w:eastAsia="宋体" w:cs="宋体"/>
                <w:kern w:val="0"/>
                <w:szCs w:val="21"/>
              </w:rPr>
              <w:t>调整率 （2分）</w:t>
            </w:r>
          </w:p>
        </w:tc>
        <w:tc>
          <w:tcPr>
            <w:tcW w:w="224" w:type="pct"/>
            <w:tcBorders>
              <w:top w:val="single" w:color="auto" w:sz="12" w:space="0"/>
              <w:left w:val="single" w:color="auto" w:sz="12" w:space="0"/>
              <w:bottom w:val="single" w:color="auto" w:sz="12" w:space="0"/>
              <w:right w:val="single" w:color="auto" w:sz="12" w:space="0"/>
            </w:tcBorders>
            <w:shd w:val="clear" w:color="auto" w:fill="auto"/>
            <w:tcMar>
              <w:top w:w="0" w:type="dxa"/>
              <w:left w:w="0" w:type="dxa"/>
              <w:bottom w:w="0" w:type="dxa"/>
              <w:right w:w="0" w:type="dxa"/>
            </w:tcMar>
            <w:vAlign w:val="center"/>
          </w:tcPr>
          <w:p>
            <w:pPr>
              <w:widowControl/>
              <w:spacing w:line="240" w:lineRule="atLeast"/>
              <w:ind w:left="105" w:right="105" w:firstLine="96"/>
              <w:jc w:val="center"/>
            </w:pPr>
          </w:p>
          <w:p>
            <w:pPr>
              <w:widowControl/>
              <w:spacing w:line="240" w:lineRule="atLeast"/>
              <w:ind w:left="105" w:right="105" w:firstLine="96"/>
              <w:jc w:val="center"/>
            </w:pPr>
          </w:p>
          <w:p>
            <w:pPr>
              <w:widowControl/>
              <w:spacing w:line="240" w:lineRule="atLeast"/>
              <w:ind w:left="105" w:right="105" w:firstLine="96"/>
              <w:jc w:val="center"/>
            </w:pPr>
          </w:p>
          <w:p>
            <w:pPr>
              <w:widowControl/>
              <w:spacing w:line="240" w:lineRule="atLeast"/>
              <w:ind w:left="105" w:right="105" w:firstLine="96"/>
              <w:jc w:val="center"/>
            </w:pPr>
            <w:r>
              <w:rPr>
                <w:rFonts w:hint="eastAsia" w:ascii="宋体" w:hAnsi="宋体" w:eastAsia="宋体" w:cs="宋体"/>
                <w:kern w:val="0"/>
                <w:szCs w:val="21"/>
              </w:rPr>
              <w:t>2</w:t>
            </w:r>
          </w:p>
        </w:tc>
        <w:tc>
          <w:tcPr>
            <w:tcW w:w="1703" w:type="pct"/>
            <w:tcBorders>
              <w:top w:val="single" w:color="auto" w:sz="12" w:space="0"/>
              <w:left w:val="single" w:color="auto" w:sz="12" w:space="0"/>
              <w:bottom w:val="single" w:color="auto" w:sz="12" w:space="0"/>
              <w:right w:val="single" w:color="auto" w:sz="12" w:space="0"/>
            </w:tcBorders>
            <w:shd w:val="clear" w:color="auto" w:fill="auto"/>
            <w:tcMar>
              <w:top w:w="10" w:type="dxa"/>
              <w:left w:w="10" w:type="dxa"/>
              <w:bottom w:w="0" w:type="dxa"/>
              <w:right w:w="10" w:type="dxa"/>
            </w:tcMar>
            <w:vAlign w:val="center"/>
          </w:tcPr>
          <w:p>
            <w:pPr>
              <w:widowControl/>
              <w:spacing w:line="240" w:lineRule="atLeast"/>
              <w:ind w:left="105" w:right="105" w:firstLine="96"/>
              <w:jc w:val="left"/>
            </w:pPr>
            <w:r>
              <w:rPr>
                <w:rFonts w:hint="eastAsia" w:ascii="宋体" w:hAnsi="宋体" w:eastAsia="宋体" w:cs="宋体"/>
                <w:kern w:val="0"/>
                <w:szCs w:val="21"/>
              </w:rPr>
              <w:t>部门本年度预算调整数与预算数的比率，用以反映和考核部门预算的调整程度。</w:t>
            </w:r>
          </w:p>
        </w:tc>
        <w:tc>
          <w:tcPr>
            <w:tcW w:w="1629" w:type="pct"/>
            <w:tcBorders>
              <w:top w:val="single" w:color="auto" w:sz="12" w:space="0"/>
              <w:left w:val="single" w:color="auto" w:sz="12" w:space="0"/>
              <w:bottom w:val="single" w:color="auto" w:sz="12" w:space="0"/>
              <w:right w:val="single" w:color="auto" w:sz="12" w:space="0"/>
            </w:tcBorders>
            <w:shd w:val="clear" w:color="auto" w:fill="auto"/>
            <w:tcMar>
              <w:top w:w="10" w:type="dxa"/>
              <w:left w:w="10" w:type="dxa"/>
              <w:bottom w:w="0" w:type="dxa"/>
              <w:right w:w="10" w:type="dxa"/>
            </w:tcMar>
            <w:vAlign w:val="center"/>
          </w:tcPr>
          <w:p>
            <w:pPr>
              <w:widowControl/>
              <w:spacing w:line="240" w:lineRule="atLeast"/>
              <w:ind w:left="105" w:right="105"/>
              <w:jc w:val="left"/>
            </w:pPr>
            <w:r>
              <w:rPr>
                <w:rFonts w:hint="eastAsia" w:ascii="宋体" w:hAnsi="宋体" w:eastAsia="宋体" w:cs="宋体"/>
                <w:kern w:val="0"/>
                <w:szCs w:val="21"/>
              </w:rPr>
              <w:t>预算调整率=（预算调整数/预算数）×100%。</w:t>
            </w:r>
          </w:p>
          <w:p>
            <w:pPr>
              <w:widowControl/>
              <w:spacing w:line="240" w:lineRule="atLeast"/>
              <w:ind w:left="105" w:right="105"/>
              <w:jc w:val="left"/>
            </w:pPr>
            <w:r>
              <w:rPr>
                <w:rFonts w:hint="eastAsia" w:ascii="宋体" w:hAnsi="宋体" w:eastAsia="宋体" w:cs="宋体"/>
                <w:kern w:val="0"/>
                <w:szCs w:val="21"/>
              </w:rPr>
              <w:t>预算调整数：部门在本年度内涉及预算的追加、追减或结构调整的资金总和（因落实国家政策、发生不可抗力、上级部门或本级党委政府临时交办而产生的调整除外）。</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531" w:hRule="atLeast"/>
          <w:jc w:val="center"/>
        </w:trPr>
        <w:tc>
          <w:tcPr>
            <w:tcW w:w="481" w:type="pct"/>
            <w:vMerge w:val="continue"/>
            <w:tcBorders>
              <w:top w:val="single" w:color="auto" w:sz="12" w:space="0"/>
              <w:left w:val="single" w:color="auto" w:sz="12" w:space="0"/>
              <w:bottom w:val="single" w:color="auto" w:sz="12" w:space="0"/>
              <w:right w:val="single" w:color="auto" w:sz="12" w:space="0"/>
            </w:tcBorders>
            <w:shd w:val="clear" w:color="auto" w:fill="auto"/>
            <w:noWrap/>
            <w:tcMar>
              <w:top w:w="10" w:type="dxa"/>
              <w:left w:w="10" w:type="dxa"/>
              <w:bottom w:w="0" w:type="dxa"/>
              <w:right w:w="10" w:type="dxa"/>
            </w:tcMar>
            <w:vAlign w:val="center"/>
          </w:tcPr>
          <w:p>
            <w:pPr>
              <w:jc w:val="center"/>
              <w:rPr>
                <w:rFonts w:ascii="宋体"/>
                <w:sz w:val="24"/>
                <w:szCs w:val="24"/>
              </w:rPr>
            </w:pPr>
          </w:p>
        </w:tc>
        <w:tc>
          <w:tcPr>
            <w:tcW w:w="481" w:type="pct"/>
            <w:vMerge w:val="continue"/>
            <w:tcBorders>
              <w:top w:val="single" w:color="auto" w:sz="12" w:space="0"/>
              <w:left w:val="single" w:color="auto" w:sz="12" w:space="0"/>
              <w:bottom w:val="single" w:color="auto" w:sz="12" w:space="0"/>
              <w:right w:val="single" w:color="auto" w:sz="12" w:space="0"/>
            </w:tcBorders>
            <w:shd w:val="clear" w:color="auto" w:fill="auto"/>
            <w:tcMar>
              <w:top w:w="10" w:type="dxa"/>
              <w:left w:w="10" w:type="dxa"/>
              <w:bottom w:w="0" w:type="dxa"/>
              <w:right w:w="10" w:type="dxa"/>
            </w:tcMar>
            <w:vAlign w:val="center"/>
          </w:tcPr>
          <w:p>
            <w:pPr>
              <w:jc w:val="center"/>
              <w:rPr>
                <w:rFonts w:ascii="宋体"/>
                <w:sz w:val="24"/>
                <w:szCs w:val="24"/>
              </w:rPr>
            </w:pPr>
          </w:p>
        </w:tc>
        <w:tc>
          <w:tcPr>
            <w:tcW w:w="481" w:type="pct"/>
            <w:tcBorders>
              <w:top w:val="single" w:color="auto" w:sz="12" w:space="0"/>
              <w:left w:val="single" w:color="auto" w:sz="12" w:space="0"/>
              <w:bottom w:val="single" w:color="auto" w:sz="12" w:space="0"/>
              <w:right w:val="single" w:color="auto" w:sz="12" w:space="0"/>
            </w:tcBorders>
            <w:shd w:val="clear" w:color="auto" w:fill="auto"/>
            <w:tcMar>
              <w:top w:w="10" w:type="dxa"/>
              <w:left w:w="10" w:type="dxa"/>
              <w:bottom w:w="0" w:type="dxa"/>
              <w:right w:w="10" w:type="dxa"/>
            </w:tcMar>
            <w:vAlign w:val="center"/>
          </w:tcPr>
          <w:p>
            <w:pPr>
              <w:widowControl/>
              <w:spacing w:line="240" w:lineRule="atLeast"/>
              <w:jc w:val="center"/>
            </w:pPr>
            <w:r>
              <w:rPr>
                <w:rFonts w:hint="eastAsia" w:ascii="宋体" w:hAnsi="宋体" w:eastAsia="宋体" w:cs="宋体"/>
                <w:kern w:val="0"/>
                <w:szCs w:val="21"/>
              </w:rPr>
              <w:t>支付</w:t>
            </w:r>
          </w:p>
          <w:p>
            <w:pPr>
              <w:widowControl/>
              <w:spacing w:line="240" w:lineRule="atLeast"/>
              <w:jc w:val="center"/>
            </w:pPr>
            <w:r>
              <w:rPr>
                <w:rFonts w:hint="eastAsia" w:ascii="宋体" w:hAnsi="宋体" w:eastAsia="宋体" w:cs="宋体"/>
                <w:kern w:val="0"/>
                <w:szCs w:val="21"/>
              </w:rPr>
              <w:t>进度率 （2分）</w:t>
            </w:r>
          </w:p>
        </w:tc>
        <w:tc>
          <w:tcPr>
            <w:tcW w:w="224" w:type="pct"/>
            <w:tcBorders>
              <w:top w:val="single" w:color="auto" w:sz="12" w:space="0"/>
              <w:left w:val="single" w:color="auto" w:sz="12" w:space="0"/>
              <w:bottom w:val="single" w:color="auto" w:sz="12" w:space="0"/>
              <w:right w:val="single" w:color="auto" w:sz="12" w:space="0"/>
            </w:tcBorders>
            <w:shd w:val="clear" w:color="auto" w:fill="auto"/>
            <w:tcMar>
              <w:top w:w="0" w:type="dxa"/>
              <w:left w:w="0" w:type="dxa"/>
              <w:bottom w:w="0" w:type="dxa"/>
              <w:right w:w="0" w:type="dxa"/>
            </w:tcMar>
            <w:vAlign w:val="center"/>
          </w:tcPr>
          <w:p>
            <w:pPr>
              <w:widowControl/>
              <w:spacing w:line="240" w:lineRule="atLeast"/>
              <w:ind w:left="105" w:right="105" w:firstLine="96"/>
              <w:jc w:val="center"/>
            </w:pPr>
          </w:p>
          <w:p>
            <w:pPr>
              <w:widowControl/>
              <w:spacing w:line="240" w:lineRule="atLeast"/>
              <w:ind w:left="105" w:right="105" w:firstLine="96"/>
              <w:jc w:val="center"/>
            </w:pPr>
          </w:p>
          <w:p>
            <w:pPr>
              <w:widowControl/>
              <w:spacing w:line="240" w:lineRule="atLeast"/>
              <w:ind w:left="105" w:right="105" w:firstLine="96"/>
              <w:jc w:val="center"/>
            </w:pPr>
          </w:p>
          <w:p>
            <w:pPr>
              <w:widowControl/>
              <w:spacing w:line="240" w:lineRule="atLeast"/>
              <w:ind w:left="105" w:right="105" w:firstLine="96"/>
              <w:jc w:val="center"/>
            </w:pPr>
          </w:p>
          <w:p>
            <w:pPr>
              <w:widowControl/>
              <w:spacing w:line="240" w:lineRule="atLeast"/>
              <w:ind w:left="105" w:right="105" w:firstLine="96"/>
              <w:jc w:val="center"/>
            </w:pPr>
            <w:r>
              <w:rPr>
                <w:rFonts w:hint="eastAsia" w:ascii="宋体" w:hAnsi="宋体" w:eastAsia="宋体" w:cs="宋体"/>
                <w:kern w:val="0"/>
                <w:szCs w:val="21"/>
              </w:rPr>
              <w:t>2</w:t>
            </w:r>
          </w:p>
        </w:tc>
        <w:tc>
          <w:tcPr>
            <w:tcW w:w="1703" w:type="pct"/>
            <w:tcBorders>
              <w:top w:val="single" w:color="auto" w:sz="12" w:space="0"/>
              <w:left w:val="single" w:color="auto" w:sz="12" w:space="0"/>
              <w:bottom w:val="single" w:color="auto" w:sz="12" w:space="0"/>
              <w:right w:val="single" w:color="auto" w:sz="12" w:space="0"/>
            </w:tcBorders>
            <w:shd w:val="clear" w:color="auto" w:fill="auto"/>
            <w:tcMar>
              <w:top w:w="10" w:type="dxa"/>
              <w:left w:w="10" w:type="dxa"/>
              <w:bottom w:w="0" w:type="dxa"/>
              <w:right w:w="10" w:type="dxa"/>
            </w:tcMar>
            <w:vAlign w:val="center"/>
          </w:tcPr>
          <w:p>
            <w:pPr>
              <w:widowControl/>
              <w:spacing w:line="240" w:lineRule="atLeast"/>
              <w:ind w:left="105" w:right="105" w:firstLine="96"/>
              <w:jc w:val="left"/>
            </w:pPr>
            <w:r>
              <w:rPr>
                <w:rFonts w:hint="eastAsia" w:ascii="宋体" w:hAnsi="宋体" w:eastAsia="宋体" w:cs="宋体"/>
                <w:kern w:val="0"/>
                <w:szCs w:val="21"/>
              </w:rPr>
              <w:t>部门实际支付进度与既定支付进度的比率，用以反映和考核部门预算执行的及时性和均衡性程度。</w:t>
            </w:r>
          </w:p>
        </w:tc>
        <w:tc>
          <w:tcPr>
            <w:tcW w:w="1629" w:type="pct"/>
            <w:tcBorders>
              <w:top w:val="single" w:color="auto" w:sz="12" w:space="0"/>
              <w:left w:val="single" w:color="auto" w:sz="12" w:space="0"/>
              <w:bottom w:val="single" w:color="auto" w:sz="12" w:space="0"/>
              <w:right w:val="single" w:color="auto" w:sz="12" w:space="0"/>
            </w:tcBorders>
            <w:shd w:val="clear" w:color="auto" w:fill="auto"/>
            <w:tcMar>
              <w:top w:w="10" w:type="dxa"/>
              <w:left w:w="10" w:type="dxa"/>
              <w:bottom w:w="0" w:type="dxa"/>
              <w:right w:w="10" w:type="dxa"/>
            </w:tcMar>
            <w:vAlign w:val="center"/>
          </w:tcPr>
          <w:p>
            <w:pPr>
              <w:widowControl/>
              <w:spacing w:line="240" w:lineRule="atLeast"/>
              <w:ind w:left="105" w:right="105"/>
              <w:jc w:val="left"/>
            </w:pPr>
            <w:r>
              <w:rPr>
                <w:rFonts w:hint="eastAsia" w:ascii="宋体" w:hAnsi="宋体" w:eastAsia="宋体" w:cs="宋体"/>
                <w:kern w:val="0"/>
                <w:szCs w:val="21"/>
              </w:rPr>
              <w:t>支付进度率=（实际支付进度/既定支付进度）×100%。</w:t>
            </w:r>
          </w:p>
          <w:p>
            <w:pPr>
              <w:widowControl/>
              <w:spacing w:line="240" w:lineRule="atLeast"/>
              <w:ind w:left="105" w:right="105"/>
              <w:jc w:val="left"/>
            </w:pPr>
            <w:r>
              <w:rPr>
                <w:rFonts w:hint="eastAsia" w:ascii="宋体" w:hAnsi="宋体" w:eastAsia="宋体" w:cs="宋体"/>
                <w:kern w:val="0"/>
                <w:szCs w:val="21"/>
              </w:rPr>
              <w:t>实际支付进度：部门在某一时点的支出预算执行总数与年度支出预算数的比率。</w:t>
            </w:r>
          </w:p>
          <w:p>
            <w:pPr>
              <w:widowControl/>
              <w:spacing w:line="240" w:lineRule="atLeast"/>
              <w:ind w:left="105" w:right="105"/>
              <w:jc w:val="left"/>
            </w:pPr>
            <w:r>
              <w:rPr>
                <w:rFonts w:hint="eastAsia" w:ascii="宋体" w:hAnsi="宋体" w:eastAsia="宋体" w:cs="宋体"/>
                <w:kern w:val="0"/>
                <w:szCs w:val="21"/>
              </w:rPr>
              <w:t>既定支付进度：由部门在申报部门整体绩效目标时，参照序时支付进度、前三年支付进度、本级部门平均支付进度水平等确定的，在某一时点应达到的支付进度（比率）。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209" w:hRule="atLeast"/>
          <w:jc w:val="center"/>
        </w:trPr>
        <w:tc>
          <w:tcPr>
            <w:tcW w:w="481" w:type="pct"/>
            <w:vMerge w:val="continue"/>
            <w:tcBorders>
              <w:top w:val="single" w:color="auto" w:sz="12" w:space="0"/>
              <w:left w:val="single" w:color="auto" w:sz="12" w:space="0"/>
              <w:bottom w:val="single" w:color="auto" w:sz="12" w:space="0"/>
              <w:right w:val="single" w:color="auto" w:sz="12" w:space="0"/>
            </w:tcBorders>
            <w:shd w:val="clear" w:color="auto" w:fill="auto"/>
            <w:noWrap/>
            <w:tcMar>
              <w:top w:w="10" w:type="dxa"/>
              <w:left w:w="10" w:type="dxa"/>
              <w:bottom w:w="0" w:type="dxa"/>
              <w:right w:w="10" w:type="dxa"/>
            </w:tcMar>
            <w:vAlign w:val="center"/>
          </w:tcPr>
          <w:p>
            <w:pPr>
              <w:jc w:val="center"/>
              <w:rPr>
                <w:rFonts w:ascii="宋体"/>
                <w:sz w:val="24"/>
                <w:szCs w:val="24"/>
              </w:rPr>
            </w:pPr>
          </w:p>
        </w:tc>
        <w:tc>
          <w:tcPr>
            <w:tcW w:w="481" w:type="pct"/>
            <w:vMerge w:val="continue"/>
            <w:tcBorders>
              <w:top w:val="single" w:color="auto" w:sz="12" w:space="0"/>
              <w:left w:val="single" w:color="auto" w:sz="12" w:space="0"/>
              <w:bottom w:val="single" w:color="auto" w:sz="12" w:space="0"/>
              <w:right w:val="single" w:color="auto" w:sz="12" w:space="0"/>
            </w:tcBorders>
            <w:shd w:val="clear" w:color="auto" w:fill="auto"/>
            <w:tcMar>
              <w:top w:w="10" w:type="dxa"/>
              <w:left w:w="10" w:type="dxa"/>
              <w:bottom w:w="0" w:type="dxa"/>
              <w:right w:w="10" w:type="dxa"/>
            </w:tcMar>
            <w:vAlign w:val="center"/>
          </w:tcPr>
          <w:p>
            <w:pPr>
              <w:jc w:val="center"/>
              <w:rPr>
                <w:rFonts w:ascii="宋体"/>
                <w:sz w:val="24"/>
                <w:szCs w:val="24"/>
              </w:rPr>
            </w:pPr>
          </w:p>
        </w:tc>
        <w:tc>
          <w:tcPr>
            <w:tcW w:w="481" w:type="pct"/>
            <w:tcBorders>
              <w:top w:val="single" w:color="auto" w:sz="12" w:space="0"/>
              <w:left w:val="single" w:color="auto" w:sz="12" w:space="0"/>
              <w:bottom w:val="single" w:color="auto" w:sz="12" w:space="0"/>
              <w:right w:val="single" w:color="auto" w:sz="12" w:space="0"/>
            </w:tcBorders>
            <w:shd w:val="clear" w:color="auto" w:fill="auto"/>
            <w:tcMar>
              <w:top w:w="10" w:type="dxa"/>
              <w:left w:w="10" w:type="dxa"/>
              <w:bottom w:w="0" w:type="dxa"/>
              <w:right w:w="10" w:type="dxa"/>
            </w:tcMar>
            <w:vAlign w:val="center"/>
          </w:tcPr>
          <w:p>
            <w:pPr>
              <w:widowControl/>
              <w:spacing w:line="240" w:lineRule="atLeast"/>
              <w:jc w:val="center"/>
            </w:pPr>
            <w:r>
              <w:rPr>
                <w:rFonts w:hint="eastAsia" w:ascii="宋体" w:hAnsi="宋体" w:eastAsia="宋体" w:cs="宋体"/>
                <w:kern w:val="0"/>
                <w:szCs w:val="21"/>
              </w:rPr>
              <w:t>结转</w:t>
            </w:r>
          </w:p>
          <w:p>
            <w:pPr>
              <w:widowControl/>
              <w:spacing w:line="240" w:lineRule="atLeast"/>
              <w:jc w:val="center"/>
            </w:pPr>
            <w:r>
              <w:rPr>
                <w:rFonts w:hint="eastAsia" w:ascii="宋体" w:hAnsi="宋体" w:eastAsia="宋体" w:cs="宋体"/>
                <w:kern w:val="0"/>
                <w:szCs w:val="21"/>
              </w:rPr>
              <w:t>结余率 （2分）</w:t>
            </w:r>
          </w:p>
        </w:tc>
        <w:tc>
          <w:tcPr>
            <w:tcW w:w="224" w:type="pct"/>
            <w:tcBorders>
              <w:top w:val="single" w:color="auto" w:sz="12" w:space="0"/>
              <w:left w:val="single" w:color="auto" w:sz="12" w:space="0"/>
              <w:bottom w:val="single" w:color="auto" w:sz="12" w:space="0"/>
              <w:right w:val="single" w:color="auto" w:sz="12" w:space="0"/>
            </w:tcBorders>
            <w:shd w:val="clear" w:color="auto" w:fill="auto"/>
            <w:tcMar>
              <w:top w:w="0" w:type="dxa"/>
              <w:left w:w="0" w:type="dxa"/>
              <w:bottom w:w="0" w:type="dxa"/>
              <w:right w:w="0" w:type="dxa"/>
            </w:tcMar>
            <w:vAlign w:val="center"/>
          </w:tcPr>
          <w:p>
            <w:pPr>
              <w:widowControl/>
              <w:spacing w:line="240" w:lineRule="atLeast"/>
              <w:ind w:left="105" w:right="105" w:firstLine="96"/>
              <w:jc w:val="center"/>
            </w:pPr>
          </w:p>
          <w:p>
            <w:pPr>
              <w:widowControl/>
              <w:spacing w:line="240" w:lineRule="atLeast"/>
              <w:ind w:left="105" w:right="105" w:firstLine="96"/>
              <w:jc w:val="center"/>
            </w:pPr>
          </w:p>
          <w:p>
            <w:pPr>
              <w:widowControl/>
              <w:spacing w:line="240" w:lineRule="atLeast"/>
              <w:ind w:left="105" w:right="105" w:firstLine="96"/>
              <w:jc w:val="center"/>
            </w:pPr>
            <w:r>
              <w:rPr>
                <w:rFonts w:hint="eastAsia" w:ascii="宋体" w:hAnsi="宋体" w:eastAsia="宋体" w:cs="宋体"/>
                <w:kern w:val="0"/>
                <w:szCs w:val="21"/>
              </w:rPr>
              <w:t>2</w:t>
            </w:r>
          </w:p>
        </w:tc>
        <w:tc>
          <w:tcPr>
            <w:tcW w:w="1703" w:type="pct"/>
            <w:tcBorders>
              <w:top w:val="single" w:color="auto" w:sz="12" w:space="0"/>
              <w:left w:val="single" w:color="auto" w:sz="12" w:space="0"/>
              <w:bottom w:val="single" w:color="auto" w:sz="12" w:space="0"/>
              <w:right w:val="single" w:color="auto" w:sz="12" w:space="0"/>
            </w:tcBorders>
            <w:shd w:val="clear" w:color="auto" w:fill="auto"/>
            <w:tcMar>
              <w:top w:w="10" w:type="dxa"/>
              <w:left w:w="10" w:type="dxa"/>
              <w:bottom w:w="0" w:type="dxa"/>
              <w:right w:w="10" w:type="dxa"/>
            </w:tcMar>
            <w:vAlign w:val="center"/>
          </w:tcPr>
          <w:p>
            <w:pPr>
              <w:widowControl/>
              <w:spacing w:line="240" w:lineRule="atLeast"/>
              <w:ind w:left="105" w:right="105" w:firstLine="96"/>
              <w:jc w:val="left"/>
            </w:pPr>
            <w:r>
              <w:rPr>
                <w:rFonts w:hint="eastAsia" w:ascii="宋体" w:hAnsi="宋体" w:eastAsia="宋体" w:cs="宋体"/>
                <w:kern w:val="0"/>
                <w:szCs w:val="21"/>
              </w:rPr>
              <w:t>部门本年度结转结余总额与支出预算数的比率，用以反映和考核部门对本年度结转结余资金的实际控制程度。</w:t>
            </w:r>
          </w:p>
        </w:tc>
        <w:tc>
          <w:tcPr>
            <w:tcW w:w="1629" w:type="pct"/>
            <w:tcBorders>
              <w:top w:val="single" w:color="auto" w:sz="12" w:space="0"/>
              <w:left w:val="single" w:color="auto" w:sz="12" w:space="0"/>
              <w:bottom w:val="single" w:color="auto" w:sz="12" w:space="0"/>
              <w:right w:val="single" w:color="auto" w:sz="12" w:space="0"/>
            </w:tcBorders>
            <w:shd w:val="clear" w:color="auto" w:fill="auto"/>
            <w:tcMar>
              <w:top w:w="10" w:type="dxa"/>
              <w:left w:w="10" w:type="dxa"/>
              <w:bottom w:w="0" w:type="dxa"/>
              <w:right w:w="10" w:type="dxa"/>
            </w:tcMar>
            <w:vAlign w:val="center"/>
          </w:tcPr>
          <w:p>
            <w:pPr>
              <w:widowControl/>
              <w:spacing w:line="240" w:lineRule="atLeast"/>
              <w:ind w:left="105" w:right="105"/>
              <w:jc w:val="left"/>
            </w:pPr>
            <w:r>
              <w:rPr>
                <w:rFonts w:hint="eastAsia" w:ascii="宋体" w:hAnsi="宋体" w:eastAsia="宋体" w:cs="宋体"/>
                <w:kern w:val="0"/>
                <w:szCs w:val="21"/>
              </w:rPr>
              <w:t>结转结余率=结转结余总额/支出预算数×100%。</w:t>
            </w:r>
          </w:p>
          <w:p>
            <w:pPr>
              <w:widowControl/>
              <w:spacing w:line="240" w:lineRule="atLeast"/>
              <w:ind w:left="105" w:right="105"/>
              <w:jc w:val="left"/>
            </w:pPr>
            <w:r>
              <w:rPr>
                <w:rFonts w:hint="eastAsia" w:ascii="宋体" w:hAnsi="宋体" w:eastAsia="宋体" w:cs="宋体"/>
                <w:kern w:val="0"/>
                <w:szCs w:val="21"/>
              </w:rPr>
              <w:t>结转结余总额：部门本年度的结转资金与结余资金之和（以决算数为准）。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113" w:hRule="atLeast"/>
          <w:jc w:val="center"/>
        </w:trPr>
        <w:tc>
          <w:tcPr>
            <w:tcW w:w="481" w:type="pct"/>
            <w:vMerge w:val="continue"/>
            <w:tcBorders>
              <w:top w:val="single" w:color="auto" w:sz="12" w:space="0"/>
              <w:left w:val="single" w:color="auto" w:sz="12" w:space="0"/>
              <w:bottom w:val="single" w:color="auto" w:sz="12" w:space="0"/>
              <w:right w:val="single" w:color="auto" w:sz="12" w:space="0"/>
            </w:tcBorders>
            <w:shd w:val="clear" w:color="auto" w:fill="auto"/>
            <w:noWrap/>
            <w:tcMar>
              <w:top w:w="10" w:type="dxa"/>
              <w:left w:w="10" w:type="dxa"/>
              <w:bottom w:w="0" w:type="dxa"/>
              <w:right w:w="10" w:type="dxa"/>
            </w:tcMar>
            <w:vAlign w:val="center"/>
          </w:tcPr>
          <w:p>
            <w:pPr>
              <w:jc w:val="center"/>
              <w:rPr>
                <w:rFonts w:ascii="宋体"/>
                <w:sz w:val="24"/>
                <w:szCs w:val="24"/>
              </w:rPr>
            </w:pPr>
          </w:p>
        </w:tc>
        <w:tc>
          <w:tcPr>
            <w:tcW w:w="481" w:type="pct"/>
            <w:vMerge w:val="continue"/>
            <w:tcBorders>
              <w:top w:val="single" w:color="auto" w:sz="12" w:space="0"/>
              <w:left w:val="single" w:color="auto" w:sz="12" w:space="0"/>
              <w:bottom w:val="single" w:color="auto" w:sz="12" w:space="0"/>
              <w:right w:val="single" w:color="auto" w:sz="12" w:space="0"/>
            </w:tcBorders>
            <w:shd w:val="clear" w:color="auto" w:fill="auto"/>
            <w:tcMar>
              <w:top w:w="10" w:type="dxa"/>
              <w:left w:w="10" w:type="dxa"/>
              <w:bottom w:w="0" w:type="dxa"/>
              <w:right w:w="10" w:type="dxa"/>
            </w:tcMar>
            <w:vAlign w:val="center"/>
          </w:tcPr>
          <w:p>
            <w:pPr>
              <w:jc w:val="center"/>
              <w:rPr>
                <w:rFonts w:ascii="宋体"/>
                <w:sz w:val="24"/>
                <w:szCs w:val="24"/>
              </w:rPr>
            </w:pPr>
          </w:p>
        </w:tc>
        <w:tc>
          <w:tcPr>
            <w:tcW w:w="481" w:type="pct"/>
            <w:tcBorders>
              <w:top w:val="single" w:color="auto" w:sz="12" w:space="0"/>
              <w:left w:val="single" w:color="auto" w:sz="12" w:space="0"/>
              <w:bottom w:val="single" w:color="auto" w:sz="12" w:space="0"/>
              <w:right w:val="single" w:color="auto" w:sz="12" w:space="0"/>
            </w:tcBorders>
            <w:shd w:val="clear" w:color="auto" w:fill="auto"/>
            <w:tcMar>
              <w:top w:w="10" w:type="dxa"/>
              <w:left w:w="10" w:type="dxa"/>
              <w:bottom w:w="0" w:type="dxa"/>
              <w:right w:w="10" w:type="dxa"/>
            </w:tcMar>
            <w:vAlign w:val="center"/>
          </w:tcPr>
          <w:p>
            <w:pPr>
              <w:widowControl/>
              <w:spacing w:line="240" w:lineRule="atLeast"/>
              <w:jc w:val="center"/>
            </w:pPr>
            <w:r>
              <w:rPr>
                <w:rFonts w:hint="eastAsia" w:ascii="宋体" w:hAnsi="宋体" w:eastAsia="宋体" w:cs="宋体"/>
                <w:kern w:val="0"/>
                <w:szCs w:val="21"/>
              </w:rPr>
              <w:t>结转结余</w:t>
            </w:r>
          </w:p>
          <w:p>
            <w:pPr>
              <w:widowControl/>
              <w:spacing w:line="240" w:lineRule="atLeast"/>
              <w:jc w:val="center"/>
            </w:pPr>
            <w:r>
              <w:rPr>
                <w:rFonts w:hint="eastAsia" w:ascii="宋体" w:hAnsi="宋体" w:eastAsia="宋体" w:cs="宋体"/>
                <w:kern w:val="0"/>
                <w:szCs w:val="21"/>
              </w:rPr>
              <w:t>变动率 （2分）</w:t>
            </w:r>
          </w:p>
        </w:tc>
        <w:tc>
          <w:tcPr>
            <w:tcW w:w="224" w:type="pct"/>
            <w:tcBorders>
              <w:top w:val="single" w:color="auto" w:sz="12" w:space="0"/>
              <w:left w:val="single" w:color="auto" w:sz="12" w:space="0"/>
              <w:bottom w:val="single" w:color="auto" w:sz="12" w:space="0"/>
              <w:right w:val="single" w:color="auto" w:sz="12" w:space="0"/>
            </w:tcBorders>
            <w:shd w:val="clear" w:color="auto" w:fill="auto"/>
            <w:tcMar>
              <w:top w:w="0" w:type="dxa"/>
              <w:left w:w="0" w:type="dxa"/>
              <w:bottom w:w="0" w:type="dxa"/>
              <w:right w:w="0" w:type="dxa"/>
            </w:tcMar>
            <w:vAlign w:val="center"/>
          </w:tcPr>
          <w:p>
            <w:pPr>
              <w:widowControl/>
              <w:spacing w:line="240" w:lineRule="atLeast"/>
              <w:ind w:left="105" w:right="105" w:firstLine="96"/>
              <w:jc w:val="center"/>
            </w:pPr>
          </w:p>
          <w:p>
            <w:pPr>
              <w:widowControl/>
              <w:spacing w:line="240" w:lineRule="atLeast"/>
              <w:ind w:left="105" w:right="105" w:firstLine="96"/>
              <w:jc w:val="center"/>
            </w:pPr>
          </w:p>
          <w:p>
            <w:pPr>
              <w:widowControl/>
              <w:spacing w:line="240" w:lineRule="atLeast"/>
              <w:ind w:left="105" w:right="105" w:firstLine="96"/>
              <w:jc w:val="center"/>
            </w:pPr>
            <w:r>
              <w:rPr>
                <w:rFonts w:hint="eastAsia" w:ascii="宋体" w:hAnsi="宋体" w:eastAsia="宋体" w:cs="宋体"/>
                <w:kern w:val="0"/>
                <w:szCs w:val="21"/>
              </w:rPr>
              <w:t>1</w:t>
            </w:r>
          </w:p>
        </w:tc>
        <w:tc>
          <w:tcPr>
            <w:tcW w:w="1703" w:type="pct"/>
            <w:tcBorders>
              <w:top w:val="single" w:color="auto" w:sz="12" w:space="0"/>
              <w:left w:val="single" w:color="auto" w:sz="12" w:space="0"/>
              <w:bottom w:val="single" w:color="auto" w:sz="12" w:space="0"/>
              <w:right w:val="single" w:color="auto" w:sz="12" w:space="0"/>
            </w:tcBorders>
            <w:shd w:val="clear" w:color="auto" w:fill="auto"/>
            <w:tcMar>
              <w:top w:w="10" w:type="dxa"/>
              <w:left w:w="10" w:type="dxa"/>
              <w:bottom w:w="0" w:type="dxa"/>
              <w:right w:w="10" w:type="dxa"/>
            </w:tcMar>
            <w:vAlign w:val="center"/>
          </w:tcPr>
          <w:p>
            <w:pPr>
              <w:widowControl/>
              <w:spacing w:line="240" w:lineRule="atLeast"/>
              <w:ind w:left="105" w:right="105" w:firstLine="96"/>
              <w:jc w:val="left"/>
            </w:pPr>
            <w:r>
              <w:rPr>
                <w:rFonts w:hint="eastAsia" w:ascii="宋体" w:hAnsi="宋体" w:eastAsia="宋体" w:cs="宋体"/>
                <w:kern w:val="0"/>
                <w:szCs w:val="21"/>
              </w:rPr>
              <w:t>部门本年度结转结余资金总额与上年度结转结余资金总额的变动比率，用以反映和考核部门对控制结转结余资金的努力程度。</w:t>
            </w:r>
          </w:p>
        </w:tc>
        <w:tc>
          <w:tcPr>
            <w:tcW w:w="1629" w:type="pct"/>
            <w:tcBorders>
              <w:top w:val="single" w:color="auto" w:sz="12" w:space="0"/>
              <w:left w:val="single" w:color="auto" w:sz="12" w:space="0"/>
              <w:bottom w:val="single" w:color="auto" w:sz="12" w:space="0"/>
              <w:right w:val="single" w:color="auto" w:sz="12" w:space="0"/>
            </w:tcBorders>
            <w:shd w:val="clear" w:color="auto" w:fill="auto"/>
            <w:tcMar>
              <w:top w:w="10" w:type="dxa"/>
              <w:left w:w="10" w:type="dxa"/>
              <w:bottom w:w="0" w:type="dxa"/>
              <w:right w:w="10" w:type="dxa"/>
            </w:tcMar>
            <w:vAlign w:val="center"/>
          </w:tcPr>
          <w:p>
            <w:pPr>
              <w:widowControl/>
              <w:spacing w:line="240" w:lineRule="atLeast"/>
              <w:ind w:left="105" w:right="105"/>
              <w:jc w:val="left"/>
            </w:pPr>
            <w:r>
              <w:rPr>
                <w:rFonts w:hint="eastAsia" w:ascii="宋体" w:hAnsi="宋体" w:eastAsia="宋体" w:cs="宋体"/>
                <w:kern w:val="0"/>
                <w:szCs w:val="21"/>
              </w:rPr>
              <w:t>结转结余变动率=[（本年度累计结转结余资金总额-上年度累计结转结余资金总额）/上年度累计结转结余资金总额]×100%。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315" w:hRule="atLeast"/>
          <w:jc w:val="center"/>
        </w:trPr>
        <w:tc>
          <w:tcPr>
            <w:tcW w:w="481" w:type="pct"/>
            <w:vMerge w:val="continue"/>
            <w:tcBorders>
              <w:top w:val="single" w:color="auto" w:sz="12" w:space="0"/>
              <w:left w:val="single" w:color="auto" w:sz="12" w:space="0"/>
              <w:bottom w:val="single" w:color="auto" w:sz="12" w:space="0"/>
              <w:right w:val="single" w:color="auto" w:sz="12" w:space="0"/>
            </w:tcBorders>
            <w:shd w:val="clear" w:color="auto" w:fill="auto"/>
            <w:noWrap/>
            <w:tcMar>
              <w:top w:w="10" w:type="dxa"/>
              <w:left w:w="10" w:type="dxa"/>
              <w:bottom w:w="0" w:type="dxa"/>
              <w:right w:w="10" w:type="dxa"/>
            </w:tcMar>
            <w:vAlign w:val="center"/>
          </w:tcPr>
          <w:p>
            <w:pPr>
              <w:jc w:val="center"/>
              <w:rPr>
                <w:rFonts w:ascii="宋体"/>
                <w:sz w:val="24"/>
                <w:szCs w:val="24"/>
              </w:rPr>
            </w:pPr>
          </w:p>
        </w:tc>
        <w:tc>
          <w:tcPr>
            <w:tcW w:w="481" w:type="pct"/>
            <w:vMerge w:val="continue"/>
            <w:tcBorders>
              <w:top w:val="single" w:color="auto" w:sz="12" w:space="0"/>
              <w:left w:val="single" w:color="auto" w:sz="12" w:space="0"/>
              <w:bottom w:val="single" w:color="auto" w:sz="12" w:space="0"/>
              <w:right w:val="single" w:color="auto" w:sz="12" w:space="0"/>
            </w:tcBorders>
            <w:shd w:val="clear" w:color="auto" w:fill="auto"/>
            <w:tcMar>
              <w:top w:w="10" w:type="dxa"/>
              <w:left w:w="10" w:type="dxa"/>
              <w:bottom w:w="0" w:type="dxa"/>
              <w:right w:w="10" w:type="dxa"/>
            </w:tcMar>
            <w:vAlign w:val="center"/>
          </w:tcPr>
          <w:p>
            <w:pPr>
              <w:jc w:val="center"/>
              <w:rPr>
                <w:rFonts w:ascii="宋体"/>
                <w:sz w:val="24"/>
                <w:szCs w:val="24"/>
              </w:rPr>
            </w:pPr>
          </w:p>
        </w:tc>
        <w:tc>
          <w:tcPr>
            <w:tcW w:w="481" w:type="pct"/>
            <w:tcBorders>
              <w:top w:val="single" w:color="auto" w:sz="12" w:space="0"/>
              <w:left w:val="single" w:color="auto" w:sz="12" w:space="0"/>
              <w:bottom w:val="single" w:color="auto" w:sz="12" w:space="0"/>
              <w:right w:val="single" w:color="auto" w:sz="12" w:space="0"/>
            </w:tcBorders>
            <w:shd w:val="clear" w:color="auto" w:fill="auto"/>
            <w:tcMar>
              <w:top w:w="10" w:type="dxa"/>
              <w:left w:w="10" w:type="dxa"/>
              <w:bottom w:w="0" w:type="dxa"/>
              <w:right w:w="10" w:type="dxa"/>
            </w:tcMar>
            <w:vAlign w:val="center"/>
          </w:tcPr>
          <w:p>
            <w:pPr>
              <w:widowControl/>
              <w:spacing w:line="240" w:lineRule="atLeast"/>
              <w:jc w:val="center"/>
            </w:pPr>
            <w:r>
              <w:rPr>
                <w:rFonts w:hint="eastAsia" w:ascii="宋体" w:hAnsi="宋体" w:eastAsia="宋体" w:cs="宋体"/>
                <w:kern w:val="0"/>
                <w:szCs w:val="21"/>
              </w:rPr>
              <w:t>公用经费</w:t>
            </w:r>
          </w:p>
          <w:p>
            <w:pPr>
              <w:widowControl/>
              <w:spacing w:line="240" w:lineRule="atLeast"/>
              <w:jc w:val="center"/>
            </w:pPr>
            <w:r>
              <w:rPr>
                <w:rFonts w:hint="eastAsia" w:ascii="宋体" w:hAnsi="宋体" w:eastAsia="宋体" w:cs="宋体"/>
                <w:kern w:val="0"/>
                <w:szCs w:val="21"/>
              </w:rPr>
              <w:t>控制率 （2分）</w:t>
            </w:r>
          </w:p>
        </w:tc>
        <w:tc>
          <w:tcPr>
            <w:tcW w:w="224" w:type="pct"/>
            <w:tcBorders>
              <w:top w:val="single" w:color="auto" w:sz="12" w:space="0"/>
              <w:left w:val="single" w:color="auto" w:sz="12" w:space="0"/>
              <w:bottom w:val="single" w:color="auto" w:sz="12" w:space="0"/>
              <w:right w:val="single" w:color="auto" w:sz="12" w:space="0"/>
            </w:tcBorders>
            <w:shd w:val="clear" w:color="auto" w:fill="auto"/>
            <w:tcMar>
              <w:top w:w="0" w:type="dxa"/>
              <w:left w:w="0" w:type="dxa"/>
              <w:bottom w:w="0" w:type="dxa"/>
              <w:right w:w="0" w:type="dxa"/>
            </w:tcMar>
            <w:vAlign w:val="center"/>
          </w:tcPr>
          <w:p>
            <w:pPr>
              <w:widowControl/>
              <w:spacing w:line="240" w:lineRule="atLeast"/>
              <w:ind w:left="105" w:right="105" w:firstLine="96"/>
              <w:jc w:val="center"/>
            </w:pPr>
          </w:p>
          <w:p>
            <w:pPr>
              <w:widowControl/>
              <w:spacing w:line="240" w:lineRule="atLeast"/>
              <w:ind w:left="105" w:right="105" w:firstLine="96"/>
              <w:jc w:val="center"/>
            </w:pPr>
          </w:p>
          <w:p>
            <w:pPr>
              <w:widowControl/>
              <w:spacing w:line="240" w:lineRule="atLeast"/>
              <w:ind w:left="105" w:right="105" w:firstLine="96"/>
              <w:jc w:val="center"/>
            </w:pPr>
            <w:r>
              <w:rPr>
                <w:rFonts w:hint="eastAsia" w:ascii="宋体" w:hAnsi="宋体" w:eastAsia="宋体" w:cs="宋体"/>
                <w:kern w:val="0"/>
                <w:szCs w:val="21"/>
              </w:rPr>
              <w:t>2</w:t>
            </w:r>
          </w:p>
        </w:tc>
        <w:tc>
          <w:tcPr>
            <w:tcW w:w="1703" w:type="pct"/>
            <w:tcBorders>
              <w:top w:val="single" w:color="auto" w:sz="12" w:space="0"/>
              <w:left w:val="single" w:color="auto" w:sz="12" w:space="0"/>
              <w:bottom w:val="single" w:color="auto" w:sz="12" w:space="0"/>
              <w:right w:val="single" w:color="auto" w:sz="12" w:space="0"/>
            </w:tcBorders>
            <w:shd w:val="clear" w:color="auto" w:fill="auto"/>
            <w:tcMar>
              <w:top w:w="10" w:type="dxa"/>
              <w:left w:w="10" w:type="dxa"/>
              <w:bottom w:w="0" w:type="dxa"/>
              <w:right w:w="10" w:type="dxa"/>
            </w:tcMar>
            <w:vAlign w:val="center"/>
          </w:tcPr>
          <w:p>
            <w:pPr>
              <w:widowControl/>
              <w:spacing w:line="240" w:lineRule="atLeast"/>
              <w:ind w:left="105" w:right="105" w:firstLine="96"/>
              <w:jc w:val="left"/>
            </w:pPr>
            <w:r>
              <w:rPr>
                <w:rFonts w:hint="eastAsia" w:ascii="宋体" w:hAnsi="宋体" w:eastAsia="宋体" w:cs="宋体"/>
                <w:kern w:val="0"/>
                <w:szCs w:val="21"/>
              </w:rPr>
              <w:t>部门本年度实际支出的公用经费总额与预算安排的公用经费总额的比率，用以反映和考核部门对机构运转成本的实际控制程度。</w:t>
            </w:r>
          </w:p>
        </w:tc>
        <w:tc>
          <w:tcPr>
            <w:tcW w:w="1629" w:type="pct"/>
            <w:tcBorders>
              <w:top w:val="single" w:color="auto" w:sz="12" w:space="0"/>
              <w:left w:val="single" w:color="auto" w:sz="12" w:space="0"/>
              <w:bottom w:val="single" w:color="auto" w:sz="12" w:space="0"/>
              <w:right w:val="single" w:color="auto" w:sz="12" w:space="0"/>
            </w:tcBorders>
            <w:shd w:val="clear" w:color="auto" w:fill="auto"/>
            <w:tcMar>
              <w:top w:w="10" w:type="dxa"/>
              <w:left w:w="10" w:type="dxa"/>
              <w:bottom w:w="0" w:type="dxa"/>
              <w:right w:w="10" w:type="dxa"/>
            </w:tcMar>
            <w:vAlign w:val="center"/>
          </w:tcPr>
          <w:p>
            <w:pPr>
              <w:widowControl/>
              <w:spacing w:line="240" w:lineRule="atLeast"/>
              <w:ind w:left="105" w:right="105"/>
              <w:jc w:val="left"/>
            </w:pPr>
            <w:r>
              <w:rPr>
                <w:rFonts w:hint="eastAsia" w:ascii="宋体" w:hAnsi="宋体" w:eastAsia="宋体" w:cs="宋体"/>
                <w:kern w:val="0"/>
                <w:szCs w:val="21"/>
              </w:rPr>
              <w:t>公用经费控制率=（实际支出公用经费总额/预算安排公用经费总额）×100%。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018" w:hRule="atLeast"/>
          <w:jc w:val="center"/>
        </w:trPr>
        <w:tc>
          <w:tcPr>
            <w:tcW w:w="481" w:type="pct"/>
            <w:vMerge w:val="continue"/>
            <w:tcBorders>
              <w:top w:val="single" w:color="auto" w:sz="12" w:space="0"/>
              <w:left w:val="single" w:color="auto" w:sz="12" w:space="0"/>
              <w:bottom w:val="single" w:color="auto" w:sz="12" w:space="0"/>
              <w:right w:val="single" w:color="auto" w:sz="12" w:space="0"/>
            </w:tcBorders>
            <w:shd w:val="clear" w:color="auto" w:fill="auto"/>
            <w:noWrap/>
            <w:tcMar>
              <w:top w:w="10" w:type="dxa"/>
              <w:left w:w="10" w:type="dxa"/>
              <w:bottom w:w="0" w:type="dxa"/>
              <w:right w:w="10" w:type="dxa"/>
            </w:tcMar>
            <w:vAlign w:val="center"/>
          </w:tcPr>
          <w:p>
            <w:pPr>
              <w:jc w:val="center"/>
              <w:rPr>
                <w:rFonts w:ascii="宋体"/>
                <w:sz w:val="24"/>
                <w:szCs w:val="24"/>
              </w:rPr>
            </w:pPr>
          </w:p>
        </w:tc>
        <w:tc>
          <w:tcPr>
            <w:tcW w:w="481" w:type="pct"/>
            <w:vMerge w:val="continue"/>
            <w:tcBorders>
              <w:top w:val="single" w:color="auto" w:sz="12" w:space="0"/>
              <w:left w:val="single" w:color="auto" w:sz="12" w:space="0"/>
              <w:bottom w:val="single" w:color="auto" w:sz="12" w:space="0"/>
              <w:right w:val="single" w:color="auto" w:sz="12" w:space="0"/>
            </w:tcBorders>
            <w:shd w:val="clear" w:color="auto" w:fill="auto"/>
            <w:tcMar>
              <w:top w:w="10" w:type="dxa"/>
              <w:left w:w="10" w:type="dxa"/>
              <w:bottom w:w="0" w:type="dxa"/>
              <w:right w:w="10" w:type="dxa"/>
            </w:tcMar>
            <w:vAlign w:val="center"/>
          </w:tcPr>
          <w:p>
            <w:pPr>
              <w:jc w:val="center"/>
              <w:rPr>
                <w:rFonts w:ascii="宋体"/>
                <w:sz w:val="24"/>
                <w:szCs w:val="24"/>
              </w:rPr>
            </w:pPr>
          </w:p>
        </w:tc>
        <w:tc>
          <w:tcPr>
            <w:tcW w:w="481" w:type="pct"/>
            <w:tcBorders>
              <w:top w:val="single" w:color="auto" w:sz="12" w:space="0"/>
              <w:left w:val="single" w:color="auto" w:sz="12" w:space="0"/>
              <w:bottom w:val="single" w:color="auto" w:sz="12" w:space="0"/>
              <w:right w:val="single" w:color="auto" w:sz="12" w:space="0"/>
            </w:tcBorders>
            <w:shd w:val="clear" w:color="auto" w:fill="auto"/>
            <w:tcMar>
              <w:top w:w="10" w:type="dxa"/>
              <w:left w:w="10" w:type="dxa"/>
              <w:bottom w:w="0" w:type="dxa"/>
              <w:right w:w="10" w:type="dxa"/>
            </w:tcMar>
            <w:vAlign w:val="center"/>
          </w:tcPr>
          <w:p>
            <w:pPr>
              <w:widowControl/>
              <w:spacing w:line="240" w:lineRule="atLeast"/>
              <w:jc w:val="center"/>
            </w:pPr>
            <w:r>
              <w:rPr>
                <w:rFonts w:hint="eastAsia" w:ascii="宋体" w:hAnsi="宋体" w:eastAsia="宋体" w:cs="宋体"/>
                <w:kern w:val="0"/>
                <w:szCs w:val="21"/>
              </w:rPr>
              <w:t>“三公经费”控制率（2分）</w:t>
            </w:r>
          </w:p>
        </w:tc>
        <w:tc>
          <w:tcPr>
            <w:tcW w:w="224" w:type="pct"/>
            <w:tcBorders>
              <w:top w:val="single" w:color="auto" w:sz="12" w:space="0"/>
              <w:left w:val="single" w:color="auto" w:sz="12" w:space="0"/>
              <w:bottom w:val="single" w:color="auto" w:sz="12" w:space="0"/>
              <w:right w:val="single" w:color="auto" w:sz="12" w:space="0"/>
            </w:tcBorders>
            <w:shd w:val="clear" w:color="auto" w:fill="auto"/>
            <w:tcMar>
              <w:top w:w="0" w:type="dxa"/>
              <w:left w:w="0" w:type="dxa"/>
              <w:bottom w:w="0" w:type="dxa"/>
              <w:right w:w="0" w:type="dxa"/>
            </w:tcMar>
            <w:vAlign w:val="center"/>
          </w:tcPr>
          <w:p>
            <w:pPr>
              <w:widowControl/>
              <w:spacing w:line="240" w:lineRule="atLeast"/>
              <w:ind w:left="105" w:right="105" w:firstLine="96"/>
              <w:jc w:val="center"/>
            </w:pPr>
          </w:p>
          <w:p>
            <w:pPr>
              <w:widowControl/>
              <w:spacing w:line="240" w:lineRule="atLeast"/>
              <w:ind w:left="105" w:right="105" w:firstLine="96"/>
              <w:jc w:val="center"/>
            </w:pPr>
          </w:p>
          <w:p>
            <w:pPr>
              <w:widowControl/>
              <w:spacing w:line="240" w:lineRule="atLeast"/>
              <w:ind w:left="105" w:right="105" w:firstLine="96"/>
              <w:jc w:val="center"/>
            </w:pPr>
            <w:r>
              <w:rPr>
                <w:rFonts w:hint="eastAsia" w:ascii="宋体" w:hAnsi="宋体" w:eastAsia="宋体" w:cs="宋体"/>
                <w:kern w:val="0"/>
                <w:szCs w:val="21"/>
              </w:rPr>
              <w:t>2</w:t>
            </w:r>
          </w:p>
        </w:tc>
        <w:tc>
          <w:tcPr>
            <w:tcW w:w="1703" w:type="pct"/>
            <w:tcBorders>
              <w:top w:val="single" w:color="auto" w:sz="12" w:space="0"/>
              <w:left w:val="single" w:color="auto" w:sz="12" w:space="0"/>
              <w:bottom w:val="single" w:color="auto" w:sz="12" w:space="0"/>
              <w:right w:val="single" w:color="auto" w:sz="12" w:space="0"/>
            </w:tcBorders>
            <w:shd w:val="clear" w:color="auto" w:fill="auto"/>
            <w:tcMar>
              <w:top w:w="10" w:type="dxa"/>
              <w:left w:w="10" w:type="dxa"/>
              <w:bottom w:w="0" w:type="dxa"/>
              <w:right w:w="10" w:type="dxa"/>
            </w:tcMar>
            <w:vAlign w:val="center"/>
          </w:tcPr>
          <w:p>
            <w:pPr>
              <w:widowControl/>
              <w:spacing w:line="240" w:lineRule="atLeast"/>
              <w:ind w:left="105" w:right="105" w:firstLine="96"/>
              <w:jc w:val="left"/>
            </w:pPr>
            <w:r>
              <w:rPr>
                <w:rFonts w:hint="eastAsia" w:ascii="宋体" w:hAnsi="宋体" w:eastAsia="宋体" w:cs="宋体"/>
                <w:kern w:val="0"/>
                <w:szCs w:val="21"/>
              </w:rPr>
              <w:t>部门本年度“三公经费”实际支出数与预算安排数的比率，用以反映和考核部门对“三公经费”的实际控制程度。</w:t>
            </w:r>
          </w:p>
        </w:tc>
        <w:tc>
          <w:tcPr>
            <w:tcW w:w="1629" w:type="pct"/>
            <w:tcBorders>
              <w:top w:val="single" w:color="auto" w:sz="12" w:space="0"/>
              <w:left w:val="single" w:color="auto" w:sz="12" w:space="0"/>
              <w:bottom w:val="single" w:color="auto" w:sz="12" w:space="0"/>
              <w:right w:val="single" w:color="auto" w:sz="12" w:space="0"/>
            </w:tcBorders>
            <w:shd w:val="clear" w:color="auto" w:fill="auto"/>
            <w:tcMar>
              <w:top w:w="10" w:type="dxa"/>
              <w:left w:w="10" w:type="dxa"/>
              <w:bottom w:w="0" w:type="dxa"/>
              <w:right w:w="10" w:type="dxa"/>
            </w:tcMar>
            <w:vAlign w:val="center"/>
          </w:tcPr>
          <w:p>
            <w:pPr>
              <w:widowControl/>
              <w:spacing w:line="240" w:lineRule="atLeast"/>
              <w:ind w:left="105" w:right="105"/>
              <w:jc w:val="left"/>
            </w:pPr>
            <w:r>
              <w:rPr>
                <w:rFonts w:hint="eastAsia" w:ascii="宋体" w:hAnsi="宋体" w:eastAsia="宋体" w:cs="宋体"/>
                <w:kern w:val="0"/>
                <w:szCs w:val="21"/>
              </w:rPr>
              <w:t>“三公经费”控制率=（“三公经费”实际支出数/“三公经费”预算安排数）×100%。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320" w:hRule="atLeast"/>
          <w:jc w:val="center"/>
        </w:trPr>
        <w:tc>
          <w:tcPr>
            <w:tcW w:w="481" w:type="pct"/>
            <w:vMerge w:val="continue"/>
            <w:tcBorders>
              <w:top w:val="single" w:color="auto" w:sz="12" w:space="0"/>
              <w:left w:val="single" w:color="auto" w:sz="12" w:space="0"/>
              <w:bottom w:val="single" w:color="000000" w:sz="12" w:space="0"/>
              <w:right w:val="single" w:color="auto" w:sz="12" w:space="0"/>
            </w:tcBorders>
            <w:shd w:val="clear" w:color="auto" w:fill="auto"/>
            <w:noWrap/>
            <w:tcMar>
              <w:top w:w="10" w:type="dxa"/>
              <w:left w:w="10" w:type="dxa"/>
              <w:bottom w:w="0" w:type="dxa"/>
              <w:right w:w="10" w:type="dxa"/>
            </w:tcMar>
            <w:vAlign w:val="center"/>
          </w:tcPr>
          <w:p>
            <w:pPr>
              <w:jc w:val="center"/>
              <w:rPr>
                <w:rFonts w:ascii="宋体"/>
                <w:sz w:val="24"/>
                <w:szCs w:val="24"/>
              </w:rPr>
            </w:pPr>
          </w:p>
        </w:tc>
        <w:tc>
          <w:tcPr>
            <w:tcW w:w="481" w:type="pct"/>
            <w:vMerge w:val="continue"/>
            <w:tcBorders>
              <w:top w:val="single" w:color="auto" w:sz="12" w:space="0"/>
              <w:left w:val="single" w:color="auto" w:sz="12" w:space="0"/>
              <w:bottom w:val="single" w:color="000000" w:sz="12" w:space="0"/>
              <w:right w:val="single" w:color="auto" w:sz="12" w:space="0"/>
            </w:tcBorders>
            <w:shd w:val="clear" w:color="auto" w:fill="auto"/>
            <w:tcMar>
              <w:top w:w="10" w:type="dxa"/>
              <w:left w:w="10" w:type="dxa"/>
              <w:bottom w:w="0" w:type="dxa"/>
              <w:right w:w="10" w:type="dxa"/>
            </w:tcMar>
            <w:vAlign w:val="center"/>
          </w:tcPr>
          <w:p>
            <w:pPr>
              <w:jc w:val="center"/>
              <w:rPr>
                <w:rFonts w:ascii="宋体"/>
                <w:sz w:val="24"/>
                <w:szCs w:val="24"/>
              </w:rPr>
            </w:pPr>
          </w:p>
        </w:tc>
        <w:tc>
          <w:tcPr>
            <w:tcW w:w="481" w:type="pct"/>
            <w:tcBorders>
              <w:top w:val="single" w:color="auto" w:sz="12" w:space="0"/>
              <w:left w:val="single" w:color="auto" w:sz="12" w:space="0"/>
              <w:bottom w:val="single" w:color="000000" w:sz="12" w:space="0"/>
              <w:right w:val="single" w:color="auto" w:sz="12" w:space="0"/>
            </w:tcBorders>
            <w:shd w:val="clear" w:color="auto" w:fill="auto"/>
            <w:tcMar>
              <w:top w:w="10" w:type="dxa"/>
              <w:left w:w="10" w:type="dxa"/>
              <w:bottom w:w="0" w:type="dxa"/>
              <w:right w:w="10" w:type="dxa"/>
            </w:tcMar>
            <w:vAlign w:val="center"/>
          </w:tcPr>
          <w:p>
            <w:pPr>
              <w:widowControl/>
              <w:spacing w:line="240" w:lineRule="atLeast"/>
              <w:jc w:val="center"/>
            </w:pPr>
            <w:r>
              <w:rPr>
                <w:rFonts w:hint="eastAsia" w:ascii="宋体" w:hAnsi="宋体" w:eastAsia="宋体" w:cs="宋体"/>
                <w:kern w:val="0"/>
                <w:szCs w:val="21"/>
              </w:rPr>
              <w:t>政府采购</w:t>
            </w:r>
          </w:p>
          <w:p>
            <w:pPr>
              <w:widowControl/>
              <w:spacing w:line="240" w:lineRule="atLeast"/>
              <w:jc w:val="center"/>
            </w:pPr>
            <w:r>
              <w:rPr>
                <w:rFonts w:hint="eastAsia" w:ascii="宋体" w:hAnsi="宋体" w:eastAsia="宋体" w:cs="宋体"/>
                <w:kern w:val="0"/>
                <w:szCs w:val="21"/>
              </w:rPr>
              <w:t>执行率 （4分）</w:t>
            </w:r>
          </w:p>
        </w:tc>
        <w:tc>
          <w:tcPr>
            <w:tcW w:w="224" w:type="pct"/>
            <w:tcBorders>
              <w:top w:val="single" w:color="auto" w:sz="12" w:space="0"/>
              <w:left w:val="single" w:color="auto" w:sz="12" w:space="0"/>
              <w:bottom w:val="single" w:color="000000" w:sz="12" w:space="0"/>
              <w:right w:val="single" w:color="auto" w:sz="12" w:space="0"/>
            </w:tcBorders>
            <w:shd w:val="clear" w:color="auto" w:fill="auto"/>
            <w:tcMar>
              <w:top w:w="0" w:type="dxa"/>
              <w:left w:w="0" w:type="dxa"/>
              <w:bottom w:w="0" w:type="dxa"/>
              <w:right w:w="0" w:type="dxa"/>
            </w:tcMar>
            <w:vAlign w:val="center"/>
          </w:tcPr>
          <w:p>
            <w:pPr>
              <w:widowControl/>
              <w:spacing w:line="240" w:lineRule="atLeast"/>
              <w:ind w:left="105" w:right="105" w:firstLine="96"/>
              <w:jc w:val="center"/>
            </w:pPr>
          </w:p>
          <w:p>
            <w:pPr>
              <w:widowControl/>
              <w:spacing w:line="240" w:lineRule="atLeast"/>
              <w:ind w:left="105" w:right="105" w:firstLine="96"/>
              <w:jc w:val="center"/>
            </w:pPr>
          </w:p>
          <w:p>
            <w:pPr>
              <w:widowControl/>
              <w:spacing w:line="240" w:lineRule="atLeast"/>
              <w:ind w:left="105" w:right="105" w:firstLine="96"/>
              <w:jc w:val="center"/>
            </w:pPr>
            <w:r>
              <w:rPr>
                <w:rFonts w:hint="eastAsia" w:ascii="宋体" w:hAnsi="宋体" w:eastAsia="宋体" w:cs="宋体"/>
                <w:kern w:val="0"/>
                <w:szCs w:val="21"/>
              </w:rPr>
              <w:t>4</w:t>
            </w:r>
          </w:p>
        </w:tc>
        <w:tc>
          <w:tcPr>
            <w:tcW w:w="1703" w:type="pct"/>
            <w:tcBorders>
              <w:top w:val="single" w:color="auto" w:sz="12" w:space="0"/>
              <w:left w:val="single" w:color="auto" w:sz="12" w:space="0"/>
              <w:bottom w:val="single" w:color="000000" w:sz="12" w:space="0"/>
              <w:right w:val="single" w:color="auto" w:sz="12" w:space="0"/>
            </w:tcBorders>
            <w:shd w:val="clear" w:color="auto" w:fill="auto"/>
            <w:tcMar>
              <w:top w:w="10" w:type="dxa"/>
              <w:left w:w="10" w:type="dxa"/>
              <w:bottom w:w="0" w:type="dxa"/>
              <w:right w:w="10" w:type="dxa"/>
            </w:tcMar>
            <w:vAlign w:val="center"/>
          </w:tcPr>
          <w:p>
            <w:pPr>
              <w:widowControl/>
              <w:spacing w:line="240" w:lineRule="atLeast"/>
              <w:ind w:left="105" w:right="105" w:firstLine="96"/>
              <w:jc w:val="left"/>
            </w:pPr>
            <w:r>
              <w:rPr>
                <w:rFonts w:hint="eastAsia" w:ascii="宋体" w:hAnsi="宋体" w:eastAsia="宋体" w:cs="宋体"/>
                <w:kern w:val="0"/>
                <w:szCs w:val="21"/>
              </w:rPr>
              <w:t>部门本年度实际政府采购金额与年初政府采购预算的比率，用以反映和考核部门政府采购预算执行情况。</w:t>
            </w:r>
          </w:p>
        </w:tc>
        <w:tc>
          <w:tcPr>
            <w:tcW w:w="1629" w:type="pct"/>
            <w:tcBorders>
              <w:top w:val="single" w:color="auto" w:sz="12" w:space="0"/>
              <w:left w:val="single" w:color="auto" w:sz="12" w:space="0"/>
              <w:bottom w:val="single" w:color="000000" w:sz="12" w:space="0"/>
              <w:right w:val="single" w:color="auto" w:sz="12" w:space="0"/>
            </w:tcBorders>
            <w:shd w:val="clear" w:color="auto" w:fill="auto"/>
            <w:tcMar>
              <w:top w:w="10" w:type="dxa"/>
              <w:left w:w="10" w:type="dxa"/>
              <w:bottom w:w="0" w:type="dxa"/>
              <w:right w:w="10" w:type="dxa"/>
            </w:tcMar>
            <w:vAlign w:val="center"/>
          </w:tcPr>
          <w:p>
            <w:pPr>
              <w:widowControl/>
              <w:spacing w:line="240" w:lineRule="atLeast"/>
              <w:ind w:left="105" w:right="105"/>
              <w:jc w:val="left"/>
            </w:pPr>
            <w:r>
              <w:rPr>
                <w:rFonts w:hint="eastAsia" w:ascii="宋体" w:hAnsi="宋体" w:eastAsia="宋体" w:cs="宋体"/>
                <w:kern w:val="0"/>
                <w:szCs w:val="21"/>
              </w:rPr>
              <w:t>政府采购执行率=（实际政府采购金额/政府采购预算数）×100%；</w:t>
            </w:r>
          </w:p>
          <w:p>
            <w:pPr>
              <w:widowControl/>
              <w:spacing w:line="240" w:lineRule="atLeast"/>
              <w:ind w:left="105" w:right="105"/>
              <w:jc w:val="left"/>
            </w:pPr>
            <w:r>
              <w:rPr>
                <w:rFonts w:hint="eastAsia" w:ascii="宋体" w:hAnsi="宋体" w:eastAsia="宋体" w:cs="宋体"/>
                <w:kern w:val="0"/>
                <w:szCs w:val="21"/>
              </w:rPr>
              <w:t>政府采购预算：采购机关根据事业发展计划和行政任务编制的、并经过规定程序批准的年度政府采购计划。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029" w:hRule="atLeast"/>
          <w:jc w:val="center"/>
        </w:trPr>
        <w:tc>
          <w:tcPr>
            <w:tcW w:w="481" w:type="pct"/>
            <w:vMerge w:val="restart"/>
            <w:tcBorders>
              <w:top w:val="single" w:color="000000" w:sz="12" w:space="0"/>
              <w:left w:val="single" w:color="000000" w:sz="12" w:space="0"/>
              <w:bottom w:val="single" w:color="000000" w:sz="12" w:space="0"/>
              <w:right w:val="single" w:color="000000" w:sz="12" w:space="0"/>
            </w:tcBorders>
            <w:shd w:val="clear" w:color="auto" w:fill="auto"/>
            <w:tcMar>
              <w:top w:w="0" w:type="dxa"/>
              <w:left w:w="0" w:type="dxa"/>
              <w:bottom w:w="0" w:type="dxa"/>
              <w:right w:w="0" w:type="dxa"/>
            </w:tcMar>
            <w:vAlign w:val="center"/>
          </w:tcPr>
          <w:p>
            <w:pPr>
              <w:widowControl/>
              <w:spacing w:line="240" w:lineRule="atLeast"/>
              <w:jc w:val="center"/>
            </w:pPr>
            <w:r>
              <w:rPr>
                <w:rFonts w:hint="eastAsia" w:ascii="宋体" w:hAnsi="宋体" w:eastAsia="宋体" w:cs="宋体"/>
                <w:kern w:val="0"/>
                <w:szCs w:val="21"/>
              </w:rPr>
              <w:t>过</w:t>
            </w:r>
          </w:p>
          <w:p>
            <w:pPr>
              <w:widowControl/>
              <w:spacing w:line="240" w:lineRule="atLeast"/>
              <w:jc w:val="center"/>
            </w:pPr>
            <w:r>
              <w:rPr>
                <w:rFonts w:hint="eastAsia" w:ascii="宋体" w:hAnsi="宋体" w:eastAsia="宋体" w:cs="宋体"/>
                <w:kern w:val="0"/>
                <w:szCs w:val="21"/>
              </w:rPr>
              <w:t>程（30分）</w:t>
            </w:r>
          </w:p>
        </w:tc>
        <w:tc>
          <w:tcPr>
            <w:tcW w:w="481" w:type="pct"/>
            <w:vMerge w:val="restart"/>
            <w:tcBorders>
              <w:top w:val="single" w:color="000000" w:sz="12" w:space="0"/>
              <w:left w:val="single" w:color="000000" w:sz="12" w:space="0"/>
              <w:bottom w:val="single" w:color="000000" w:sz="12" w:space="0"/>
              <w:right w:val="single" w:color="000000" w:sz="12" w:space="0"/>
            </w:tcBorders>
            <w:shd w:val="clear" w:color="auto" w:fill="auto"/>
            <w:tcMar>
              <w:top w:w="10" w:type="dxa"/>
              <w:left w:w="10" w:type="dxa"/>
              <w:bottom w:w="0" w:type="dxa"/>
              <w:right w:w="10" w:type="dxa"/>
            </w:tcMar>
            <w:vAlign w:val="center"/>
          </w:tcPr>
          <w:p>
            <w:pPr>
              <w:widowControl/>
              <w:spacing w:line="240" w:lineRule="atLeast"/>
              <w:jc w:val="center"/>
            </w:pPr>
            <w:r>
              <w:rPr>
                <w:rFonts w:hint="eastAsia" w:ascii="宋体" w:hAnsi="宋体" w:eastAsia="宋体" w:cs="宋体"/>
                <w:kern w:val="0"/>
                <w:szCs w:val="21"/>
              </w:rPr>
              <w:t>预算</w:t>
            </w:r>
          </w:p>
          <w:p>
            <w:pPr>
              <w:widowControl/>
              <w:spacing w:line="240" w:lineRule="atLeast"/>
              <w:jc w:val="center"/>
            </w:pPr>
            <w:r>
              <w:rPr>
                <w:rFonts w:hint="eastAsia" w:ascii="宋体" w:hAnsi="宋体" w:eastAsia="宋体" w:cs="宋体"/>
                <w:kern w:val="0"/>
                <w:szCs w:val="21"/>
              </w:rPr>
              <w:t>管理   （5分）</w:t>
            </w:r>
          </w:p>
          <w:p>
            <w:pPr>
              <w:widowControl/>
              <w:spacing w:line="240" w:lineRule="atLeast"/>
              <w:jc w:val="center"/>
            </w:pPr>
            <w:r>
              <w:rPr>
                <w:rFonts w:hint="eastAsia" w:ascii="宋体" w:hAnsi="宋体" w:eastAsia="宋体" w:cs="宋体"/>
                <w:kern w:val="0"/>
                <w:szCs w:val="21"/>
              </w:rPr>
              <w:t>）</w:t>
            </w:r>
          </w:p>
        </w:tc>
        <w:tc>
          <w:tcPr>
            <w:tcW w:w="481" w:type="pct"/>
            <w:tcBorders>
              <w:top w:val="single" w:color="000000" w:sz="12" w:space="0"/>
              <w:left w:val="single" w:color="000000" w:sz="12" w:space="0"/>
              <w:bottom w:val="single" w:color="000000" w:sz="12" w:space="0"/>
              <w:right w:val="single" w:color="000000" w:sz="12" w:space="0"/>
            </w:tcBorders>
            <w:shd w:val="clear" w:color="auto" w:fill="auto"/>
            <w:tcMar>
              <w:top w:w="10" w:type="dxa"/>
              <w:left w:w="10" w:type="dxa"/>
              <w:bottom w:w="0" w:type="dxa"/>
              <w:right w:w="10" w:type="dxa"/>
            </w:tcMar>
            <w:vAlign w:val="center"/>
          </w:tcPr>
          <w:p>
            <w:pPr>
              <w:widowControl/>
              <w:spacing w:line="240" w:lineRule="atLeast"/>
              <w:jc w:val="center"/>
            </w:pPr>
            <w:r>
              <w:rPr>
                <w:rFonts w:hint="eastAsia" w:ascii="宋体" w:hAnsi="宋体" w:eastAsia="宋体" w:cs="宋体"/>
                <w:kern w:val="0"/>
                <w:szCs w:val="21"/>
              </w:rPr>
              <w:t>管理制度</w:t>
            </w:r>
          </w:p>
          <w:p>
            <w:pPr>
              <w:widowControl/>
              <w:spacing w:line="240" w:lineRule="atLeast"/>
              <w:jc w:val="center"/>
            </w:pPr>
            <w:r>
              <w:rPr>
                <w:rFonts w:hint="eastAsia" w:ascii="宋体" w:hAnsi="宋体" w:eastAsia="宋体" w:cs="宋体"/>
                <w:kern w:val="0"/>
                <w:szCs w:val="21"/>
              </w:rPr>
              <w:t>健全性 （2分）</w:t>
            </w:r>
          </w:p>
        </w:tc>
        <w:tc>
          <w:tcPr>
            <w:tcW w:w="224" w:type="pct"/>
            <w:tcBorders>
              <w:top w:val="single" w:color="000000" w:sz="12" w:space="0"/>
              <w:left w:val="single" w:color="000000" w:sz="12" w:space="0"/>
              <w:bottom w:val="single" w:color="000000" w:sz="12" w:space="0"/>
              <w:right w:val="single" w:color="000000" w:sz="12" w:space="0"/>
            </w:tcBorders>
            <w:shd w:val="clear" w:color="auto" w:fill="auto"/>
            <w:tcMar>
              <w:top w:w="0" w:type="dxa"/>
              <w:left w:w="0" w:type="dxa"/>
              <w:bottom w:w="0" w:type="dxa"/>
              <w:right w:w="0" w:type="dxa"/>
            </w:tcMar>
            <w:vAlign w:val="center"/>
          </w:tcPr>
          <w:p>
            <w:pPr>
              <w:widowControl/>
              <w:spacing w:line="240" w:lineRule="atLeast"/>
              <w:ind w:left="105" w:right="105" w:firstLine="96"/>
              <w:jc w:val="center"/>
            </w:pPr>
          </w:p>
          <w:p>
            <w:pPr>
              <w:widowControl/>
              <w:spacing w:line="240" w:lineRule="atLeast"/>
              <w:ind w:left="105" w:right="105" w:firstLine="96"/>
              <w:jc w:val="center"/>
            </w:pPr>
          </w:p>
          <w:p>
            <w:pPr>
              <w:widowControl/>
              <w:spacing w:line="240" w:lineRule="atLeast"/>
              <w:ind w:left="105" w:right="105" w:firstLine="96"/>
              <w:jc w:val="center"/>
            </w:pPr>
          </w:p>
          <w:p>
            <w:pPr>
              <w:widowControl/>
              <w:spacing w:line="240" w:lineRule="atLeast"/>
              <w:ind w:left="105" w:right="105" w:firstLine="96"/>
              <w:jc w:val="center"/>
            </w:pPr>
            <w:r>
              <w:rPr>
                <w:rFonts w:hint="eastAsia" w:ascii="宋体" w:hAnsi="宋体" w:eastAsia="宋体" w:cs="宋体"/>
                <w:kern w:val="0"/>
                <w:szCs w:val="21"/>
              </w:rPr>
              <w:t>2</w:t>
            </w:r>
          </w:p>
        </w:tc>
        <w:tc>
          <w:tcPr>
            <w:tcW w:w="1703" w:type="pct"/>
            <w:tcBorders>
              <w:top w:val="single" w:color="000000" w:sz="12" w:space="0"/>
              <w:left w:val="single" w:color="000000" w:sz="12" w:space="0"/>
              <w:bottom w:val="single" w:color="000000" w:sz="12" w:space="0"/>
              <w:right w:val="single" w:color="000000" w:sz="12" w:space="0"/>
            </w:tcBorders>
            <w:shd w:val="clear" w:color="auto" w:fill="auto"/>
            <w:tcMar>
              <w:top w:w="10" w:type="dxa"/>
              <w:left w:w="10" w:type="dxa"/>
              <w:bottom w:w="0" w:type="dxa"/>
              <w:right w:w="10" w:type="dxa"/>
            </w:tcMar>
            <w:vAlign w:val="center"/>
          </w:tcPr>
          <w:p>
            <w:pPr>
              <w:widowControl/>
              <w:spacing w:line="240" w:lineRule="atLeast"/>
              <w:ind w:left="105" w:right="105" w:firstLine="96"/>
              <w:jc w:val="left"/>
            </w:pPr>
            <w:r>
              <w:rPr>
                <w:rFonts w:hint="eastAsia" w:ascii="宋体" w:hAnsi="宋体" w:eastAsia="宋体" w:cs="宋体"/>
                <w:kern w:val="0"/>
                <w:szCs w:val="21"/>
              </w:rPr>
              <w:t>部门为加强预算管理、规范财务行为而制定的管理制度是否健全完整，用以反映和考核部门预算管理制度对完成主要职责或促进事业发展的保障情况。</w:t>
            </w:r>
          </w:p>
        </w:tc>
        <w:tc>
          <w:tcPr>
            <w:tcW w:w="1629" w:type="pct"/>
            <w:tcBorders>
              <w:top w:val="single" w:color="000000" w:sz="12" w:space="0"/>
              <w:left w:val="single" w:color="000000" w:sz="12" w:space="0"/>
              <w:bottom w:val="single" w:color="000000" w:sz="12" w:space="0"/>
              <w:right w:val="single" w:color="000000" w:sz="12" w:space="0"/>
            </w:tcBorders>
            <w:shd w:val="clear" w:color="auto" w:fill="auto"/>
            <w:tcMar>
              <w:top w:w="10" w:type="dxa"/>
              <w:left w:w="10" w:type="dxa"/>
              <w:bottom w:w="0" w:type="dxa"/>
              <w:right w:w="10" w:type="dxa"/>
            </w:tcMar>
            <w:vAlign w:val="center"/>
          </w:tcPr>
          <w:p>
            <w:pPr>
              <w:widowControl/>
              <w:spacing w:line="240" w:lineRule="atLeast"/>
              <w:ind w:left="105" w:right="105"/>
              <w:jc w:val="left"/>
            </w:pPr>
            <w:r>
              <w:rPr>
                <w:rFonts w:hint="eastAsia" w:ascii="宋体" w:hAnsi="宋体" w:eastAsia="宋体" w:cs="宋体"/>
                <w:kern w:val="0"/>
                <w:szCs w:val="21"/>
              </w:rPr>
              <w:t>评价要点：</w:t>
            </w:r>
          </w:p>
          <w:p>
            <w:pPr>
              <w:widowControl/>
              <w:spacing w:line="240" w:lineRule="atLeast"/>
              <w:ind w:left="105" w:right="105"/>
              <w:jc w:val="left"/>
            </w:pPr>
            <w:r>
              <w:rPr>
                <w:rFonts w:hint="eastAsia" w:ascii="宋体" w:hAnsi="宋体" w:eastAsia="宋体" w:cs="宋体"/>
                <w:kern w:val="0"/>
                <w:szCs w:val="21"/>
              </w:rPr>
              <w:t>①是否已制定或具有预算资金管理办法、内部财务管理制度、会计核算制度等管理制度；</w:t>
            </w:r>
          </w:p>
          <w:p>
            <w:pPr>
              <w:widowControl/>
              <w:spacing w:line="240" w:lineRule="atLeast"/>
              <w:ind w:left="105" w:right="105"/>
              <w:jc w:val="left"/>
            </w:pPr>
            <w:r>
              <w:rPr>
                <w:rFonts w:hint="eastAsia" w:ascii="宋体" w:hAnsi="宋体" w:eastAsia="宋体" w:cs="宋体"/>
                <w:kern w:val="0"/>
                <w:szCs w:val="21"/>
              </w:rPr>
              <w:t>②相关管理制度是否合法、合规、完整；</w:t>
            </w:r>
          </w:p>
          <w:p>
            <w:pPr>
              <w:widowControl/>
              <w:spacing w:line="240" w:lineRule="atLeast"/>
              <w:ind w:left="105" w:right="105"/>
              <w:jc w:val="left"/>
            </w:pPr>
            <w:r>
              <w:rPr>
                <w:rFonts w:hint="eastAsia" w:ascii="宋体" w:hAnsi="宋体" w:eastAsia="宋体" w:cs="宋体"/>
                <w:kern w:val="0"/>
                <w:szCs w:val="21"/>
              </w:rPr>
              <w:t>③相关管理制度是否得到有效执行。</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537" w:hRule="atLeast"/>
          <w:jc w:val="center"/>
        </w:trPr>
        <w:tc>
          <w:tcPr>
            <w:tcW w:w="481" w:type="pct"/>
            <w:vMerge w:val="continue"/>
            <w:tcBorders>
              <w:top w:val="single" w:color="000000" w:sz="12" w:space="0"/>
              <w:left w:val="single" w:color="000000" w:sz="12" w:space="0"/>
              <w:bottom w:val="single" w:color="000000" w:sz="12" w:space="0"/>
              <w:right w:val="single" w:color="000000" w:sz="12" w:space="0"/>
            </w:tcBorders>
            <w:shd w:val="clear" w:color="auto" w:fill="auto"/>
            <w:tcMar>
              <w:top w:w="0" w:type="dxa"/>
              <w:left w:w="0" w:type="dxa"/>
              <w:bottom w:w="0" w:type="dxa"/>
              <w:right w:w="0" w:type="dxa"/>
            </w:tcMar>
            <w:vAlign w:val="center"/>
          </w:tcPr>
          <w:p>
            <w:pPr>
              <w:jc w:val="center"/>
              <w:rPr>
                <w:rFonts w:ascii="宋体"/>
                <w:sz w:val="24"/>
                <w:szCs w:val="24"/>
              </w:rPr>
            </w:pPr>
          </w:p>
        </w:tc>
        <w:tc>
          <w:tcPr>
            <w:tcW w:w="481" w:type="pct"/>
            <w:vMerge w:val="continue"/>
            <w:tcBorders>
              <w:top w:val="single" w:color="000000" w:sz="12" w:space="0"/>
              <w:left w:val="single" w:color="000000" w:sz="12" w:space="0"/>
              <w:bottom w:val="single" w:color="000000" w:sz="12" w:space="0"/>
              <w:right w:val="single" w:color="000000" w:sz="12" w:space="0"/>
            </w:tcBorders>
            <w:shd w:val="clear" w:color="auto" w:fill="auto"/>
            <w:tcMar>
              <w:top w:w="10" w:type="dxa"/>
              <w:left w:w="10" w:type="dxa"/>
              <w:bottom w:w="0" w:type="dxa"/>
              <w:right w:w="10" w:type="dxa"/>
            </w:tcMar>
            <w:vAlign w:val="center"/>
          </w:tcPr>
          <w:p>
            <w:pPr>
              <w:jc w:val="center"/>
              <w:rPr>
                <w:rFonts w:ascii="宋体"/>
                <w:sz w:val="24"/>
                <w:szCs w:val="24"/>
              </w:rPr>
            </w:pPr>
          </w:p>
        </w:tc>
        <w:tc>
          <w:tcPr>
            <w:tcW w:w="481" w:type="pct"/>
            <w:tcBorders>
              <w:top w:val="single" w:color="000000" w:sz="12" w:space="0"/>
              <w:left w:val="single" w:color="000000" w:sz="12" w:space="0"/>
              <w:bottom w:val="single" w:color="000000" w:sz="12" w:space="0"/>
              <w:right w:val="single" w:color="000000" w:sz="12" w:space="0"/>
            </w:tcBorders>
            <w:shd w:val="clear" w:color="auto" w:fill="auto"/>
            <w:tcMar>
              <w:top w:w="10" w:type="dxa"/>
              <w:left w:w="10" w:type="dxa"/>
              <w:bottom w:w="0" w:type="dxa"/>
              <w:right w:w="10" w:type="dxa"/>
            </w:tcMar>
            <w:vAlign w:val="center"/>
          </w:tcPr>
          <w:p>
            <w:pPr>
              <w:widowControl/>
              <w:spacing w:line="240" w:lineRule="atLeast"/>
              <w:jc w:val="center"/>
            </w:pPr>
            <w:r>
              <w:rPr>
                <w:rFonts w:hint="eastAsia" w:ascii="宋体" w:hAnsi="宋体" w:eastAsia="宋体" w:cs="宋体"/>
                <w:kern w:val="0"/>
                <w:szCs w:val="21"/>
              </w:rPr>
              <w:t>资金使用</w:t>
            </w:r>
          </w:p>
          <w:p>
            <w:pPr>
              <w:widowControl/>
              <w:spacing w:line="240" w:lineRule="atLeast"/>
              <w:jc w:val="center"/>
            </w:pPr>
            <w:r>
              <w:rPr>
                <w:rFonts w:hint="eastAsia" w:ascii="宋体" w:hAnsi="宋体" w:eastAsia="宋体" w:cs="宋体"/>
                <w:kern w:val="0"/>
                <w:szCs w:val="21"/>
              </w:rPr>
              <w:t>合规性（1分）</w:t>
            </w:r>
          </w:p>
        </w:tc>
        <w:tc>
          <w:tcPr>
            <w:tcW w:w="224" w:type="pct"/>
            <w:tcBorders>
              <w:top w:val="single" w:color="000000" w:sz="12" w:space="0"/>
              <w:left w:val="single" w:color="000000" w:sz="12" w:space="0"/>
              <w:bottom w:val="single" w:color="000000" w:sz="12" w:space="0"/>
              <w:right w:val="single" w:color="000000" w:sz="12" w:space="0"/>
            </w:tcBorders>
            <w:shd w:val="clear" w:color="auto" w:fill="auto"/>
            <w:tcMar>
              <w:top w:w="0" w:type="dxa"/>
              <w:left w:w="0" w:type="dxa"/>
              <w:bottom w:w="0" w:type="dxa"/>
              <w:right w:w="0" w:type="dxa"/>
            </w:tcMar>
            <w:vAlign w:val="center"/>
          </w:tcPr>
          <w:p>
            <w:pPr>
              <w:widowControl/>
              <w:spacing w:line="240" w:lineRule="atLeast"/>
              <w:ind w:left="105" w:right="105" w:firstLine="96"/>
              <w:jc w:val="center"/>
            </w:pPr>
          </w:p>
          <w:p>
            <w:pPr>
              <w:widowControl/>
              <w:spacing w:line="240" w:lineRule="atLeast"/>
              <w:ind w:left="105" w:right="105" w:firstLine="96"/>
              <w:jc w:val="center"/>
            </w:pPr>
          </w:p>
          <w:p>
            <w:pPr>
              <w:widowControl/>
              <w:spacing w:line="240" w:lineRule="atLeast"/>
              <w:ind w:left="105" w:right="105" w:firstLine="96"/>
              <w:jc w:val="center"/>
            </w:pPr>
          </w:p>
          <w:p>
            <w:pPr>
              <w:widowControl/>
              <w:spacing w:line="240" w:lineRule="atLeast"/>
              <w:ind w:left="105" w:right="105" w:firstLine="96"/>
              <w:jc w:val="center"/>
            </w:pPr>
          </w:p>
          <w:p>
            <w:pPr>
              <w:widowControl/>
              <w:spacing w:line="240" w:lineRule="atLeast"/>
              <w:ind w:left="105" w:right="105" w:firstLine="96"/>
              <w:jc w:val="center"/>
            </w:pPr>
          </w:p>
          <w:p>
            <w:pPr>
              <w:widowControl/>
              <w:spacing w:line="240" w:lineRule="atLeast"/>
              <w:ind w:left="105" w:right="105" w:firstLine="96"/>
              <w:jc w:val="center"/>
            </w:pPr>
            <w:r>
              <w:rPr>
                <w:rFonts w:hint="eastAsia" w:ascii="宋体" w:hAnsi="宋体" w:eastAsia="宋体" w:cs="宋体"/>
                <w:kern w:val="0"/>
                <w:szCs w:val="21"/>
              </w:rPr>
              <w:t>1</w:t>
            </w:r>
          </w:p>
        </w:tc>
        <w:tc>
          <w:tcPr>
            <w:tcW w:w="1703" w:type="pct"/>
            <w:tcBorders>
              <w:top w:val="single" w:color="000000" w:sz="12" w:space="0"/>
              <w:left w:val="single" w:color="000000" w:sz="12" w:space="0"/>
              <w:bottom w:val="single" w:color="000000" w:sz="12" w:space="0"/>
              <w:right w:val="single" w:color="000000" w:sz="12" w:space="0"/>
            </w:tcBorders>
            <w:shd w:val="clear" w:color="auto" w:fill="auto"/>
            <w:tcMar>
              <w:top w:w="10" w:type="dxa"/>
              <w:left w:w="10" w:type="dxa"/>
              <w:bottom w:w="0" w:type="dxa"/>
              <w:right w:w="10" w:type="dxa"/>
            </w:tcMar>
            <w:vAlign w:val="center"/>
          </w:tcPr>
          <w:p>
            <w:pPr>
              <w:widowControl/>
              <w:spacing w:line="240" w:lineRule="atLeast"/>
              <w:ind w:left="105" w:right="105" w:firstLine="96"/>
              <w:jc w:val="left"/>
            </w:pPr>
            <w:r>
              <w:rPr>
                <w:rFonts w:hint="eastAsia" w:ascii="宋体" w:hAnsi="宋体" w:eastAsia="宋体" w:cs="宋体"/>
                <w:kern w:val="0"/>
                <w:szCs w:val="21"/>
              </w:rPr>
              <w:t>部门使用预算资金是否符合相关的预算财务管理制度的规定，用以反映和考核部门预算资金的规范运行情况。</w:t>
            </w:r>
          </w:p>
        </w:tc>
        <w:tc>
          <w:tcPr>
            <w:tcW w:w="1629" w:type="pct"/>
            <w:tcBorders>
              <w:top w:val="single" w:color="000000" w:sz="12" w:space="0"/>
              <w:left w:val="single" w:color="000000" w:sz="12" w:space="0"/>
              <w:bottom w:val="single" w:color="000000" w:sz="12" w:space="0"/>
              <w:right w:val="single" w:color="000000" w:sz="12" w:space="0"/>
            </w:tcBorders>
            <w:shd w:val="clear" w:color="auto" w:fill="auto"/>
            <w:tcMar>
              <w:top w:w="10" w:type="dxa"/>
              <w:left w:w="10" w:type="dxa"/>
              <w:bottom w:w="0" w:type="dxa"/>
              <w:right w:w="10" w:type="dxa"/>
            </w:tcMar>
            <w:vAlign w:val="center"/>
          </w:tcPr>
          <w:p>
            <w:pPr>
              <w:widowControl/>
              <w:spacing w:line="240" w:lineRule="atLeast"/>
              <w:ind w:left="105" w:right="105"/>
              <w:jc w:val="left"/>
            </w:pPr>
            <w:r>
              <w:rPr>
                <w:rFonts w:hint="eastAsia" w:ascii="宋体" w:hAnsi="宋体" w:eastAsia="宋体" w:cs="宋体"/>
                <w:kern w:val="0"/>
                <w:szCs w:val="21"/>
              </w:rPr>
              <w:t>评价要点：</w:t>
            </w:r>
          </w:p>
          <w:p>
            <w:pPr>
              <w:widowControl/>
              <w:spacing w:line="240" w:lineRule="atLeast"/>
              <w:ind w:left="105" w:right="105"/>
              <w:jc w:val="left"/>
            </w:pPr>
            <w:r>
              <w:rPr>
                <w:rFonts w:hint="eastAsia" w:ascii="宋体" w:hAnsi="宋体" w:eastAsia="宋体" w:cs="宋体"/>
                <w:kern w:val="0"/>
                <w:szCs w:val="21"/>
              </w:rPr>
              <w:t>①是否符合国家财经法规和财务管理制度规定以及有关预算支出管理办法的规定；</w:t>
            </w:r>
          </w:p>
          <w:p>
            <w:pPr>
              <w:widowControl/>
              <w:spacing w:line="240" w:lineRule="atLeast"/>
              <w:ind w:left="105" w:right="105"/>
              <w:jc w:val="left"/>
            </w:pPr>
            <w:r>
              <w:rPr>
                <w:rFonts w:hint="eastAsia" w:ascii="宋体" w:hAnsi="宋体" w:eastAsia="宋体" w:cs="宋体"/>
                <w:kern w:val="0"/>
                <w:szCs w:val="21"/>
              </w:rPr>
              <w:t>②资金的拨付是否有完整的审批程序和手续；</w:t>
            </w:r>
          </w:p>
          <w:p>
            <w:pPr>
              <w:widowControl/>
              <w:spacing w:line="240" w:lineRule="atLeast"/>
              <w:ind w:left="105" w:right="105"/>
              <w:jc w:val="left"/>
            </w:pPr>
            <w:r>
              <w:rPr>
                <w:rFonts w:hint="eastAsia" w:ascii="宋体" w:hAnsi="宋体" w:eastAsia="宋体" w:cs="宋体"/>
                <w:kern w:val="0"/>
                <w:szCs w:val="21"/>
              </w:rPr>
              <w:t>③预算支出的重大开支是否经过评估论证；</w:t>
            </w:r>
          </w:p>
          <w:p>
            <w:pPr>
              <w:widowControl/>
              <w:spacing w:line="240" w:lineRule="atLeast"/>
              <w:ind w:left="105" w:right="105"/>
              <w:jc w:val="left"/>
            </w:pPr>
            <w:r>
              <w:rPr>
                <w:rFonts w:hint="eastAsia" w:ascii="宋体" w:hAnsi="宋体" w:eastAsia="宋体" w:cs="宋体"/>
                <w:kern w:val="0"/>
                <w:szCs w:val="21"/>
              </w:rPr>
              <w:t>④是否符合部门预算批复的用途；</w:t>
            </w:r>
          </w:p>
          <w:p>
            <w:pPr>
              <w:widowControl/>
              <w:spacing w:line="240" w:lineRule="atLeast"/>
              <w:ind w:left="105" w:right="105"/>
              <w:jc w:val="left"/>
            </w:pPr>
            <w:r>
              <w:rPr>
                <w:rFonts w:hint="eastAsia" w:ascii="宋体" w:hAnsi="宋体" w:eastAsia="宋体" w:cs="宋体"/>
                <w:kern w:val="0"/>
                <w:szCs w:val="21"/>
              </w:rPr>
              <w:t>⑤是否存在截留、挤占、挪用、虚列支出等情况。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272" w:hRule="atLeast"/>
          <w:jc w:val="center"/>
        </w:trPr>
        <w:tc>
          <w:tcPr>
            <w:tcW w:w="481" w:type="pct"/>
            <w:vMerge w:val="continue"/>
            <w:tcBorders>
              <w:top w:val="single" w:color="000000" w:sz="12" w:space="0"/>
              <w:left w:val="single" w:color="000000" w:sz="12" w:space="0"/>
              <w:bottom w:val="single" w:color="000000" w:sz="12" w:space="0"/>
              <w:right w:val="single" w:color="000000" w:sz="12" w:space="0"/>
            </w:tcBorders>
            <w:shd w:val="clear" w:color="auto" w:fill="auto"/>
            <w:tcMar>
              <w:top w:w="0" w:type="dxa"/>
              <w:left w:w="0" w:type="dxa"/>
              <w:bottom w:w="0" w:type="dxa"/>
              <w:right w:w="0" w:type="dxa"/>
            </w:tcMar>
            <w:vAlign w:val="center"/>
          </w:tcPr>
          <w:p>
            <w:pPr>
              <w:jc w:val="center"/>
              <w:rPr>
                <w:rFonts w:ascii="宋体"/>
                <w:sz w:val="24"/>
                <w:szCs w:val="24"/>
              </w:rPr>
            </w:pPr>
          </w:p>
        </w:tc>
        <w:tc>
          <w:tcPr>
            <w:tcW w:w="481" w:type="pct"/>
            <w:vMerge w:val="continue"/>
            <w:tcBorders>
              <w:top w:val="single" w:color="000000" w:sz="12" w:space="0"/>
              <w:left w:val="single" w:color="000000" w:sz="12" w:space="0"/>
              <w:bottom w:val="single" w:color="000000" w:sz="12" w:space="0"/>
              <w:right w:val="single" w:color="000000" w:sz="12" w:space="0"/>
            </w:tcBorders>
            <w:shd w:val="clear" w:color="auto" w:fill="auto"/>
            <w:tcMar>
              <w:top w:w="10" w:type="dxa"/>
              <w:left w:w="10" w:type="dxa"/>
              <w:bottom w:w="0" w:type="dxa"/>
              <w:right w:w="10" w:type="dxa"/>
            </w:tcMar>
            <w:vAlign w:val="center"/>
          </w:tcPr>
          <w:p>
            <w:pPr>
              <w:jc w:val="center"/>
              <w:rPr>
                <w:rFonts w:ascii="宋体"/>
                <w:sz w:val="24"/>
                <w:szCs w:val="24"/>
              </w:rPr>
            </w:pPr>
          </w:p>
        </w:tc>
        <w:tc>
          <w:tcPr>
            <w:tcW w:w="481" w:type="pct"/>
            <w:tcBorders>
              <w:top w:val="single" w:color="000000" w:sz="12" w:space="0"/>
              <w:left w:val="single" w:color="000000" w:sz="12" w:space="0"/>
              <w:bottom w:val="single" w:color="000000" w:sz="12" w:space="0"/>
              <w:right w:val="single" w:color="000000" w:sz="12" w:space="0"/>
            </w:tcBorders>
            <w:shd w:val="clear" w:color="auto" w:fill="auto"/>
            <w:tcMar>
              <w:top w:w="10" w:type="dxa"/>
              <w:left w:w="10" w:type="dxa"/>
              <w:bottom w:w="0" w:type="dxa"/>
              <w:right w:w="10" w:type="dxa"/>
            </w:tcMar>
            <w:vAlign w:val="center"/>
          </w:tcPr>
          <w:p>
            <w:pPr>
              <w:widowControl/>
              <w:spacing w:line="240" w:lineRule="atLeast"/>
              <w:jc w:val="center"/>
            </w:pPr>
            <w:r>
              <w:rPr>
                <w:rFonts w:hint="eastAsia" w:ascii="宋体" w:hAnsi="宋体" w:eastAsia="宋体" w:cs="宋体"/>
                <w:kern w:val="0"/>
                <w:szCs w:val="21"/>
              </w:rPr>
              <w:t>预决算信</w:t>
            </w:r>
          </w:p>
          <w:p>
            <w:pPr>
              <w:widowControl/>
              <w:spacing w:line="240" w:lineRule="atLeast"/>
              <w:jc w:val="center"/>
            </w:pPr>
            <w:r>
              <w:rPr>
                <w:rFonts w:hint="eastAsia" w:ascii="宋体" w:hAnsi="宋体" w:eastAsia="宋体" w:cs="宋体"/>
                <w:kern w:val="0"/>
                <w:szCs w:val="21"/>
              </w:rPr>
              <w:t>息公开性（1分）</w:t>
            </w:r>
          </w:p>
        </w:tc>
        <w:tc>
          <w:tcPr>
            <w:tcW w:w="224" w:type="pct"/>
            <w:tcBorders>
              <w:top w:val="single" w:color="000000" w:sz="12" w:space="0"/>
              <w:left w:val="single" w:color="000000" w:sz="12" w:space="0"/>
              <w:bottom w:val="single" w:color="000000" w:sz="12" w:space="0"/>
              <w:right w:val="single" w:color="000000" w:sz="12" w:space="0"/>
            </w:tcBorders>
            <w:shd w:val="clear" w:color="auto" w:fill="auto"/>
            <w:tcMar>
              <w:top w:w="0" w:type="dxa"/>
              <w:left w:w="0" w:type="dxa"/>
              <w:bottom w:w="0" w:type="dxa"/>
              <w:right w:w="0" w:type="dxa"/>
            </w:tcMar>
            <w:vAlign w:val="center"/>
          </w:tcPr>
          <w:p>
            <w:pPr>
              <w:widowControl/>
              <w:spacing w:line="240" w:lineRule="atLeast"/>
              <w:ind w:left="105" w:right="105" w:firstLine="96"/>
              <w:jc w:val="center"/>
            </w:pPr>
          </w:p>
          <w:p>
            <w:pPr>
              <w:widowControl/>
              <w:spacing w:line="240" w:lineRule="atLeast"/>
              <w:ind w:left="105" w:right="105" w:firstLine="96"/>
              <w:jc w:val="center"/>
            </w:pPr>
          </w:p>
          <w:p>
            <w:pPr>
              <w:widowControl/>
              <w:spacing w:line="240" w:lineRule="atLeast"/>
              <w:ind w:left="105" w:right="105" w:firstLine="96"/>
              <w:jc w:val="center"/>
            </w:pPr>
          </w:p>
          <w:p>
            <w:pPr>
              <w:widowControl/>
              <w:spacing w:line="240" w:lineRule="atLeast"/>
              <w:ind w:left="105" w:right="105" w:firstLine="96"/>
              <w:jc w:val="center"/>
            </w:pPr>
            <w:r>
              <w:rPr>
                <w:rFonts w:hint="eastAsia" w:ascii="宋体" w:hAnsi="宋体" w:eastAsia="宋体" w:cs="宋体"/>
                <w:kern w:val="0"/>
                <w:szCs w:val="21"/>
              </w:rPr>
              <w:t>1</w:t>
            </w:r>
          </w:p>
        </w:tc>
        <w:tc>
          <w:tcPr>
            <w:tcW w:w="1703" w:type="pct"/>
            <w:tcBorders>
              <w:top w:val="single" w:color="000000" w:sz="12" w:space="0"/>
              <w:left w:val="single" w:color="000000" w:sz="12" w:space="0"/>
              <w:bottom w:val="single" w:color="000000" w:sz="12" w:space="0"/>
              <w:right w:val="single" w:color="000000" w:sz="12" w:space="0"/>
            </w:tcBorders>
            <w:shd w:val="clear" w:color="auto" w:fill="auto"/>
            <w:tcMar>
              <w:top w:w="10" w:type="dxa"/>
              <w:left w:w="10" w:type="dxa"/>
              <w:bottom w:w="0" w:type="dxa"/>
              <w:right w:w="10" w:type="dxa"/>
            </w:tcMar>
            <w:vAlign w:val="center"/>
          </w:tcPr>
          <w:p>
            <w:pPr>
              <w:widowControl/>
              <w:spacing w:line="240" w:lineRule="atLeast"/>
              <w:ind w:left="105" w:right="105" w:firstLine="96"/>
              <w:jc w:val="left"/>
            </w:pPr>
            <w:r>
              <w:rPr>
                <w:rFonts w:hint="eastAsia" w:ascii="宋体" w:hAnsi="宋体" w:eastAsia="宋体" w:cs="宋体"/>
                <w:kern w:val="0"/>
                <w:szCs w:val="21"/>
              </w:rPr>
              <w:t>部门是否按照政府信息公开有关规定公开相关预决算信息，用以反映和考核部门预决算管理的公开透明情况。</w:t>
            </w:r>
          </w:p>
        </w:tc>
        <w:tc>
          <w:tcPr>
            <w:tcW w:w="1629" w:type="pct"/>
            <w:tcBorders>
              <w:top w:val="single" w:color="000000" w:sz="12" w:space="0"/>
              <w:left w:val="single" w:color="000000" w:sz="12" w:space="0"/>
              <w:bottom w:val="single" w:color="000000" w:sz="12" w:space="0"/>
              <w:right w:val="single" w:color="000000" w:sz="12" w:space="0"/>
            </w:tcBorders>
            <w:shd w:val="clear" w:color="auto" w:fill="auto"/>
            <w:tcMar>
              <w:top w:w="10" w:type="dxa"/>
              <w:left w:w="10" w:type="dxa"/>
              <w:bottom w:w="0" w:type="dxa"/>
              <w:right w:w="10" w:type="dxa"/>
            </w:tcMar>
            <w:vAlign w:val="center"/>
          </w:tcPr>
          <w:p>
            <w:pPr>
              <w:widowControl/>
              <w:spacing w:line="240" w:lineRule="atLeast"/>
              <w:ind w:left="105" w:right="105"/>
              <w:jc w:val="left"/>
            </w:pPr>
            <w:r>
              <w:rPr>
                <w:rFonts w:hint="eastAsia" w:ascii="宋体" w:hAnsi="宋体" w:eastAsia="宋体" w:cs="宋体"/>
                <w:kern w:val="0"/>
                <w:szCs w:val="21"/>
              </w:rPr>
              <w:t>评价要点：</w:t>
            </w:r>
          </w:p>
          <w:p>
            <w:pPr>
              <w:widowControl/>
              <w:spacing w:line="240" w:lineRule="atLeast"/>
              <w:ind w:left="105" w:right="105"/>
              <w:jc w:val="left"/>
            </w:pPr>
            <w:r>
              <w:rPr>
                <w:rFonts w:hint="eastAsia" w:ascii="宋体" w:hAnsi="宋体" w:eastAsia="宋体" w:cs="宋体"/>
                <w:kern w:val="0"/>
                <w:szCs w:val="21"/>
              </w:rPr>
              <w:t>①是否按规定内容公开预决算信息；</w:t>
            </w:r>
          </w:p>
          <w:p>
            <w:pPr>
              <w:widowControl/>
              <w:spacing w:line="240" w:lineRule="atLeast"/>
              <w:ind w:left="105" w:right="105"/>
              <w:jc w:val="left"/>
            </w:pPr>
            <w:r>
              <w:rPr>
                <w:rFonts w:hint="eastAsia" w:ascii="宋体" w:hAnsi="宋体" w:eastAsia="宋体" w:cs="宋体"/>
                <w:kern w:val="0"/>
                <w:szCs w:val="21"/>
              </w:rPr>
              <w:t>②是否按规定时限公开预决算信息。</w:t>
            </w:r>
          </w:p>
          <w:p>
            <w:pPr>
              <w:widowControl/>
              <w:spacing w:line="240" w:lineRule="atLeast"/>
              <w:ind w:left="105" w:right="105"/>
              <w:jc w:val="left"/>
            </w:pPr>
            <w:r>
              <w:rPr>
                <w:rFonts w:hint="eastAsia" w:ascii="宋体" w:hAnsi="宋体" w:eastAsia="宋体" w:cs="宋体"/>
                <w:kern w:val="0"/>
                <w:szCs w:val="21"/>
              </w:rPr>
              <w:t>预决算信息是指与部门预算、执行、决算、监督、绩效等管理相关的信息。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737" w:hRule="atLeast"/>
          <w:jc w:val="center"/>
        </w:trPr>
        <w:tc>
          <w:tcPr>
            <w:tcW w:w="481" w:type="pct"/>
            <w:vMerge w:val="continue"/>
            <w:tcBorders>
              <w:top w:val="single" w:color="000000" w:sz="12" w:space="0"/>
              <w:left w:val="single" w:color="000000" w:sz="12" w:space="0"/>
              <w:bottom w:val="single" w:color="000000" w:sz="12" w:space="0"/>
              <w:right w:val="single" w:color="000000" w:sz="12" w:space="0"/>
            </w:tcBorders>
            <w:shd w:val="clear" w:color="auto" w:fill="auto"/>
            <w:tcMar>
              <w:top w:w="0" w:type="dxa"/>
              <w:left w:w="0" w:type="dxa"/>
              <w:bottom w:w="0" w:type="dxa"/>
              <w:right w:w="0" w:type="dxa"/>
            </w:tcMar>
            <w:vAlign w:val="center"/>
          </w:tcPr>
          <w:p>
            <w:pPr>
              <w:jc w:val="center"/>
              <w:rPr>
                <w:rFonts w:ascii="宋体"/>
                <w:sz w:val="24"/>
                <w:szCs w:val="24"/>
              </w:rPr>
            </w:pPr>
          </w:p>
        </w:tc>
        <w:tc>
          <w:tcPr>
            <w:tcW w:w="481" w:type="pct"/>
            <w:vMerge w:val="continue"/>
            <w:tcBorders>
              <w:top w:val="single" w:color="000000" w:sz="12" w:space="0"/>
              <w:left w:val="single" w:color="000000" w:sz="12" w:space="0"/>
              <w:bottom w:val="single" w:color="000000" w:sz="12" w:space="0"/>
              <w:right w:val="single" w:color="000000" w:sz="12" w:space="0"/>
            </w:tcBorders>
            <w:shd w:val="clear" w:color="auto" w:fill="auto"/>
            <w:tcMar>
              <w:top w:w="10" w:type="dxa"/>
              <w:left w:w="10" w:type="dxa"/>
              <w:bottom w:w="0" w:type="dxa"/>
              <w:right w:w="10" w:type="dxa"/>
            </w:tcMar>
            <w:vAlign w:val="center"/>
          </w:tcPr>
          <w:p>
            <w:pPr>
              <w:jc w:val="center"/>
              <w:rPr>
                <w:rFonts w:ascii="宋体"/>
                <w:sz w:val="24"/>
                <w:szCs w:val="24"/>
              </w:rPr>
            </w:pPr>
          </w:p>
        </w:tc>
        <w:tc>
          <w:tcPr>
            <w:tcW w:w="481" w:type="pct"/>
            <w:tcBorders>
              <w:top w:val="single" w:color="000000" w:sz="12" w:space="0"/>
              <w:left w:val="single" w:color="000000" w:sz="12" w:space="0"/>
              <w:bottom w:val="single" w:color="000000" w:sz="12" w:space="0"/>
              <w:right w:val="single" w:color="000000" w:sz="12" w:space="0"/>
            </w:tcBorders>
            <w:shd w:val="clear" w:color="auto" w:fill="auto"/>
            <w:tcMar>
              <w:top w:w="10" w:type="dxa"/>
              <w:left w:w="10" w:type="dxa"/>
              <w:bottom w:w="0" w:type="dxa"/>
              <w:right w:w="10" w:type="dxa"/>
            </w:tcMar>
            <w:vAlign w:val="center"/>
          </w:tcPr>
          <w:p>
            <w:pPr>
              <w:widowControl/>
              <w:spacing w:line="240" w:lineRule="atLeast"/>
              <w:jc w:val="center"/>
            </w:pPr>
            <w:r>
              <w:rPr>
                <w:rFonts w:hint="eastAsia" w:ascii="宋体" w:hAnsi="宋体" w:eastAsia="宋体" w:cs="宋体"/>
                <w:kern w:val="0"/>
                <w:szCs w:val="21"/>
              </w:rPr>
              <w:t>基础信息</w:t>
            </w:r>
          </w:p>
          <w:p>
            <w:pPr>
              <w:widowControl/>
              <w:spacing w:line="240" w:lineRule="atLeast"/>
              <w:jc w:val="center"/>
            </w:pPr>
            <w:r>
              <w:rPr>
                <w:rFonts w:hint="eastAsia" w:ascii="宋体" w:hAnsi="宋体" w:eastAsia="宋体" w:cs="宋体"/>
                <w:kern w:val="0"/>
                <w:szCs w:val="21"/>
              </w:rPr>
              <w:t>完善性 （1分）</w:t>
            </w:r>
          </w:p>
        </w:tc>
        <w:tc>
          <w:tcPr>
            <w:tcW w:w="224" w:type="pct"/>
            <w:tcBorders>
              <w:top w:val="single" w:color="000000" w:sz="12" w:space="0"/>
              <w:left w:val="single" w:color="000000" w:sz="12" w:space="0"/>
              <w:bottom w:val="single" w:color="000000" w:sz="12" w:space="0"/>
              <w:right w:val="single" w:color="000000" w:sz="12" w:space="0"/>
            </w:tcBorders>
            <w:shd w:val="clear" w:color="auto" w:fill="auto"/>
            <w:tcMar>
              <w:top w:w="0" w:type="dxa"/>
              <w:left w:w="0" w:type="dxa"/>
              <w:bottom w:w="0" w:type="dxa"/>
              <w:right w:w="0" w:type="dxa"/>
            </w:tcMar>
            <w:vAlign w:val="center"/>
          </w:tcPr>
          <w:p>
            <w:pPr>
              <w:widowControl/>
              <w:spacing w:line="240" w:lineRule="atLeast"/>
              <w:ind w:left="105" w:right="105" w:firstLine="96"/>
              <w:jc w:val="center"/>
            </w:pPr>
          </w:p>
          <w:p>
            <w:pPr>
              <w:widowControl/>
              <w:spacing w:line="240" w:lineRule="atLeast"/>
              <w:ind w:left="105" w:right="105" w:firstLine="96"/>
              <w:jc w:val="center"/>
            </w:pPr>
          </w:p>
          <w:p>
            <w:pPr>
              <w:widowControl/>
              <w:spacing w:line="240" w:lineRule="atLeast"/>
              <w:ind w:left="105" w:right="105" w:firstLine="96"/>
              <w:jc w:val="center"/>
            </w:pPr>
          </w:p>
          <w:p>
            <w:pPr>
              <w:widowControl/>
              <w:spacing w:line="240" w:lineRule="atLeast"/>
              <w:ind w:left="105" w:right="105" w:firstLine="96"/>
              <w:jc w:val="center"/>
            </w:pPr>
            <w:r>
              <w:rPr>
                <w:rFonts w:hint="eastAsia" w:ascii="宋体" w:hAnsi="宋体" w:eastAsia="宋体" w:cs="宋体"/>
                <w:kern w:val="0"/>
                <w:szCs w:val="21"/>
              </w:rPr>
              <w:t>1</w:t>
            </w:r>
          </w:p>
        </w:tc>
        <w:tc>
          <w:tcPr>
            <w:tcW w:w="1703" w:type="pct"/>
            <w:tcBorders>
              <w:top w:val="single" w:color="000000" w:sz="12" w:space="0"/>
              <w:left w:val="single" w:color="000000" w:sz="12" w:space="0"/>
              <w:bottom w:val="single" w:color="000000" w:sz="12" w:space="0"/>
              <w:right w:val="single" w:color="000000" w:sz="12" w:space="0"/>
            </w:tcBorders>
            <w:shd w:val="clear" w:color="auto" w:fill="auto"/>
            <w:tcMar>
              <w:top w:w="10" w:type="dxa"/>
              <w:left w:w="10" w:type="dxa"/>
              <w:bottom w:w="0" w:type="dxa"/>
              <w:right w:w="10" w:type="dxa"/>
            </w:tcMar>
            <w:vAlign w:val="center"/>
          </w:tcPr>
          <w:p>
            <w:pPr>
              <w:widowControl/>
              <w:spacing w:line="240" w:lineRule="atLeast"/>
              <w:ind w:left="105" w:right="105" w:firstLine="96"/>
              <w:jc w:val="left"/>
            </w:pPr>
            <w:r>
              <w:rPr>
                <w:rFonts w:hint="eastAsia" w:ascii="宋体" w:hAnsi="宋体" w:eastAsia="宋体" w:cs="宋体"/>
                <w:kern w:val="0"/>
                <w:szCs w:val="21"/>
              </w:rPr>
              <w:t>部门基础信息是否完善，用以反映和考核基础信息对预算管理工作的支撑情况。</w:t>
            </w:r>
          </w:p>
        </w:tc>
        <w:tc>
          <w:tcPr>
            <w:tcW w:w="1629" w:type="pct"/>
            <w:tcBorders>
              <w:top w:val="single" w:color="000000" w:sz="12" w:space="0"/>
              <w:left w:val="single" w:color="000000" w:sz="12" w:space="0"/>
              <w:bottom w:val="single" w:color="000000" w:sz="12" w:space="0"/>
              <w:right w:val="single" w:color="000000" w:sz="12" w:space="0"/>
            </w:tcBorders>
            <w:shd w:val="clear" w:color="auto" w:fill="auto"/>
            <w:tcMar>
              <w:top w:w="10" w:type="dxa"/>
              <w:left w:w="10" w:type="dxa"/>
              <w:bottom w:w="0" w:type="dxa"/>
              <w:right w:w="10" w:type="dxa"/>
            </w:tcMar>
            <w:vAlign w:val="center"/>
          </w:tcPr>
          <w:p>
            <w:pPr>
              <w:widowControl/>
              <w:spacing w:line="240" w:lineRule="atLeast"/>
              <w:ind w:left="105" w:right="105"/>
              <w:jc w:val="left"/>
            </w:pPr>
            <w:r>
              <w:rPr>
                <w:rFonts w:hint="eastAsia" w:ascii="宋体" w:hAnsi="宋体" w:eastAsia="宋体" w:cs="宋体"/>
                <w:kern w:val="0"/>
                <w:szCs w:val="21"/>
              </w:rPr>
              <w:t>评价要点：</w:t>
            </w:r>
          </w:p>
          <w:p>
            <w:pPr>
              <w:widowControl/>
              <w:spacing w:line="240" w:lineRule="atLeast"/>
              <w:ind w:left="105" w:right="105"/>
              <w:jc w:val="left"/>
            </w:pPr>
            <w:r>
              <w:rPr>
                <w:rFonts w:hint="eastAsia" w:ascii="宋体" w:hAnsi="宋体" w:eastAsia="宋体" w:cs="宋体"/>
                <w:kern w:val="0"/>
                <w:szCs w:val="21"/>
              </w:rPr>
              <w:t>①基础数据信息和会计信息资料是否真实；</w:t>
            </w:r>
          </w:p>
          <w:p>
            <w:pPr>
              <w:widowControl/>
              <w:spacing w:line="240" w:lineRule="atLeast"/>
              <w:ind w:left="105" w:right="105"/>
              <w:jc w:val="left"/>
            </w:pPr>
            <w:r>
              <w:rPr>
                <w:rFonts w:hint="eastAsia" w:ascii="宋体" w:hAnsi="宋体" w:eastAsia="宋体" w:cs="宋体"/>
                <w:kern w:val="0"/>
                <w:szCs w:val="21"/>
              </w:rPr>
              <w:t>②基础数据信息和会计信息资料是否完整；</w:t>
            </w:r>
          </w:p>
          <w:p>
            <w:pPr>
              <w:widowControl/>
              <w:spacing w:line="240" w:lineRule="atLeast"/>
              <w:ind w:left="105" w:right="105"/>
              <w:jc w:val="left"/>
            </w:pPr>
            <w:r>
              <w:rPr>
                <w:rFonts w:hint="eastAsia" w:ascii="宋体" w:hAnsi="宋体" w:eastAsia="宋体" w:cs="宋体"/>
                <w:kern w:val="0"/>
                <w:szCs w:val="21"/>
              </w:rPr>
              <w:t>③基础数据信息和会计信息资料是否准确。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389" w:hRule="atLeast"/>
          <w:jc w:val="center"/>
        </w:trPr>
        <w:tc>
          <w:tcPr>
            <w:tcW w:w="481" w:type="pct"/>
            <w:vMerge w:val="continue"/>
            <w:tcBorders>
              <w:top w:val="single" w:color="000000" w:sz="12" w:space="0"/>
              <w:left w:val="single" w:color="000000" w:sz="12" w:space="0"/>
              <w:bottom w:val="single" w:color="000000" w:sz="12" w:space="0"/>
              <w:right w:val="single" w:color="000000" w:sz="12" w:space="0"/>
            </w:tcBorders>
            <w:shd w:val="clear" w:color="auto" w:fill="auto"/>
            <w:tcMar>
              <w:top w:w="0" w:type="dxa"/>
              <w:left w:w="0" w:type="dxa"/>
              <w:bottom w:w="0" w:type="dxa"/>
              <w:right w:w="0" w:type="dxa"/>
            </w:tcMar>
            <w:vAlign w:val="center"/>
          </w:tcPr>
          <w:p>
            <w:pPr>
              <w:jc w:val="center"/>
              <w:rPr>
                <w:rFonts w:ascii="宋体"/>
                <w:sz w:val="24"/>
                <w:szCs w:val="24"/>
              </w:rPr>
            </w:pPr>
          </w:p>
        </w:tc>
        <w:tc>
          <w:tcPr>
            <w:tcW w:w="481" w:type="pct"/>
            <w:vMerge w:val="restart"/>
            <w:tcBorders>
              <w:top w:val="single" w:color="000000" w:sz="12" w:space="0"/>
              <w:left w:val="single" w:color="000000" w:sz="12" w:space="0"/>
              <w:bottom w:val="single" w:color="000000" w:sz="12" w:space="0"/>
              <w:right w:val="single" w:color="000000" w:sz="12" w:space="0"/>
            </w:tcBorders>
            <w:shd w:val="clear" w:color="auto" w:fill="auto"/>
            <w:tcMar>
              <w:top w:w="10" w:type="dxa"/>
              <w:left w:w="10" w:type="dxa"/>
              <w:bottom w:w="0" w:type="dxa"/>
              <w:right w:w="10" w:type="dxa"/>
            </w:tcMar>
            <w:vAlign w:val="center"/>
          </w:tcPr>
          <w:p>
            <w:pPr>
              <w:widowControl/>
              <w:spacing w:line="240" w:lineRule="atLeast"/>
              <w:jc w:val="center"/>
            </w:pPr>
            <w:r>
              <w:rPr>
                <w:rFonts w:hint="eastAsia" w:ascii="宋体" w:hAnsi="宋体" w:eastAsia="宋体" w:cs="宋体"/>
                <w:kern w:val="0"/>
                <w:szCs w:val="21"/>
              </w:rPr>
              <w:t>资产</w:t>
            </w:r>
          </w:p>
          <w:p>
            <w:pPr>
              <w:widowControl/>
              <w:spacing w:line="240" w:lineRule="atLeast"/>
              <w:jc w:val="center"/>
            </w:pPr>
            <w:r>
              <w:rPr>
                <w:rFonts w:hint="eastAsia" w:ascii="宋体" w:hAnsi="宋体" w:eastAsia="宋体" w:cs="宋体"/>
                <w:kern w:val="0"/>
                <w:szCs w:val="21"/>
              </w:rPr>
              <w:t>管理   （5分）</w:t>
            </w:r>
          </w:p>
        </w:tc>
        <w:tc>
          <w:tcPr>
            <w:tcW w:w="481" w:type="pct"/>
            <w:tcBorders>
              <w:top w:val="single" w:color="000000" w:sz="12" w:space="0"/>
              <w:left w:val="single" w:color="000000" w:sz="12" w:space="0"/>
              <w:bottom w:val="single" w:color="000000" w:sz="12" w:space="0"/>
              <w:right w:val="single" w:color="000000" w:sz="12" w:space="0"/>
            </w:tcBorders>
            <w:shd w:val="clear" w:color="auto" w:fill="auto"/>
            <w:tcMar>
              <w:top w:w="10" w:type="dxa"/>
              <w:left w:w="10" w:type="dxa"/>
              <w:bottom w:w="0" w:type="dxa"/>
              <w:right w:w="10" w:type="dxa"/>
            </w:tcMar>
            <w:vAlign w:val="center"/>
          </w:tcPr>
          <w:p>
            <w:pPr>
              <w:widowControl/>
              <w:spacing w:line="240" w:lineRule="atLeast"/>
              <w:jc w:val="center"/>
            </w:pPr>
            <w:r>
              <w:rPr>
                <w:rFonts w:hint="eastAsia" w:ascii="宋体" w:hAnsi="宋体" w:eastAsia="宋体" w:cs="宋体"/>
                <w:kern w:val="0"/>
                <w:szCs w:val="21"/>
              </w:rPr>
              <w:t>管理制度</w:t>
            </w:r>
          </w:p>
          <w:p>
            <w:pPr>
              <w:widowControl/>
              <w:spacing w:line="240" w:lineRule="atLeast"/>
              <w:jc w:val="center"/>
            </w:pPr>
            <w:r>
              <w:rPr>
                <w:rFonts w:hint="eastAsia" w:ascii="宋体" w:hAnsi="宋体" w:eastAsia="宋体" w:cs="宋体"/>
                <w:kern w:val="0"/>
                <w:szCs w:val="21"/>
              </w:rPr>
              <w:t>健全性 （2分）</w:t>
            </w:r>
          </w:p>
        </w:tc>
        <w:tc>
          <w:tcPr>
            <w:tcW w:w="224" w:type="pct"/>
            <w:tcBorders>
              <w:top w:val="single" w:color="000000" w:sz="12" w:space="0"/>
              <w:left w:val="single" w:color="000000" w:sz="12" w:space="0"/>
              <w:bottom w:val="single" w:color="000000" w:sz="12" w:space="0"/>
              <w:right w:val="single" w:color="000000" w:sz="12" w:space="0"/>
            </w:tcBorders>
            <w:shd w:val="clear" w:color="auto" w:fill="auto"/>
            <w:tcMar>
              <w:top w:w="0" w:type="dxa"/>
              <w:left w:w="0" w:type="dxa"/>
              <w:bottom w:w="0" w:type="dxa"/>
              <w:right w:w="0" w:type="dxa"/>
            </w:tcMar>
            <w:vAlign w:val="center"/>
          </w:tcPr>
          <w:p>
            <w:pPr>
              <w:widowControl/>
              <w:spacing w:line="240" w:lineRule="atLeast"/>
              <w:ind w:left="105" w:right="105" w:firstLine="96"/>
              <w:jc w:val="center"/>
            </w:pPr>
          </w:p>
          <w:p>
            <w:pPr>
              <w:widowControl/>
              <w:spacing w:line="240" w:lineRule="atLeast"/>
              <w:ind w:left="105" w:right="105" w:firstLine="96"/>
              <w:jc w:val="center"/>
            </w:pPr>
          </w:p>
          <w:p>
            <w:pPr>
              <w:widowControl/>
              <w:spacing w:line="240" w:lineRule="atLeast"/>
              <w:ind w:left="105" w:right="105" w:firstLine="96"/>
              <w:jc w:val="center"/>
            </w:pPr>
            <w:r>
              <w:rPr>
                <w:rFonts w:hint="eastAsia" w:ascii="宋体" w:hAnsi="宋体" w:eastAsia="宋体" w:cs="宋体"/>
                <w:kern w:val="0"/>
                <w:szCs w:val="21"/>
              </w:rPr>
              <w:t>2</w:t>
            </w:r>
          </w:p>
        </w:tc>
        <w:tc>
          <w:tcPr>
            <w:tcW w:w="1703" w:type="pct"/>
            <w:tcBorders>
              <w:top w:val="single" w:color="000000" w:sz="12" w:space="0"/>
              <w:left w:val="single" w:color="000000" w:sz="12" w:space="0"/>
              <w:bottom w:val="single" w:color="000000" w:sz="12" w:space="0"/>
              <w:right w:val="single" w:color="000000" w:sz="12" w:space="0"/>
            </w:tcBorders>
            <w:shd w:val="clear" w:color="auto" w:fill="auto"/>
            <w:tcMar>
              <w:top w:w="10" w:type="dxa"/>
              <w:left w:w="10" w:type="dxa"/>
              <w:bottom w:w="0" w:type="dxa"/>
              <w:right w:w="10" w:type="dxa"/>
            </w:tcMar>
            <w:vAlign w:val="center"/>
          </w:tcPr>
          <w:p>
            <w:pPr>
              <w:widowControl/>
              <w:spacing w:line="240" w:lineRule="atLeast"/>
              <w:ind w:left="105" w:right="105" w:firstLine="96"/>
              <w:jc w:val="left"/>
            </w:pPr>
            <w:r>
              <w:rPr>
                <w:rFonts w:hint="eastAsia" w:ascii="宋体" w:hAnsi="宋体" w:eastAsia="宋体" w:cs="宋体"/>
                <w:kern w:val="0"/>
                <w:szCs w:val="21"/>
              </w:rPr>
              <w:t>部门为加强资产管理、规范资产管理行为而制定的管理制度是否健全完整，用以反映和考核部门资产管理制度对完成主要职责或促进社会发展的保障情况。</w:t>
            </w:r>
          </w:p>
        </w:tc>
        <w:tc>
          <w:tcPr>
            <w:tcW w:w="1629" w:type="pct"/>
            <w:tcBorders>
              <w:top w:val="single" w:color="000000" w:sz="12" w:space="0"/>
              <w:left w:val="single" w:color="000000" w:sz="12" w:space="0"/>
              <w:bottom w:val="single" w:color="000000" w:sz="12" w:space="0"/>
              <w:right w:val="single" w:color="000000" w:sz="12" w:space="0"/>
            </w:tcBorders>
            <w:shd w:val="clear" w:color="auto" w:fill="auto"/>
            <w:tcMar>
              <w:top w:w="10" w:type="dxa"/>
              <w:left w:w="10" w:type="dxa"/>
              <w:bottom w:w="0" w:type="dxa"/>
              <w:right w:w="10" w:type="dxa"/>
            </w:tcMar>
            <w:vAlign w:val="center"/>
          </w:tcPr>
          <w:p>
            <w:pPr>
              <w:widowControl/>
              <w:spacing w:line="240" w:lineRule="atLeast"/>
              <w:ind w:left="105" w:right="105"/>
              <w:jc w:val="left"/>
            </w:pPr>
            <w:r>
              <w:rPr>
                <w:rFonts w:hint="eastAsia" w:ascii="宋体" w:hAnsi="宋体" w:eastAsia="宋体" w:cs="宋体"/>
                <w:kern w:val="0"/>
                <w:szCs w:val="21"/>
              </w:rPr>
              <w:t>评价要点：</w:t>
            </w:r>
          </w:p>
          <w:p>
            <w:pPr>
              <w:widowControl/>
              <w:spacing w:line="240" w:lineRule="atLeast"/>
              <w:ind w:left="105" w:right="105"/>
              <w:jc w:val="left"/>
            </w:pPr>
            <w:r>
              <w:rPr>
                <w:rFonts w:hint="eastAsia" w:ascii="宋体" w:hAnsi="宋体" w:eastAsia="宋体" w:cs="宋体"/>
                <w:kern w:val="0"/>
                <w:szCs w:val="21"/>
              </w:rPr>
              <w:t>①是否已制定或具有资产管理制度；           </w:t>
            </w:r>
          </w:p>
          <w:p>
            <w:pPr>
              <w:widowControl/>
              <w:spacing w:line="240" w:lineRule="atLeast"/>
              <w:ind w:left="105" w:right="105"/>
              <w:jc w:val="left"/>
            </w:pPr>
            <w:r>
              <w:rPr>
                <w:rFonts w:hint="eastAsia" w:ascii="宋体" w:hAnsi="宋体" w:eastAsia="宋体" w:cs="宋体"/>
                <w:kern w:val="0"/>
                <w:szCs w:val="21"/>
              </w:rPr>
              <w:t>②相关资金管理制度是否合法、合规、完整；</w:t>
            </w:r>
          </w:p>
          <w:p>
            <w:pPr>
              <w:widowControl/>
              <w:spacing w:line="240" w:lineRule="atLeast"/>
              <w:ind w:left="105" w:right="105"/>
              <w:jc w:val="left"/>
            </w:pPr>
            <w:r>
              <w:rPr>
                <w:rFonts w:hint="eastAsia" w:ascii="宋体" w:hAnsi="宋体" w:eastAsia="宋体" w:cs="宋体"/>
                <w:kern w:val="0"/>
                <w:szCs w:val="21"/>
              </w:rPr>
              <w:t>③相关资产管理制度是否得到有效执行。</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887" w:hRule="atLeast"/>
          <w:jc w:val="center"/>
        </w:trPr>
        <w:tc>
          <w:tcPr>
            <w:tcW w:w="481" w:type="pct"/>
            <w:vMerge w:val="continue"/>
            <w:tcBorders>
              <w:top w:val="single" w:color="000000" w:sz="12" w:space="0"/>
              <w:left w:val="single" w:color="000000" w:sz="12" w:space="0"/>
              <w:bottom w:val="single" w:color="auto" w:sz="8" w:space="0"/>
              <w:right w:val="single" w:color="auto" w:sz="8" w:space="0"/>
            </w:tcBorders>
            <w:shd w:val="clear" w:color="auto" w:fill="auto"/>
            <w:tcMar>
              <w:top w:w="0" w:type="dxa"/>
              <w:left w:w="0" w:type="dxa"/>
              <w:bottom w:w="0" w:type="dxa"/>
              <w:right w:w="0" w:type="dxa"/>
            </w:tcMar>
            <w:vAlign w:val="center"/>
          </w:tcPr>
          <w:p>
            <w:pPr>
              <w:jc w:val="center"/>
              <w:rPr>
                <w:rFonts w:ascii="宋体"/>
                <w:sz w:val="24"/>
                <w:szCs w:val="24"/>
              </w:rPr>
            </w:pPr>
          </w:p>
        </w:tc>
        <w:tc>
          <w:tcPr>
            <w:tcW w:w="481" w:type="pct"/>
            <w:vMerge w:val="continue"/>
            <w:tcBorders>
              <w:top w:val="single" w:color="000000" w:sz="12" w:space="0"/>
              <w:left w:val="single" w:color="auto" w:sz="8" w:space="0"/>
              <w:bottom w:val="single" w:color="auto" w:sz="8" w:space="0"/>
              <w:right w:val="single" w:color="auto" w:sz="8" w:space="0"/>
            </w:tcBorders>
            <w:shd w:val="clear" w:color="auto" w:fill="auto"/>
            <w:tcMar>
              <w:top w:w="10" w:type="dxa"/>
              <w:left w:w="10" w:type="dxa"/>
              <w:bottom w:w="0" w:type="dxa"/>
              <w:right w:w="10" w:type="dxa"/>
            </w:tcMar>
            <w:vAlign w:val="center"/>
          </w:tcPr>
          <w:p>
            <w:pPr>
              <w:jc w:val="center"/>
              <w:rPr>
                <w:rFonts w:ascii="宋体"/>
                <w:sz w:val="24"/>
                <w:szCs w:val="24"/>
              </w:rPr>
            </w:pPr>
          </w:p>
        </w:tc>
        <w:tc>
          <w:tcPr>
            <w:tcW w:w="481" w:type="pct"/>
            <w:tcBorders>
              <w:top w:val="single" w:color="000000" w:sz="12" w:space="0"/>
              <w:left w:val="single" w:color="auto" w:sz="8" w:space="0"/>
              <w:bottom w:val="single" w:color="auto" w:sz="8" w:space="0"/>
              <w:right w:val="single" w:color="auto" w:sz="8" w:space="0"/>
            </w:tcBorders>
            <w:shd w:val="clear" w:color="auto" w:fill="auto"/>
            <w:tcMar>
              <w:top w:w="10" w:type="dxa"/>
              <w:left w:w="10" w:type="dxa"/>
              <w:bottom w:w="0" w:type="dxa"/>
              <w:right w:w="10" w:type="dxa"/>
            </w:tcMar>
            <w:vAlign w:val="center"/>
          </w:tcPr>
          <w:p>
            <w:pPr>
              <w:widowControl/>
              <w:spacing w:line="240" w:lineRule="atLeast"/>
              <w:jc w:val="center"/>
            </w:pPr>
            <w:r>
              <w:rPr>
                <w:rFonts w:hint="eastAsia" w:ascii="宋体" w:hAnsi="宋体" w:eastAsia="宋体" w:cs="宋体"/>
                <w:kern w:val="0"/>
                <w:szCs w:val="21"/>
              </w:rPr>
              <w:t>资产管理</w:t>
            </w:r>
          </w:p>
          <w:p>
            <w:pPr>
              <w:widowControl/>
              <w:spacing w:line="240" w:lineRule="atLeast"/>
              <w:jc w:val="center"/>
            </w:pPr>
            <w:r>
              <w:rPr>
                <w:rFonts w:hint="eastAsia" w:ascii="宋体" w:hAnsi="宋体" w:eastAsia="宋体" w:cs="宋体"/>
                <w:kern w:val="0"/>
                <w:szCs w:val="21"/>
              </w:rPr>
              <w:t>安全性 （2分）</w:t>
            </w:r>
          </w:p>
        </w:tc>
        <w:tc>
          <w:tcPr>
            <w:tcW w:w="224" w:type="pct"/>
            <w:tcBorders>
              <w:top w:val="single" w:color="000000" w:sz="12"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widowControl/>
              <w:spacing w:line="240" w:lineRule="atLeast"/>
              <w:ind w:left="105" w:right="105" w:firstLine="96"/>
              <w:jc w:val="center"/>
            </w:pPr>
          </w:p>
          <w:p>
            <w:pPr>
              <w:widowControl/>
              <w:spacing w:line="240" w:lineRule="atLeast"/>
              <w:ind w:left="105" w:right="105" w:firstLine="96"/>
              <w:jc w:val="center"/>
            </w:pPr>
          </w:p>
          <w:p>
            <w:pPr>
              <w:widowControl/>
              <w:spacing w:line="240" w:lineRule="atLeast"/>
              <w:ind w:left="105" w:right="105" w:firstLine="96"/>
              <w:jc w:val="center"/>
            </w:pPr>
          </w:p>
          <w:p>
            <w:pPr>
              <w:widowControl/>
              <w:spacing w:line="240" w:lineRule="atLeast"/>
              <w:ind w:left="105" w:right="105" w:firstLine="96"/>
              <w:jc w:val="center"/>
            </w:pPr>
          </w:p>
          <w:p>
            <w:pPr>
              <w:widowControl/>
              <w:spacing w:line="240" w:lineRule="atLeast"/>
              <w:ind w:left="105" w:right="105" w:firstLine="96"/>
              <w:jc w:val="center"/>
            </w:pPr>
            <w:r>
              <w:rPr>
                <w:rFonts w:hint="eastAsia" w:ascii="宋体" w:hAnsi="宋体" w:eastAsia="宋体" w:cs="宋体"/>
                <w:kern w:val="0"/>
                <w:szCs w:val="21"/>
              </w:rPr>
              <w:t>2</w:t>
            </w:r>
          </w:p>
        </w:tc>
        <w:tc>
          <w:tcPr>
            <w:tcW w:w="1703" w:type="pct"/>
            <w:tcBorders>
              <w:top w:val="single" w:color="000000" w:sz="12" w:space="0"/>
              <w:left w:val="single" w:color="auto" w:sz="8" w:space="0"/>
              <w:bottom w:val="single" w:color="auto" w:sz="8" w:space="0"/>
              <w:right w:val="single" w:color="auto" w:sz="8" w:space="0"/>
            </w:tcBorders>
            <w:shd w:val="clear" w:color="auto" w:fill="auto"/>
            <w:tcMar>
              <w:top w:w="10" w:type="dxa"/>
              <w:left w:w="10" w:type="dxa"/>
              <w:bottom w:w="0" w:type="dxa"/>
              <w:right w:w="10" w:type="dxa"/>
            </w:tcMar>
            <w:vAlign w:val="center"/>
          </w:tcPr>
          <w:p>
            <w:pPr>
              <w:widowControl/>
              <w:spacing w:line="240" w:lineRule="atLeast"/>
              <w:ind w:left="105" w:right="105" w:firstLine="96"/>
              <w:jc w:val="left"/>
            </w:pPr>
            <w:r>
              <w:rPr>
                <w:rFonts w:hint="eastAsia" w:ascii="宋体" w:hAnsi="宋体" w:eastAsia="宋体" w:cs="宋体"/>
                <w:kern w:val="0"/>
                <w:szCs w:val="21"/>
              </w:rPr>
              <w:t>部门的资产是否保存完整、使用合规、配置合理、处置规范、收入及时足额上缴，用以反映和考核部门资产安全运行情况。</w:t>
            </w:r>
          </w:p>
        </w:tc>
        <w:tc>
          <w:tcPr>
            <w:tcW w:w="1629" w:type="pct"/>
            <w:tcBorders>
              <w:top w:val="single" w:color="000000" w:sz="12" w:space="0"/>
              <w:left w:val="single" w:color="auto" w:sz="8" w:space="0"/>
              <w:bottom w:val="single" w:color="auto" w:sz="8" w:space="0"/>
              <w:right w:val="single" w:color="auto" w:sz="8" w:space="0"/>
            </w:tcBorders>
            <w:shd w:val="clear" w:color="auto" w:fill="auto"/>
            <w:tcMar>
              <w:top w:w="10" w:type="dxa"/>
              <w:left w:w="10" w:type="dxa"/>
              <w:bottom w:w="0" w:type="dxa"/>
              <w:right w:w="10" w:type="dxa"/>
            </w:tcMar>
            <w:vAlign w:val="center"/>
          </w:tcPr>
          <w:p>
            <w:pPr>
              <w:widowControl/>
              <w:spacing w:line="240" w:lineRule="atLeast"/>
              <w:ind w:left="105" w:right="105"/>
              <w:jc w:val="left"/>
            </w:pPr>
            <w:r>
              <w:rPr>
                <w:rFonts w:hint="eastAsia" w:ascii="宋体" w:hAnsi="宋体" w:eastAsia="宋体" w:cs="宋体"/>
                <w:kern w:val="0"/>
                <w:szCs w:val="21"/>
              </w:rPr>
              <w:t>评价要点：</w:t>
            </w:r>
          </w:p>
          <w:p>
            <w:pPr>
              <w:widowControl/>
              <w:spacing w:line="240" w:lineRule="atLeast"/>
              <w:ind w:left="105" w:right="105"/>
              <w:jc w:val="left"/>
            </w:pPr>
            <w:r>
              <w:rPr>
                <w:rFonts w:hint="eastAsia" w:ascii="宋体" w:hAnsi="宋体" w:eastAsia="宋体" w:cs="宋体"/>
                <w:kern w:val="0"/>
                <w:szCs w:val="21"/>
              </w:rPr>
              <w:t>①资产保存是否完整；</w:t>
            </w:r>
          </w:p>
          <w:p>
            <w:pPr>
              <w:widowControl/>
              <w:spacing w:line="240" w:lineRule="atLeast"/>
              <w:ind w:left="105" w:right="105"/>
              <w:jc w:val="left"/>
            </w:pPr>
            <w:r>
              <w:rPr>
                <w:rFonts w:hint="eastAsia" w:ascii="宋体" w:hAnsi="宋体" w:eastAsia="宋体" w:cs="宋体"/>
                <w:kern w:val="0"/>
                <w:szCs w:val="21"/>
              </w:rPr>
              <w:t>②资产配置是否合理；</w:t>
            </w:r>
          </w:p>
          <w:p>
            <w:pPr>
              <w:widowControl/>
              <w:spacing w:line="240" w:lineRule="atLeast"/>
              <w:ind w:left="105" w:right="105"/>
              <w:jc w:val="left"/>
            </w:pPr>
            <w:r>
              <w:rPr>
                <w:rFonts w:hint="eastAsia" w:ascii="宋体" w:hAnsi="宋体" w:eastAsia="宋体" w:cs="宋体"/>
                <w:kern w:val="0"/>
                <w:szCs w:val="21"/>
              </w:rPr>
              <w:t>③资产处置是否规范；</w:t>
            </w:r>
          </w:p>
          <w:p>
            <w:pPr>
              <w:widowControl/>
              <w:spacing w:line="240" w:lineRule="atLeast"/>
              <w:ind w:left="105" w:right="105"/>
              <w:jc w:val="left"/>
            </w:pPr>
            <w:r>
              <w:rPr>
                <w:rFonts w:hint="eastAsia" w:ascii="宋体" w:hAnsi="宋体" w:eastAsia="宋体" w:cs="宋体"/>
                <w:kern w:val="0"/>
                <w:szCs w:val="21"/>
              </w:rPr>
              <w:t>④资产账务管理是否合规，是否账实相符；</w:t>
            </w:r>
          </w:p>
          <w:p>
            <w:pPr>
              <w:widowControl/>
              <w:spacing w:line="240" w:lineRule="atLeast"/>
              <w:ind w:left="105" w:right="105"/>
              <w:jc w:val="left"/>
            </w:pPr>
            <w:r>
              <w:rPr>
                <w:rFonts w:hint="eastAsia" w:ascii="宋体" w:hAnsi="宋体" w:eastAsia="宋体" w:cs="宋体"/>
                <w:kern w:val="0"/>
                <w:szCs w:val="21"/>
              </w:rPr>
              <w:t>⑤资产是否有偿使用及处置收入及时足额上缴。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95" w:hRule="atLeast"/>
          <w:jc w:val="center"/>
        </w:trPr>
        <w:tc>
          <w:tcPr>
            <w:tcW w:w="481" w:type="pct"/>
            <w:vMerge w:val="continue"/>
            <w:tcBorders>
              <w:top w:val="nil"/>
              <w:left w:val="single" w:color="000000" w:sz="12" w:space="0"/>
              <w:bottom w:val="single" w:color="auto" w:sz="8" w:space="0"/>
              <w:right w:val="single" w:color="auto" w:sz="8" w:space="0"/>
            </w:tcBorders>
            <w:shd w:val="clear" w:color="auto" w:fill="auto"/>
            <w:tcMar>
              <w:top w:w="0" w:type="dxa"/>
              <w:left w:w="0" w:type="dxa"/>
              <w:bottom w:w="0" w:type="dxa"/>
              <w:right w:w="0" w:type="dxa"/>
            </w:tcMar>
            <w:vAlign w:val="center"/>
          </w:tcPr>
          <w:p>
            <w:pPr>
              <w:jc w:val="center"/>
              <w:rPr>
                <w:rFonts w:ascii="宋体"/>
                <w:sz w:val="24"/>
                <w:szCs w:val="24"/>
              </w:rPr>
            </w:pPr>
          </w:p>
        </w:tc>
        <w:tc>
          <w:tcPr>
            <w:tcW w:w="481" w:type="pct"/>
            <w:vMerge w:val="continue"/>
            <w:tcBorders>
              <w:top w:val="nil"/>
              <w:left w:val="single" w:color="auto" w:sz="8" w:space="0"/>
              <w:bottom w:val="single" w:color="auto" w:sz="8" w:space="0"/>
              <w:right w:val="single" w:color="auto" w:sz="8" w:space="0"/>
            </w:tcBorders>
            <w:shd w:val="clear" w:color="auto" w:fill="auto"/>
            <w:tcMar>
              <w:top w:w="10" w:type="dxa"/>
              <w:left w:w="10" w:type="dxa"/>
              <w:bottom w:w="0" w:type="dxa"/>
              <w:right w:w="10" w:type="dxa"/>
            </w:tcMar>
            <w:vAlign w:val="center"/>
          </w:tcPr>
          <w:p>
            <w:pPr>
              <w:jc w:val="center"/>
              <w:rPr>
                <w:rFonts w:ascii="宋体"/>
                <w:sz w:val="24"/>
                <w:szCs w:val="24"/>
              </w:rPr>
            </w:pPr>
          </w:p>
        </w:tc>
        <w:tc>
          <w:tcPr>
            <w:tcW w:w="481" w:type="pct"/>
            <w:tcBorders>
              <w:top w:val="nil"/>
              <w:left w:val="single" w:color="auto" w:sz="8" w:space="0"/>
              <w:bottom w:val="single" w:color="auto" w:sz="8" w:space="0"/>
              <w:right w:val="single" w:color="auto" w:sz="8" w:space="0"/>
            </w:tcBorders>
            <w:shd w:val="clear" w:color="auto" w:fill="auto"/>
            <w:tcMar>
              <w:top w:w="10" w:type="dxa"/>
              <w:left w:w="10" w:type="dxa"/>
              <w:bottom w:w="0" w:type="dxa"/>
              <w:right w:w="10" w:type="dxa"/>
            </w:tcMar>
            <w:vAlign w:val="center"/>
          </w:tcPr>
          <w:p>
            <w:pPr>
              <w:widowControl/>
              <w:spacing w:line="240" w:lineRule="atLeast"/>
              <w:jc w:val="center"/>
            </w:pPr>
            <w:r>
              <w:rPr>
                <w:rFonts w:hint="eastAsia" w:ascii="宋体" w:hAnsi="宋体" w:eastAsia="宋体" w:cs="宋体"/>
                <w:kern w:val="0"/>
                <w:szCs w:val="21"/>
              </w:rPr>
              <w:t>固定资产</w:t>
            </w:r>
          </w:p>
          <w:p>
            <w:pPr>
              <w:widowControl/>
              <w:spacing w:line="240" w:lineRule="atLeast"/>
              <w:jc w:val="center"/>
            </w:pPr>
            <w:r>
              <w:rPr>
                <w:rFonts w:hint="eastAsia" w:ascii="宋体" w:hAnsi="宋体" w:eastAsia="宋体" w:cs="宋体"/>
                <w:kern w:val="0"/>
                <w:szCs w:val="21"/>
              </w:rPr>
              <w:t>利用率 （1分）</w:t>
            </w:r>
          </w:p>
        </w:tc>
        <w:tc>
          <w:tcPr>
            <w:tcW w:w="224" w:type="pct"/>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widowControl/>
              <w:spacing w:line="240" w:lineRule="atLeast"/>
              <w:ind w:left="105" w:right="105" w:firstLine="96"/>
              <w:jc w:val="center"/>
            </w:pPr>
          </w:p>
          <w:p>
            <w:pPr>
              <w:widowControl/>
              <w:spacing w:line="240" w:lineRule="atLeast"/>
              <w:ind w:left="105" w:right="105" w:firstLine="96"/>
              <w:jc w:val="center"/>
            </w:pPr>
          </w:p>
          <w:p>
            <w:pPr>
              <w:widowControl/>
              <w:spacing w:line="240" w:lineRule="atLeast"/>
              <w:ind w:left="105" w:right="105" w:firstLine="96"/>
              <w:jc w:val="center"/>
            </w:pPr>
            <w:r>
              <w:rPr>
                <w:rFonts w:hint="eastAsia" w:ascii="宋体" w:hAnsi="宋体" w:eastAsia="宋体" w:cs="宋体"/>
                <w:kern w:val="0"/>
                <w:szCs w:val="21"/>
              </w:rPr>
              <w:t>1</w:t>
            </w:r>
          </w:p>
        </w:tc>
        <w:tc>
          <w:tcPr>
            <w:tcW w:w="1703" w:type="pct"/>
            <w:tcBorders>
              <w:top w:val="nil"/>
              <w:left w:val="single" w:color="auto" w:sz="8" w:space="0"/>
              <w:bottom w:val="single" w:color="auto" w:sz="8" w:space="0"/>
              <w:right w:val="single" w:color="auto" w:sz="8" w:space="0"/>
            </w:tcBorders>
            <w:shd w:val="clear" w:color="auto" w:fill="auto"/>
            <w:tcMar>
              <w:top w:w="10" w:type="dxa"/>
              <w:left w:w="10" w:type="dxa"/>
              <w:bottom w:w="0" w:type="dxa"/>
              <w:right w:w="10" w:type="dxa"/>
            </w:tcMar>
            <w:vAlign w:val="center"/>
          </w:tcPr>
          <w:p>
            <w:pPr>
              <w:widowControl/>
              <w:spacing w:line="240" w:lineRule="atLeast"/>
              <w:ind w:left="105" w:right="105" w:firstLine="96"/>
              <w:jc w:val="left"/>
            </w:pPr>
            <w:r>
              <w:rPr>
                <w:rFonts w:hint="eastAsia" w:ascii="宋体" w:hAnsi="宋体" w:eastAsia="宋体" w:cs="宋体"/>
                <w:kern w:val="0"/>
                <w:szCs w:val="21"/>
              </w:rPr>
              <w:t>部门实际在用固定资产总额与所有固定资产总额的比率，用以反映和考核部门固定资产使用效率程度。</w:t>
            </w:r>
          </w:p>
        </w:tc>
        <w:tc>
          <w:tcPr>
            <w:tcW w:w="1629" w:type="pct"/>
            <w:tcBorders>
              <w:top w:val="nil"/>
              <w:left w:val="single" w:color="auto" w:sz="8" w:space="0"/>
              <w:bottom w:val="single" w:color="auto" w:sz="8" w:space="0"/>
              <w:right w:val="single" w:color="auto" w:sz="8" w:space="0"/>
            </w:tcBorders>
            <w:shd w:val="clear" w:color="auto" w:fill="auto"/>
            <w:tcMar>
              <w:top w:w="10" w:type="dxa"/>
              <w:left w:w="10" w:type="dxa"/>
              <w:bottom w:w="0" w:type="dxa"/>
              <w:right w:w="10" w:type="dxa"/>
            </w:tcMar>
            <w:vAlign w:val="center"/>
          </w:tcPr>
          <w:p>
            <w:pPr>
              <w:widowControl/>
              <w:spacing w:line="240" w:lineRule="atLeast"/>
              <w:ind w:left="105" w:right="105"/>
              <w:jc w:val="left"/>
            </w:pPr>
            <w:r>
              <w:rPr>
                <w:rFonts w:hint="eastAsia" w:ascii="宋体" w:hAnsi="宋体" w:eastAsia="宋体" w:cs="宋体"/>
                <w:kern w:val="0"/>
                <w:szCs w:val="21"/>
              </w:rPr>
              <w:t>固定资产利用率=（实际在用固定资产总额/所有固定资产总额）×100%。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171" w:hRule="atLeast"/>
          <w:jc w:val="center"/>
        </w:trPr>
        <w:tc>
          <w:tcPr>
            <w:tcW w:w="481" w:type="pct"/>
            <w:vMerge w:val="restart"/>
            <w:tcBorders>
              <w:top w:val="nil"/>
              <w:left w:val="single" w:color="auto" w:sz="8" w:space="0"/>
              <w:bottom w:val="single" w:color="auto" w:sz="8" w:space="0"/>
              <w:right w:val="single" w:color="auto" w:sz="8" w:space="0"/>
            </w:tcBorders>
            <w:shd w:val="clear" w:color="auto" w:fill="auto"/>
            <w:noWrap/>
            <w:tcMar>
              <w:top w:w="10" w:type="dxa"/>
              <w:left w:w="10" w:type="dxa"/>
              <w:bottom w:w="0" w:type="dxa"/>
              <w:right w:w="10" w:type="dxa"/>
            </w:tcMar>
            <w:vAlign w:val="center"/>
          </w:tcPr>
          <w:p>
            <w:pPr>
              <w:widowControl/>
              <w:spacing w:line="240" w:lineRule="atLeast"/>
              <w:jc w:val="center"/>
            </w:pPr>
            <w:r>
              <w:rPr>
                <w:rFonts w:hint="eastAsia" w:ascii="宋体" w:hAnsi="宋体" w:eastAsia="宋体" w:cs="宋体"/>
                <w:kern w:val="0"/>
                <w:szCs w:val="21"/>
              </w:rPr>
              <w:t>产出    （30分）</w:t>
            </w:r>
          </w:p>
        </w:tc>
        <w:tc>
          <w:tcPr>
            <w:tcW w:w="481" w:type="pct"/>
            <w:vMerge w:val="restart"/>
            <w:tcBorders>
              <w:top w:val="nil"/>
              <w:left w:val="single" w:color="auto" w:sz="8" w:space="0"/>
              <w:bottom w:val="single" w:color="auto" w:sz="8" w:space="0"/>
              <w:right w:val="single" w:color="auto" w:sz="8" w:space="0"/>
            </w:tcBorders>
            <w:shd w:val="clear" w:color="auto" w:fill="auto"/>
            <w:tcMar>
              <w:top w:w="10" w:type="dxa"/>
              <w:left w:w="10" w:type="dxa"/>
              <w:bottom w:w="0" w:type="dxa"/>
              <w:right w:w="10" w:type="dxa"/>
            </w:tcMar>
            <w:vAlign w:val="center"/>
          </w:tcPr>
          <w:p>
            <w:pPr>
              <w:widowControl/>
              <w:spacing w:line="240" w:lineRule="atLeast"/>
              <w:jc w:val="center"/>
            </w:pPr>
            <w:r>
              <w:rPr>
                <w:rFonts w:hint="eastAsia" w:ascii="宋体" w:hAnsi="宋体" w:eastAsia="宋体" w:cs="宋体"/>
                <w:kern w:val="0"/>
                <w:szCs w:val="21"/>
              </w:rPr>
              <w:t>职责</w:t>
            </w:r>
          </w:p>
          <w:p>
            <w:pPr>
              <w:widowControl/>
              <w:spacing w:line="240" w:lineRule="atLeast"/>
              <w:jc w:val="center"/>
            </w:pPr>
            <w:r>
              <w:rPr>
                <w:rFonts w:hint="eastAsia" w:ascii="宋体" w:hAnsi="宋体" w:eastAsia="宋体" w:cs="宋体"/>
                <w:kern w:val="0"/>
                <w:szCs w:val="21"/>
              </w:rPr>
              <w:t>履行  （30分）</w:t>
            </w:r>
          </w:p>
        </w:tc>
        <w:tc>
          <w:tcPr>
            <w:tcW w:w="481" w:type="pct"/>
            <w:tcBorders>
              <w:top w:val="nil"/>
              <w:left w:val="single" w:color="auto" w:sz="8" w:space="0"/>
              <w:bottom w:val="single" w:color="auto" w:sz="8" w:space="0"/>
              <w:right w:val="single" w:color="auto" w:sz="8" w:space="0"/>
            </w:tcBorders>
            <w:shd w:val="clear" w:color="auto" w:fill="auto"/>
            <w:tcMar>
              <w:top w:w="10" w:type="dxa"/>
              <w:left w:w="10" w:type="dxa"/>
              <w:bottom w:w="0" w:type="dxa"/>
              <w:right w:w="10" w:type="dxa"/>
            </w:tcMar>
            <w:vAlign w:val="center"/>
          </w:tcPr>
          <w:p>
            <w:pPr>
              <w:widowControl/>
              <w:spacing w:line="240" w:lineRule="atLeast"/>
              <w:jc w:val="center"/>
            </w:pPr>
            <w:r>
              <w:rPr>
                <w:rFonts w:hint="eastAsia" w:ascii="宋体" w:hAnsi="宋体" w:eastAsia="宋体" w:cs="宋体"/>
                <w:kern w:val="0"/>
                <w:szCs w:val="21"/>
              </w:rPr>
              <w:t>实际</w:t>
            </w:r>
          </w:p>
          <w:p>
            <w:pPr>
              <w:widowControl/>
              <w:spacing w:line="240" w:lineRule="atLeast"/>
              <w:jc w:val="center"/>
            </w:pPr>
            <w:r>
              <w:rPr>
                <w:rFonts w:hint="eastAsia" w:ascii="宋体" w:hAnsi="宋体" w:eastAsia="宋体" w:cs="宋体"/>
                <w:kern w:val="0"/>
                <w:szCs w:val="21"/>
              </w:rPr>
              <w:t>完成率 （8分）</w:t>
            </w:r>
          </w:p>
        </w:tc>
        <w:tc>
          <w:tcPr>
            <w:tcW w:w="224" w:type="pct"/>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widowControl/>
              <w:spacing w:line="240" w:lineRule="atLeast"/>
              <w:ind w:left="105" w:right="105" w:firstLine="96"/>
              <w:jc w:val="center"/>
            </w:pPr>
          </w:p>
          <w:p>
            <w:pPr>
              <w:widowControl/>
              <w:spacing w:line="240" w:lineRule="atLeast"/>
              <w:ind w:left="105" w:right="105" w:firstLine="96"/>
              <w:jc w:val="center"/>
            </w:pPr>
          </w:p>
          <w:p>
            <w:pPr>
              <w:widowControl/>
              <w:spacing w:line="240" w:lineRule="atLeast"/>
              <w:ind w:left="105" w:right="105" w:firstLine="96"/>
              <w:jc w:val="center"/>
            </w:pPr>
          </w:p>
          <w:p>
            <w:pPr>
              <w:widowControl/>
              <w:spacing w:line="240" w:lineRule="atLeast"/>
              <w:ind w:left="105" w:right="105" w:firstLine="96"/>
              <w:jc w:val="center"/>
            </w:pPr>
            <w:r>
              <w:rPr>
                <w:rFonts w:hint="eastAsia" w:ascii="宋体" w:hAnsi="宋体" w:eastAsia="宋体" w:cs="宋体"/>
                <w:kern w:val="0"/>
                <w:szCs w:val="21"/>
              </w:rPr>
              <w:t>8</w:t>
            </w:r>
          </w:p>
        </w:tc>
        <w:tc>
          <w:tcPr>
            <w:tcW w:w="1703" w:type="pct"/>
            <w:tcBorders>
              <w:top w:val="nil"/>
              <w:left w:val="single" w:color="auto" w:sz="8" w:space="0"/>
              <w:bottom w:val="single" w:color="auto" w:sz="8" w:space="0"/>
              <w:right w:val="single" w:color="auto" w:sz="8" w:space="0"/>
            </w:tcBorders>
            <w:shd w:val="clear" w:color="auto" w:fill="auto"/>
            <w:tcMar>
              <w:top w:w="10" w:type="dxa"/>
              <w:left w:w="10" w:type="dxa"/>
              <w:bottom w:w="0" w:type="dxa"/>
              <w:right w:w="10" w:type="dxa"/>
            </w:tcMar>
            <w:vAlign w:val="center"/>
          </w:tcPr>
          <w:p>
            <w:pPr>
              <w:widowControl/>
              <w:spacing w:line="240" w:lineRule="atLeast"/>
              <w:ind w:left="105" w:right="105" w:firstLine="96"/>
              <w:jc w:val="left"/>
            </w:pPr>
            <w:r>
              <w:rPr>
                <w:rFonts w:hint="eastAsia" w:ascii="宋体" w:hAnsi="宋体" w:eastAsia="宋体" w:cs="宋体"/>
                <w:kern w:val="0"/>
                <w:szCs w:val="21"/>
              </w:rPr>
              <w:t>部门履行职责而实际完成工作数与计划工作数的比率，用以反映和考核部门履职工作任务目标的实现程度。</w:t>
            </w:r>
          </w:p>
        </w:tc>
        <w:tc>
          <w:tcPr>
            <w:tcW w:w="1629" w:type="pct"/>
            <w:tcBorders>
              <w:top w:val="nil"/>
              <w:left w:val="single" w:color="auto" w:sz="8" w:space="0"/>
              <w:bottom w:val="single" w:color="auto" w:sz="8" w:space="0"/>
              <w:right w:val="single" w:color="auto" w:sz="8" w:space="0"/>
            </w:tcBorders>
            <w:shd w:val="clear" w:color="auto" w:fill="auto"/>
            <w:tcMar>
              <w:top w:w="10" w:type="dxa"/>
              <w:left w:w="10" w:type="dxa"/>
              <w:bottom w:w="0" w:type="dxa"/>
              <w:right w:w="10" w:type="dxa"/>
            </w:tcMar>
            <w:vAlign w:val="center"/>
          </w:tcPr>
          <w:p>
            <w:pPr>
              <w:widowControl/>
              <w:spacing w:line="240" w:lineRule="atLeast"/>
              <w:ind w:left="105" w:right="105"/>
              <w:jc w:val="left"/>
            </w:pPr>
            <w:r>
              <w:rPr>
                <w:rFonts w:hint="eastAsia" w:ascii="宋体" w:hAnsi="宋体" w:eastAsia="宋体" w:cs="宋体"/>
                <w:kern w:val="0"/>
                <w:szCs w:val="21"/>
              </w:rPr>
              <w:t>实际完成率=（实际完成工作数/计划工作数）×100%。</w:t>
            </w:r>
          </w:p>
          <w:p>
            <w:pPr>
              <w:widowControl/>
              <w:spacing w:line="240" w:lineRule="atLeast"/>
              <w:ind w:left="105" w:right="105"/>
              <w:jc w:val="left"/>
            </w:pPr>
            <w:r>
              <w:rPr>
                <w:rFonts w:hint="eastAsia" w:ascii="宋体" w:hAnsi="宋体" w:eastAsia="宋体" w:cs="宋体"/>
                <w:kern w:val="0"/>
                <w:szCs w:val="21"/>
              </w:rPr>
              <w:t>实际完成工作数：一定时期（年度或规划期）内部门实际完成工作任务的数量。</w:t>
            </w:r>
          </w:p>
          <w:p>
            <w:pPr>
              <w:widowControl/>
              <w:spacing w:line="240" w:lineRule="atLeast"/>
              <w:ind w:left="105" w:right="105"/>
              <w:jc w:val="left"/>
            </w:pPr>
            <w:r>
              <w:rPr>
                <w:rFonts w:hint="eastAsia" w:ascii="宋体" w:hAnsi="宋体" w:eastAsia="宋体" w:cs="宋体"/>
                <w:kern w:val="0"/>
                <w:szCs w:val="21"/>
              </w:rPr>
              <w:t>计划工作数：部门整体绩效目标确定的一定时期（年度或规划期）内预计完成工作任务的数量。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393" w:hRule="atLeast"/>
          <w:jc w:val="center"/>
        </w:trPr>
        <w:tc>
          <w:tcPr>
            <w:tcW w:w="481" w:type="pct"/>
            <w:vMerge w:val="continue"/>
            <w:tcBorders>
              <w:top w:val="nil"/>
              <w:left w:val="single" w:color="auto" w:sz="8" w:space="0"/>
              <w:bottom w:val="single" w:color="auto" w:sz="8" w:space="0"/>
              <w:right w:val="single" w:color="auto" w:sz="8" w:space="0"/>
            </w:tcBorders>
            <w:shd w:val="clear" w:color="auto" w:fill="auto"/>
            <w:noWrap/>
            <w:tcMar>
              <w:top w:w="10" w:type="dxa"/>
              <w:left w:w="10" w:type="dxa"/>
              <w:bottom w:w="0" w:type="dxa"/>
              <w:right w:w="10" w:type="dxa"/>
            </w:tcMar>
            <w:vAlign w:val="center"/>
          </w:tcPr>
          <w:p>
            <w:pPr>
              <w:jc w:val="center"/>
              <w:rPr>
                <w:rFonts w:ascii="宋体"/>
                <w:sz w:val="24"/>
                <w:szCs w:val="24"/>
              </w:rPr>
            </w:pPr>
          </w:p>
        </w:tc>
        <w:tc>
          <w:tcPr>
            <w:tcW w:w="481" w:type="pct"/>
            <w:vMerge w:val="continue"/>
            <w:tcBorders>
              <w:top w:val="nil"/>
              <w:left w:val="single" w:color="auto" w:sz="8" w:space="0"/>
              <w:bottom w:val="single" w:color="auto" w:sz="8" w:space="0"/>
              <w:right w:val="single" w:color="auto" w:sz="8" w:space="0"/>
            </w:tcBorders>
            <w:shd w:val="clear" w:color="auto" w:fill="auto"/>
            <w:tcMar>
              <w:top w:w="10" w:type="dxa"/>
              <w:left w:w="10" w:type="dxa"/>
              <w:bottom w:w="0" w:type="dxa"/>
              <w:right w:w="10" w:type="dxa"/>
            </w:tcMar>
            <w:vAlign w:val="center"/>
          </w:tcPr>
          <w:p>
            <w:pPr>
              <w:jc w:val="center"/>
              <w:rPr>
                <w:rFonts w:ascii="宋体"/>
                <w:sz w:val="24"/>
                <w:szCs w:val="24"/>
              </w:rPr>
            </w:pPr>
          </w:p>
        </w:tc>
        <w:tc>
          <w:tcPr>
            <w:tcW w:w="481" w:type="pct"/>
            <w:tcBorders>
              <w:top w:val="nil"/>
              <w:left w:val="single" w:color="auto" w:sz="8" w:space="0"/>
              <w:bottom w:val="single" w:color="auto" w:sz="8" w:space="0"/>
              <w:right w:val="single" w:color="auto" w:sz="8" w:space="0"/>
            </w:tcBorders>
            <w:shd w:val="clear" w:color="auto" w:fill="auto"/>
            <w:tcMar>
              <w:top w:w="10" w:type="dxa"/>
              <w:left w:w="10" w:type="dxa"/>
              <w:bottom w:w="0" w:type="dxa"/>
              <w:right w:w="10" w:type="dxa"/>
            </w:tcMar>
            <w:vAlign w:val="center"/>
          </w:tcPr>
          <w:p>
            <w:pPr>
              <w:widowControl/>
              <w:spacing w:line="240" w:lineRule="atLeast"/>
              <w:jc w:val="center"/>
            </w:pPr>
            <w:r>
              <w:rPr>
                <w:rFonts w:hint="eastAsia" w:ascii="宋体" w:hAnsi="宋体" w:eastAsia="宋体" w:cs="宋体"/>
                <w:kern w:val="0"/>
                <w:szCs w:val="21"/>
              </w:rPr>
              <w:t>完成</w:t>
            </w:r>
          </w:p>
          <w:p>
            <w:pPr>
              <w:widowControl/>
              <w:spacing w:line="240" w:lineRule="atLeast"/>
              <w:jc w:val="center"/>
            </w:pPr>
            <w:r>
              <w:rPr>
                <w:rFonts w:hint="eastAsia" w:ascii="宋体" w:hAnsi="宋体" w:eastAsia="宋体" w:cs="宋体"/>
                <w:kern w:val="0"/>
                <w:szCs w:val="21"/>
              </w:rPr>
              <w:t>及时率 （4分）</w:t>
            </w:r>
          </w:p>
        </w:tc>
        <w:tc>
          <w:tcPr>
            <w:tcW w:w="224" w:type="pct"/>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widowControl/>
              <w:spacing w:line="240" w:lineRule="atLeast"/>
              <w:ind w:left="105" w:right="105" w:firstLine="96"/>
              <w:jc w:val="center"/>
            </w:pPr>
          </w:p>
          <w:p>
            <w:pPr>
              <w:widowControl/>
              <w:spacing w:line="240" w:lineRule="atLeast"/>
              <w:ind w:left="105" w:right="105" w:firstLine="96"/>
              <w:jc w:val="center"/>
            </w:pPr>
          </w:p>
          <w:p>
            <w:pPr>
              <w:widowControl/>
              <w:spacing w:line="240" w:lineRule="atLeast"/>
              <w:ind w:left="105" w:right="105" w:firstLine="96"/>
              <w:jc w:val="center"/>
            </w:pPr>
          </w:p>
          <w:p>
            <w:pPr>
              <w:widowControl/>
              <w:spacing w:line="240" w:lineRule="atLeast"/>
              <w:ind w:left="105" w:right="105" w:firstLine="96"/>
              <w:jc w:val="center"/>
            </w:pPr>
            <w:r>
              <w:rPr>
                <w:rFonts w:hint="eastAsia" w:ascii="宋体" w:hAnsi="宋体" w:eastAsia="宋体" w:cs="宋体"/>
                <w:kern w:val="0"/>
                <w:szCs w:val="21"/>
              </w:rPr>
              <w:t>4</w:t>
            </w:r>
          </w:p>
        </w:tc>
        <w:tc>
          <w:tcPr>
            <w:tcW w:w="1703" w:type="pct"/>
            <w:tcBorders>
              <w:top w:val="nil"/>
              <w:left w:val="single" w:color="auto" w:sz="8" w:space="0"/>
              <w:bottom w:val="single" w:color="auto" w:sz="8" w:space="0"/>
              <w:right w:val="single" w:color="auto" w:sz="8" w:space="0"/>
            </w:tcBorders>
            <w:shd w:val="clear" w:color="auto" w:fill="auto"/>
            <w:tcMar>
              <w:top w:w="10" w:type="dxa"/>
              <w:left w:w="10" w:type="dxa"/>
              <w:bottom w:w="0" w:type="dxa"/>
              <w:right w:w="10" w:type="dxa"/>
            </w:tcMar>
            <w:vAlign w:val="center"/>
          </w:tcPr>
          <w:p>
            <w:pPr>
              <w:widowControl/>
              <w:spacing w:line="240" w:lineRule="atLeast"/>
              <w:ind w:left="105" w:right="105" w:firstLine="96"/>
              <w:jc w:val="left"/>
            </w:pPr>
            <w:r>
              <w:rPr>
                <w:rFonts w:hint="eastAsia" w:ascii="宋体" w:hAnsi="宋体" w:eastAsia="宋体" w:cs="宋体"/>
                <w:kern w:val="0"/>
                <w:szCs w:val="21"/>
              </w:rPr>
              <w:t>部门在规定时限内及时完成的实际工作数与计划工作数的比率,用以反映和考核部门履职时效目标的实现程度。</w:t>
            </w:r>
          </w:p>
        </w:tc>
        <w:tc>
          <w:tcPr>
            <w:tcW w:w="1629" w:type="pct"/>
            <w:tcBorders>
              <w:top w:val="nil"/>
              <w:left w:val="single" w:color="auto" w:sz="8" w:space="0"/>
              <w:bottom w:val="single" w:color="auto" w:sz="8" w:space="0"/>
              <w:right w:val="single" w:color="auto" w:sz="8" w:space="0"/>
            </w:tcBorders>
            <w:shd w:val="clear" w:color="auto" w:fill="auto"/>
            <w:tcMar>
              <w:top w:w="10" w:type="dxa"/>
              <w:left w:w="10" w:type="dxa"/>
              <w:bottom w:w="0" w:type="dxa"/>
              <w:right w:w="10" w:type="dxa"/>
            </w:tcMar>
            <w:vAlign w:val="center"/>
          </w:tcPr>
          <w:p>
            <w:pPr>
              <w:widowControl/>
              <w:spacing w:line="240" w:lineRule="atLeast"/>
              <w:ind w:left="105" w:right="105"/>
              <w:jc w:val="left"/>
            </w:pPr>
            <w:r>
              <w:rPr>
                <w:rFonts w:hint="eastAsia" w:ascii="宋体" w:hAnsi="宋体" w:eastAsia="宋体" w:cs="宋体"/>
                <w:kern w:val="0"/>
                <w:szCs w:val="21"/>
              </w:rPr>
              <w:t>完成及时率=（及时完成实际工作数/计划工作数）×100%。</w:t>
            </w:r>
          </w:p>
          <w:p>
            <w:pPr>
              <w:widowControl/>
              <w:spacing w:line="240" w:lineRule="atLeast"/>
              <w:ind w:left="105" w:right="105"/>
              <w:jc w:val="left"/>
            </w:pPr>
            <w:r>
              <w:rPr>
                <w:rFonts w:hint="eastAsia" w:ascii="宋体" w:hAnsi="宋体" w:eastAsia="宋体" w:cs="宋体"/>
                <w:kern w:val="0"/>
                <w:szCs w:val="21"/>
              </w:rPr>
              <w:t>及时完成实际工作数：部门按照整体绩效目标确定的时限实际完成的工作任务数量。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675" w:hRule="atLeast"/>
          <w:jc w:val="center"/>
        </w:trPr>
        <w:tc>
          <w:tcPr>
            <w:tcW w:w="481" w:type="pct"/>
            <w:vMerge w:val="continue"/>
            <w:tcBorders>
              <w:top w:val="nil"/>
              <w:left w:val="single" w:color="auto" w:sz="8" w:space="0"/>
              <w:bottom w:val="single" w:color="auto" w:sz="8" w:space="0"/>
              <w:right w:val="single" w:color="auto" w:sz="8" w:space="0"/>
            </w:tcBorders>
            <w:shd w:val="clear" w:color="auto" w:fill="auto"/>
            <w:noWrap/>
            <w:tcMar>
              <w:top w:w="10" w:type="dxa"/>
              <w:left w:w="10" w:type="dxa"/>
              <w:bottom w:w="0" w:type="dxa"/>
              <w:right w:w="10" w:type="dxa"/>
            </w:tcMar>
            <w:vAlign w:val="center"/>
          </w:tcPr>
          <w:p>
            <w:pPr>
              <w:jc w:val="center"/>
              <w:rPr>
                <w:rFonts w:ascii="宋体"/>
                <w:sz w:val="24"/>
                <w:szCs w:val="24"/>
              </w:rPr>
            </w:pPr>
          </w:p>
        </w:tc>
        <w:tc>
          <w:tcPr>
            <w:tcW w:w="481" w:type="pct"/>
            <w:vMerge w:val="continue"/>
            <w:tcBorders>
              <w:top w:val="nil"/>
              <w:left w:val="single" w:color="auto" w:sz="8" w:space="0"/>
              <w:bottom w:val="single" w:color="auto" w:sz="8" w:space="0"/>
              <w:right w:val="single" w:color="auto" w:sz="8" w:space="0"/>
            </w:tcBorders>
            <w:shd w:val="clear" w:color="auto" w:fill="auto"/>
            <w:tcMar>
              <w:top w:w="10" w:type="dxa"/>
              <w:left w:w="10" w:type="dxa"/>
              <w:bottom w:w="0" w:type="dxa"/>
              <w:right w:w="10" w:type="dxa"/>
            </w:tcMar>
            <w:vAlign w:val="center"/>
          </w:tcPr>
          <w:p>
            <w:pPr>
              <w:jc w:val="center"/>
              <w:rPr>
                <w:rFonts w:ascii="宋体"/>
                <w:sz w:val="24"/>
                <w:szCs w:val="24"/>
              </w:rPr>
            </w:pPr>
          </w:p>
        </w:tc>
        <w:tc>
          <w:tcPr>
            <w:tcW w:w="481" w:type="pct"/>
            <w:tcBorders>
              <w:top w:val="nil"/>
              <w:left w:val="single" w:color="auto" w:sz="8" w:space="0"/>
              <w:bottom w:val="single" w:color="auto" w:sz="8" w:space="0"/>
              <w:right w:val="single" w:color="auto" w:sz="8" w:space="0"/>
            </w:tcBorders>
            <w:shd w:val="clear" w:color="auto" w:fill="auto"/>
            <w:tcMar>
              <w:top w:w="10" w:type="dxa"/>
              <w:left w:w="10" w:type="dxa"/>
              <w:bottom w:w="0" w:type="dxa"/>
              <w:right w:w="10" w:type="dxa"/>
            </w:tcMar>
            <w:vAlign w:val="center"/>
          </w:tcPr>
          <w:p>
            <w:pPr>
              <w:widowControl/>
              <w:spacing w:line="240" w:lineRule="atLeast"/>
              <w:jc w:val="center"/>
            </w:pPr>
            <w:r>
              <w:rPr>
                <w:rFonts w:hint="eastAsia" w:ascii="宋体" w:hAnsi="宋体" w:eastAsia="宋体" w:cs="宋体"/>
                <w:kern w:val="0"/>
                <w:szCs w:val="21"/>
              </w:rPr>
              <w:t>质量</w:t>
            </w:r>
          </w:p>
          <w:p>
            <w:pPr>
              <w:widowControl/>
              <w:spacing w:line="240" w:lineRule="atLeast"/>
              <w:jc w:val="center"/>
            </w:pPr>
            <w:r>
              <w:rPr>
                <w:rFonts w:hint="eastAsia" w:ascii="宋体" w:hAnsi="宋体" w:eastAsia="宋体" w:cs="宋体"/>
                <w:kern w:val="0"/>
                <w:szCs w:val="21"/>
              </w:rPr>
              <w:t>达标率 （8分）</w:t>
            </w:r>
          </w:p>
        </w:tc>
        <w:tc>
          <w:tcPr>
            <w:tcW w:w="224" w:type="pct"/>
            <w:tcBorders>
              <w:top w:val="nil"/>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widowControl/>
              <w:spacing w:line="240" w:lineRule="atLeast"/>
              <w:ind w:left="105" w:right="105" w:firstLine="96"/>
              <w:jc w:val="center"/>
            </w:pPr>
          </w:p>
          <w:p>
            <w:pPr>
              <w:widowControl/>
              <w:spacing w:line="240" w:lineRule="atLeast"/>
              <w:ind w:left="105" w:right="105" w:firstLine="96"/>
              <w:jc w:val="center"/>
            </w:pPr>
          </w:p>
          <w:p>
            <w:pPr>
              <w:widowControl/>
              <w:spacing w:line="240" w:lineRule="atLeast"/>
              <w:ind w:left="105" w:right="105" w:firstLine="96"/>
              <w:jc w:val="center"/>
            </w:pPr>
          </w:p>
          <w:p>
            <w:pPr>
              <w:widowControl/>
              <w:spacing w:line="240" w:lineRule="atLeast"/>
              <w:ind w:left="105" w:right="105" w:firstLine="96"/>
              <w:jc w:val="center"/>
            </w:pPr>
            <w:r>
              <w:rPr>
                <w:rFonts w:hint="eastAsia" w:ascii="宋体" w:hAnsi="宋体" w:eastAsia="宋体" w:cs="宋体"/>
                <w:kern w:val="0"/>
                <w:szCs w:val="21"/>
              </w:rPr>
              <w:t>8</w:t>
            </w:r>
          </w:p>
        </w:tc>
        <w:tc>
          <w:tcPr>
            <w:tcW w:w="1703" w:type="pct"/>
            <w:tcBorders>
              <w:top w:val="nil"/>
              <w:left w:val="single" w:color="auto" w:sz="8" w:space="0"/>
              <w:bottom w:val="single" w:color="auto" w:sz="8" w:space="0"/>
              <w:right w:val="single" w:color="auto" w:sz="8" w:space="0"/>
            </w:tcBorders>
            <w:shd w:val="clear" w:color="auto" w:fill="auto"/>
            <w:tcMar>
              <w:top w:w="10" w:type="dxa"/>
              <w:left w:w="10" w:type="dxa"/>
              <w:bottom w:w="0" w:type="dxa"/>
              <w:right w:w="10" w:type="dxa"/>
            </w:tcMar>
            <w:vAlign w:val="center"/>
          </w:tcPr>
          <w:p>
            <w:pPr>
              <w:widowControl/>
              <w:spacing w:line="240" w:lineRule="atLeast"/>
              <w:ind w:left="105" w:right="105" w:firstLine="96"/>
              <w:jc w:val="left"/>
            </w:pPr>
            <w:r>
              <w:rPr>
                <w:rFonts w:hint="eastAsia" w:ascii="宋体" w:hAnsi="宋体" w:eastAsia="宋体" w:cs="宋体"/>
                <w:kern w:val="0"/>
                <w:szCs w:val="21"/>
              </w:rPr>
              <w:t>达到质量标准（绩效标准值）的实际工作数与计划工作数的比率,用以反映和考核部门履职质量目标的实现程度。</w:t>
            </w:r>
          </w:p>
        </w:tc>
        <w:tc>
          <w:tcPr>
            <w:tcW w:w="1629" w:type="pct"/>
            <w:tcBorders>
              <w:top w:val="nil"/>
              <w:left w:val="single" w:color="auto" w:sz="8" w:space="0"/>
              <w:bottom w:val="single" w:color="auto" w:sz="8" w:space="0"/>
              <w:right w:val="single" w:color="auto" w:sz="8" w:space="0"/>
            </w:tcBorders>
            <w:shd w:val="clear" w:color="auto" w:fill="auto"/>
            <w:tcMar>
              <w:top w:w="10" w:type="dxa"/>
              <w:left w:w="10" w:type="dxa"/>
              <w:bottom w:w="0" w:type="dxa"/>
              <w:right w:w="10" w:type="dxa"/>
            </w:tcMar>
            <w:vAlign w:val="center"/>
          </w:tcPr>
          <w:p>
            <w:pPr>
              <w:widowControl/>
              <w:spacing w:line="240" w:lineRule="atLeast"/>
              <w:ind w:left="105" w:right="105"/>
              <w:jc w:val="left"/>
            </w:pPr>
            <w:r>
              <w:rPr>
                <w:rFonts w:hint="eastAsia" w:ascii="宋体" w:hAnsi="宋体" w:eastAsia="宋体" w:cs="宋体"/>
                <w:kern w:val="0"/>
                <w:szCs w:val="21"/>
              </w:rPr>
              <w:t>质量达标率=（质量达标实际工作数/计划工作数）×100%。</w:t>
            </w:r>
          </w:p>
          <w:p>
            <w:pPr>
              <w:widowControl/>
              <w:spacing w:line="240" w:lineRule="atLeast"/>
              <w:ind w:left="105" w:right="105"/>
              <w:jc w:val="left"/>
            </w:pPr>
            <w:r>
              <w:rPr>
                <w:rFonts w:hint="eastAsia" w:ascii="宋体" w:hAnsi="宋体" w:eastAsia="宋体" w:cs="宋体"/>
                <w:kern w:val="0"/>
                <w:szCs w:val="21"/>
              </w:rPr>
              <w:t>质量达标实际工作数：一定时期（年度或规划期）内部门实际完成工作数中达到部门绩效目标要求（绩效标准值）的工作任务数量。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125" w:hRule="atLeast"/>
          <w:jc w:val="center"/>
        </w:trPr>
        <w:tc>
          <w:tcPr>
            <w:tcW w:w="481" w:type="pct"/>
            <w:vMerge w:val="continue"/>
            <w:tcBorders>
              <w:top w:val="nil"/>
              <w:left w:val="single" w:color="auto" w:sz="8" w:space="0"/>
              <w:bottom w:val="single" w:color="000000" w:sz="12" w:space="0"/>
              <w:right w:val="single" w:color="auto" w:sz="8" w:space="0"/>
            </w:tcBorders>
            <w:shd w:val="clear" w:color="auto" w:fill="auto"/>
            <w:noWrap/>
            <w:tcMar>
              <w:top w:w="10" w:type="dxa"/>
              <w:left w:w="10" w:type="dxa"/>
              <w:bottom w:w="0" w:type="dxa"/>
              <w:right w:w="10" w:type="dxa"/>
            </w:tcMar>
            <w:vAlign w:val="center"/>
          </w:tcPr>
          <w:p>
            <w:pPr>
              <w:jc w:val="center"/>
              <w:rPr>
                <w:rFonts w:ascii="宋体"/>
                <w:sz w:val="24"/>
                <w:szCs w:val="24"/>
              </w:rPr>
            </w:pPr>
          </w:p>
        </w:tc>
        <w:tc>
          <w:tcPr>
            <w:tcW w:w="481" w:type="pct"/>
            <w:vMerge w:val="continue"/>
            <w:tcBorders>
              <w:top w:val="nil"/>
              <w:left w:val="single" w:color="auto" w:sz="8" w:space="0"/>
              <w:bottom w:val="single" w:color="000000" w:sz="12" w:space="0"/>
              <w:right w:val="single" w:color="auto" w:sz="8" w:space="0"/>
            </w:tcBorders>
            <w:shd w:val="clear" w:color="auto" w:fill="auto"/>
            <w:tcMar>
              <w:top w:w="10" w:type="dxa"/>
              <w:left w:w="10" w:type="dxa"/>
              <w:bottom w:w="0" w:type="dxa"/>
              <w:right w:w="10" w:type="dxa"/>
            </w:tcMar>
            <w:vAlign w:val="center"/>
          </w:tcPr>
          <w:p>
            <w:pPr>
              <w:jc w:val="center"/>
              <w:rPr>
                <w:rFonts w:ascii="宋体"/>
                <w:sz w:val="24"/>
                <w:szCs w:val="24"/>
              </w:rPr>
            </w:pPr>
          </w:p>
        </w:tc>
        <w:tc>
          <w:tcPr>
            <w:tcW w:w="481" w:type="pct"/>
            <w:tcBorders>
              <w:top w:val="nil"/>
              <w:left w:val="single" w:color="auto" w:sz="8" w:space="0"/>
              <w:bottom w:val="single" w:color="000000" w:sz="12" w:space="0"/>
              <w:right w:val="single" w:color="auto" w:sz="8" w:space="0"/>
            </w:tcBorders>
            <w:shd w:val="clear" w:color="auto" w:fill="auto"/>
            <w:tcMar>
              <w:top w:w="10" w:type="dxa"/>
              <w:left w:w="10" w:type="dxa"/>
              <w:bottom w:w="0" w:type="dxa"/>
              <w:right w:w="10" w:type="dxa"/>
            </w:tcMar>
            <w:vAlign w:val="center"/>
          </w:tcPr>
          <w:p>
            <w:pPr>
              <w:widowControl/>
              <w:spacing w:line="240" w:lineRule="atLeast"/>
              <w:jc w:val="center"/>
            </w:pPr>
            <w:r>
              <w:rPr>
                <w:rFonts w:hint="eastAsia" w:ascii="宋体" w:hAnsi="宋体" w:eastAsia="宋体" w:cs="宋体"/>
                <w:kern w:val="0"/>
                <w:szCs w:val="21"/>
              </w:rPr>
              <w:t>重点工作</w:t>
            </w:r>
          </w:p>
          <w:p>
            <w:pPr>
              <w:widowControl/>
              <w:spacing w:line="240" w:lineRule="atLeast"/>
              <w:jc w:val="center"/>
            </w:pPr>
            <w:r>
              <w:rPr>
                <w:rFonts w:hint="eastAsia" w:ascii="宋体" w:hAnsi="宋体" w:eastAsia="宋体" w:cs="宋体"/>
                <w:kern w:val="0"/>
                <w:szCs w:val="21"/>
              </w:rPr>
              <w:t>办结率（10分）</w:t>
            </w:r>
          </w:p>
        </w:tc>
        <w:tc>
          <w:tcPr>
            <w:tcW w:w="224" w:type="pct"/>
            <w:tcBorders>
              <w:top w:val="nil"/>
              <w:left w:val="single" w:color="auto" w:sz="8" w:space="0"/>
              <w:bottom w:val="single" w:color="000000" w:sz="12" w:space="0"/>
              <w:right w:val="single" w:color="auto" w:sz="8" w:space="0"/>
            </w:tcBorders>
            <w:shd w:val="clear" w:color="auto" w:fill="auto"/>
            <w:tcMar>
              <w:top w:w="0" w:type="dxa"/>
              <w:left w:w="0" w:type="dxa"/>
              <w:bottom w:w="0" w:type="dxa"/>
              <w:right w:w="0" w:type="dxa"/>
            </w:tcMar>
            <w:vAlign w:val="center"/>
          </w:tcPr>
          <w:p>
            <w:pPr>
              <w:widowControl/>
              <w:spacing w:line="240" w:lineRule="atLeast"/>
              <w:ind w:left="105" w:right="105" w:firstLine="96"/>
              <w:jc w:val="center"/>
            </w:pPr>
          </w:p>
          <w:p>
            <w:pPr>
              <w:widowControl/>
              <w:spacing w:line="240" w:lineRule="atLeast"/>
              <w:ind w:left="105" w:right="105" w:firstLine="96"/>
              <w:jc w:val="center"/>
            </w:pPr>
          </w:p>
          <w:p>
            <w:pPr>
              <w:widowControl/>
              <w:spacing w:line="240" w:lineRule="atLeast"/>
              <w:ind w:left="105" w:right="105" w:firstLine="96"/>
              <w:jc w:val="center"/>
            </w:pPr>
            <w:r>
              <w:rPr>
                <w:rFonts w:hint="eastAsia" w:ascii="宋体" w:hAnsi="宋体" w:eastAsia="宋体" w:cs="宋体"/>
                <w:kern w:val="0"/>
                <w:szCs w:val="21"/>
              </w:rPr>
              <w:t>10</w:t>
            </w:r>
          </w:p>
        </w:tc>
        <w:tc>
          <w:tcPr>
            <w:tcW w:w="1703" w:type="pct"/>
            <w:tcBorders>
              <w:top w:val="nil"/>
              <w:left w:val="single" w:color="auto" w:sz="8" w:space="0"/>
              <w:bottom w:val="single" w:color="000000" w:sz="12" w:space="0"/>
              <w:right w:val="single" w:color="auto" w:sz="8" w:space="0"/>
            </w:tcBorders>
            <w:shd w:val="clear" w:color="auto" w:fill="auto"/>
            <w:tcMar>
              <w:top w:w="10" w:type="dxa"/>
              <w:left w:w="10" w:type="dxa"/>
              <w:bottom w:w="0" w:type="dxa"/>
              <w:right w:w="10" w:type="dxa"/>
            </w:tcMar>
            <w:vAlign w:val="center"/>
          </w:tcPr>
          <w:p>
            <w:pPr>
              <w:widowControl/>
              <w:spacing w:line="240" w:lineRule="atLeast"/>
              <w:ind w:left="105" w:right="105" w:firstLine="96"/>
              <w:jc w:val="left"/>
            </w:pPr>
            <w:r>
              <w:rPr>
                <w:rFonts w:hint="eastAsia" w:ascii="宋体" w:hAnsi="宋体" w:eastAsia="宋体" w:cs="宋体"/>
                <w:kern w:val="0"/>
                <w:szCs w:val="21"/>
              </w:rPr>
              <w:t>部门年度重点工作实际完成数与交办或下达数的比率，用以反映部门对重点工作的办理落实程度。</w:t>
            </w:r>
          </w:p>
        </w:tc>
        <w:tc>
          <w:tcPr>
            <w:tcW w:w="1629" w:type="pct"/>
            <w:tcBorders>
              <w:top w:val="nil"/>
              <w:left w:val="single" w:color="auto" w:sz="8" w:space="0"/>
              <w:bottom w:val="single" w:color="000000" w:sz="12" w:space="0"/>
              <w:right w:val="single" w:color="auto" w:sz="8" w:space="0"/>
            </w:tcBorders>
            <w:shd w:val="clear" w:color="auto" w:fill="auto"/>
            <w:tcMar>
              <w:top w:w="10" w:type="dxa"/>
              <w:left w:w="10" w:type="dxa"/>
              <w:bottom w:w="0" w:type="dxa"/>
              <w:right w:w="10" w:type="dxa"/>
            </w:tcMar>
            <w:vAlign w:val="center"/>
          </w:tcPr>
          <w:p>
            <w:pPr>
              <w:widowControl/>
              <w:spacing w:line="240" w:lineRule="atLeast"/>
              <w:ind w:left="105" w:right="105"/>
              <w:jc w:val="left"/>
            </w:pPr>
            <w:r>
              <w:rPr>
                <w:rFonts w:hint="eastAsia" w:ascii="宋体" w:hAnsi="宋体" w:eastAsia="宋体" w:cs="宋体"/>
                <w:kern w:val="0"/>
                <w:szCs w:val="21"/>
              </w:rPr>
              <w:t>重点工作办结率=（重点工作实际完成数/交办或下达数）×100%。</w:t>
            </w:r>
          </w:p>
          <w:p>
            <w:pPr>
              <w:widowControl/>
              <w:spacing w:line="240" w:lineRule="atLeast"/>
              <w:ind w:left="105" w:right="105"/>
              <w:jc w:val="left"/>
            </w:pPr>
            <w:r>
              <w:rPr>
                <w:rFonts w:hint="eastAsia" w:ascii="宋体" w:hAnsi="宋体" w:eastAsia="宋体" w:cs="宋体"/>
                <w:kern w:val="0"/>
                <w:szCs w:val="21"/>
              </w:rPr>
              <w:t>重点工作是指党委、政府、人大、相关部门交办或下达的工作任务。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09" w:hRule="atLeast"/>
          <w:jc w:val="center"/>
        </w:trPr>
        <w:tc>
          <w:tcPr>
            <w:tcW w:w="481" w:type="pct"/>
            <w:vMerge w:val="restart"/>
            <w:tcBorders>
              <w:top w:val="single" w:color="000000" w:sz="12" w:space="0"/>
              <w:left w:val="single" w:color="000000" w:sz="12" w:space="0"/>
              <w:bottom w:val="single" w:color="000000" w:sz="12" w:space="0"/>
              <w:right w:val="single" w:color="000000" w:sz="12" w:space="0"/>
            </w:tcBorders>
            <w:shd w:val="clear" w:color="auto" w:fill="auto"/>
            <w:noWrap/>
            <w:tcMar>
              <w:top w:w="10" w:type="dxa"/>
              <w:left w:w="10" w:type="dxa"/>
              <w:bottom w:w="0" w:type="dxa"/>
              <w:right w:w="10" w:type="dxa"/>
            </w:tcMar>
            <w:vAlign w:val="center"/>
          </w:tcPr>
          <w:p>
            <w:pPr>
              <w:widowControl/>
              <w:spacing w:line="240" w:lineRule="atLeast"/>
              <w:jc w:val="center"/>
            </w:pPr>
            <w:r>
              <w:rPr>
                <w:rFonts w:hint="eastAsia" w:ascii="宋体" w:hAnsi="宋体" w:eastAsia="宋体" w:cs="宋体"/>
                <w:kern w:val="0"/>
                <w:szCs w:val="21"/>
              </w:rPr>
              <w:t>效 果（20分）</w:t>
            </w:r>
          </w:p>
        </w:tc>
        <w:tc>
          <w:tcPr>
            <w:tcW w:w="481" w:type="pct"/>
            <w:vMerge w:val="restart"/>
            <w:tcBorders>
              <w:top w:val="single" w:color="000000" w:sz="12" w:space="0"/>
              <w:left w:val="single" w:color="000000" w:sz="12" w:space="0"/>
              <w:bottom w:val="single" w:color="000000" w:sz="12" w:space="0"/>
              <w:right w:val="single" w:color="000000" w:sz="12" w:space="0"/>
            </w:tcBorders>
            <w:shd w:val="clear" w:color="auto" w:fill="auto"/>
            <w:tcMar>
              <w:top w:w="10" w:type="dxa"/>
              <w:left w:w="10" w:type="dxa"/>
              <w:bottom w:w="0" w:type="dxa"/>
              <w:right w:w="10" w:type="dxa"/>
            </w:tcMar>
            <w:vAlign w:val="center"/>
          </w:tcPr>
          <w:p>
            <w:pPr>
              <w:widowControl/>
              <w:spacing w:line="240" w:lineRule="atLeast"/>
              <w:jc w:val="center"/>
            </w:pPr>
            <w:r>
              <w:rPr>
                <w:rFonts w:hint="eastAsia" w:ascii="宋体" w:hAnsi="宋体" w:eastAsia="宋体" w:cs="宋体"/>
                <w:kern w:val="0"/>
                <w:szCs w:val="21"/>
              </w:rPr>
              <w:t>履职</w:t>
            </w:r>
          </w:p>
          <w:p>
            <w:pPr>
              <w:widowControl/>
              <w:spacing w:line="240" w:lineRule="atLeast"/>
              <w:jc w:val="center"/>
            </w:pPr>
            <w:r>
              <w:rPr>
                <w:rFonts w:hint="eastAsia" w:ascii="宋体" w:hAnsi="宋体" w:eastAsia="宋体" w:cs="宋体"/>
                <w:kern w:val="0"/>
                <w:szCs w:val="21"/>
              </w:rPr>
              <w:t>效益  （20分）</w:t>
            </w:r>
          </w:p>
        </w:tc>
        <w:tc>
          <w:tcPr>
            <w:tcW w:w="481" w:type="pct"/>
            <w:tcBorders>
              <w:top w:val="single" w:color="000000" w:sz="12" w:space="0"/>
              <w:left w:val="single" w:color="000000" w:sz="12" w:space="0"/>
              <w:bottom w:val="single" w:color="000000" w:sz="12" w:space="0"/>
              <w:right w:val="single" w:color="000000" w:sz="12" w:space="0"/>
            </w:tcBorders>
            <w:shd w:val="clear" w:color="auto" w:fill="auto"/>
            <w:tcMar>
              <w:top w:w="10" w:type="dxa"/>
              <w:left w:w="10" w:type="dxa"/>
              <w:bottom w:w="0" w:type="dxa"/>
              <w:right w:w="10" w:type="dxa"/>
            </w:tcMar>
            <w:vAlign w:val="center"/>
          </w:tcPr>
          <w:p>
            <w:pPr>
              <w:widowControl/>
              <w:spacing w:line="240" w:lineRule="atLeast"/>
              <w:jc w:val="center"/>
            </w:pPr>
            <w:r>
              <w:rPr>
                <w:rFonts w:hint="eastAsia" w:ascii="宋体" w:hAnsi="宋体" w:eastAsia="宋体" w:cs="宋体"/>
                <w:kern w:val="0"/>
                <w:szCs w:val="21"/>
              </w:rPr>
              <w:t>经济效益（5分）</w:t>
            </w:r>
          </w:p>
        </w:tc>
        <w:tc>
          <w:tcPr>
            <w:tcW w:w="224" w:type="pct"/>
            <w:tcBorders>
              <w:top w:val="single" w:color="000000" w:sz="12" w:space="0"/>
              <w:left w:val="single" w:color="000000" w:sz="12" w:space="0"/>
              <w:bottom w:val="single" w:color="000000" w:sz="12" w:space="0"/>
              <w:right w:val="single" w:color="000000" w:sz="12" w:space="0"/>
            </w:tcBorders>
            <w:shd w:val="clear" w:color="auto" w:fill="auto"/>
            <w:tcMar>
              <w:top w:w="0" w:type="dxa"/>
              <w:left w:w="0" w:type="dxa"/>
              <w:bottom w:w="0" w:type="dxa"/>
              <w:right w:w="0" w:type="dxa"/>
            </w:tcMar>
            <w:vAlign w:val="center"/>
          </w:tcPr>
          <w:p>
            <w:pPr>
              <w:widowControl/>
              <w:spacing w:line="240" w:lineRule="atLeast"/>
              <w:ind w:left="105" w:right="105" w:firstLine="96"/>
              <w:jc w:val="center"/>
            </w:pPr>
          </w:p>
          <w:p>
            <w:pPr>
              <w:widowControl/>
              <w:spacing w:line="240" w:lineRule="atLeast"/>
              <w:ind w:left="105" w:right="105" w:firstLine="96"/>
              <w:jc w:val="center"/>
            </w:pPr>
            <w:r>
              <w:rPr>
                <w:rFonts w:hint="eastAsia" w:ascii="宋体" w:hAnsi="宋体" w:eastAsia="宋体" w:cs="宋体"/>
                <w:kern w:val="0"/>
                <w:szCs w:val="21"/>
              </w:rPr>
              <w:t>4</w:t>
            </w:r>
          </w:p>
        </w:tc>
        <w:tc>
          <w:tcPr>
            <w:tcW w:w="1703" w:type="pct"/>
            <w:tcBorders>
              <w:top w:val="single" w:color="000000" w:sz="12" w:space="0"/>
              <w:left w:val="single" w:color="000000" w:sz="12" w:space="0"/>
              <w:bottom w:val="single" w:color="000000" w:sz="12" w:space="0"/>
              <w:right w:val="single" w:color="000000" w:sz="12" w:space="0"/>
            </w:tcBorders>
            <w:shd w:val="clear" w:color="auto" w:fill="auto"/>
            <w:tcMar>
              <w:top w:w="10" w:type="dxa"/>
              <w:left w:w="10" w:type="dxa"/>
              <w:bottom w:w="0" w:type="dxa"/>
              <w:right w:w="10" w:type="dxa"/>
            </w:tcMar>
            <w:vAlign w:val="center"/>
          </w:tcPr>
          <w:p>
            <w:pPr>
              <w:widowControl/>
              <w:spacing w:line="240" w:lineRule="atLeast"/>
              <w:ind w:left="105" w:right="105" w:firstLine="96"/>
              <w:jc w:val="left"/>
            </w:pPr>
            <w:r>
              <w:rPr>
                <w:rFonts w:hint="eastAsia" w:ascii="宋体" w:hAnsi="宋体" w:eastAsia="宋体" w:cs="宋体"/>
                <w:kern w:val="0"/>
                <w:szCs w:val="21"/>
              </w:rPr>
              <w:t>部门履行职责对经济发展所带来的直接或间接影响。</w:t>
            </w:r>
          </w:p>
        </w:tc>
        <w:tc>
          <w:tcPr>
            <w:tcW w:w="1629" w:type="pct"/>
            <w:vMerge w:val="restart"/>
            <w:tcBorders>
              <w:top w:val="single" w:color="000000" w:sz="12" w:space="0"/>
              <w:left w:val="single" w:color="000000" w:sz="12" w:space="0"/>
              <w:bottom w:val="single" w:color="000000" w:sz="12" w:space="0"/>
              <w:right w:val="single" w:color="000000" w:sz="12" w:space="0"/>
            </w:tcBorders>
            <w:shd w:val="clear" w:color="auto" w:fill="auto"/>
            <w:tcMar>
              <w:top w:w="10" w:type="dxa"/>
              <w:left w:w="10" w:type="dxa"/>
              <w:bottom w:w="0" w:type="dxa"/>
              <w:right w:w="10" w:type="dxa"/>
            </w:tcMar>
            <w:vAlign w:val="center"/>
          </w:tcPr>
          <w:p>
            <w:pPr>
              <w:widowControl/>
              <w:spacing w:line="240" w:lineRule="atLeast"/>
              <w:ind w:left="105" w:right="105"/>
              <w:jc w:val="left"/>
            </w:pPr>
            <w:r>
              <w:rPr>
                <w:rFonts w:hint="eastAsia" w:ascii="宋体" w:hAnsi="宋体" w:eastAsia="宋体" w:cs="宋体"/>
                <w:kern w:val="0"/>
                <w:szCs w:val="21"/>
              </w:rPr>
              <w:t>此三项指标为设置部门整体支出绩效评价指标时必须考虑的共性要素，可根据部门实际并结合部门整体支出绩效目标设立情况有选择的进行设置，并将其细化为相应的个性化指标。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09" w:hRule="atLeast"/>
          <w:jc w:val="center"/>
        </w:trPr>
        <w:tc>
          <w:tcPr>
            <w:tcW w:w="481" w:type="pct"/>
            <w:vMerge w:val="continue"/>
            <w:tcBorders>
              <w:top w:val="single" w:color="000000" w:sz="12" w:space="0"/>
              <w:left w:val="single" w:color="000000" w:sz="12" w:space="0"/>
              <w:bottom w:val="single" w:color="000000" w:sz="12" w:space="0"/>
              <w:right w:val="single" w:color="000000" w:sz="12" w:space="0"/>
            </w:tcBorders>
            <w:shd w:val="clear" w:color="auto" w:fill="auto"/>
            <w:noWrap/>
            <w:tcMar>
              <w:top w:w="10" w:type="dxa"/>
              <w:left w:w="10" w:type="dxa"/>
              <w:bottom w:w="0" w:type="dxa"/>
              <w:right w:w="10" w:type="dxa"/>
            </w:tcMar>
            <w:vAlign w:val="center"/>
          </w:tcPr>
          <w:p>
            <w:pPr>
              <w:jc w:val="center"/>
              <w:rPr>
                <w:rFonts w:ascii="宋体"/>
                <w:sz w:val="24"/>
                <w:szCs w:val="24"/>
              </w:rPr>
            </w:pPr>
          </w:p>
        </w:tc>
        <w:tc>
          <w:tcPr>
            <w:tcW w:w="481" w:type="pct"/>
            <w:vMerge w:val="continue"/>
            <w:tcBorders>
              <w:top w:val="single" w:color="000000" w:sz="12" w:space="0"/>
              <w:left w:val="single" w:color="000000" w:sz="12" w:space="0"/>
              <w:bottom w:val="single" w:color="000000" w:sz="12" w:space="0"/>
              <w:right w:val="single" w:color="000000" w:sz="12" w:space="0"/>
            </w:tcBorders>
            <w:shd w:val="clear" w:color="auto" w:fill="auto"/>
            <w:tcMar>
              <w:top w:w="10" w:type="dxa"/>
              <w:left w:w="10" w:type="dxa"/>
              <w:bottom w:w="0" w:type="dxa"/>
              <w:right w:w="10" w:type="dxa"/>
            </w:tcMar>
            <w:vAlign w:val="center"/>
          </w:tcPr>
          <w:p>
            <w:pPr>
              <w:jc w:val="center"/>
              <w:rPr>
                <w:rFonts w:ascii="宋体"/>
                <w:sz w:val="24"/>
                <w:szCs w:val="24"/>
              </w:rPr>
            </w:pPr>
          </w:p>
        </w:tc>
        <w:tc>
          <w:tcPr>
            <w:tcW w:w="481" w:type="pct"/>
            <w:tcBorders>
              <w:top w:val="single" w:color="000000" w:sz="12" w:space="0"/>
              <w:left w:val="single" w:color="000000" w:sz="12" w:space="0"/>
              <w:bottom w:val="single" w:color="000000" w:sz="12" w:space="0"/>
              <w:right w:val="single" w:color="000000" w:sz="12" w:space="0"/>
            </w:tcBorders>
            <w:shd w:val="clear" w:color="auto" w:fill="auto"/>
            <w:tcMar>
              <w:top w:w="10" w:type="dxa"/>
              <w:left w:w="10" w:type="dxa"/>
              <w:bottom w:w="0" w:type="dxa"/>
              <w:right w:w="10" w:type="dxa"/>
            </w:tcMar>
            <w:vAlign w:val="center"/>
          </w:tcPr>
          <w:p>
            <w:pPr>
              <w:widowControl/>
              <w:spacing w:line="240" w:lineRule="atLeast"/>
              <w:jc w:val="center"/>
            </w:pPr>
            <w:r>
              <w:rPr>
                <w:rFonts w:hint="eastAsia" w:ascii="宋体" w:hAnsi="宋体" w:eastAsia="宋体" w:cs="宋体"/>
                <w:kern w:val="0"/>
                <w:szCs w:val="21"/>
              </w:rPr>
              <w:t>社会效益（5分）</w:t>
            </w:r>
          </w:p>
        </w:tc>
        <w:tc>
          <w:tcPr>
            <w:tcW w:w="224" w:type="pct"/>
            <w:tcBorders>
              <w:top w:val="single" w:color="000000" w:sz="12" w:space="0"/>
              <w:left w:val="single" w:color="000000" w:sz="12" w:space="0"/>
              <w:bottom w:val="single" w:color="000000" w:sz="12" w:space="0"/>
              <w:right w:val="single" w:color="000000" w:sz="12" w:space="0"/>
            </w:tcBorders>
            <w:shd w:val="clear" w:color="auto" w:fill="auto"/>
            <w:tcMar>
              <w:top w:w="0" w:type="dxa"/>
              <w:left w:w="0" w:type="dxa"/>
              <w:bottom w:w="0" w:type="dxa"/>
              <w:right w:w="0" w:type="dxa"/>
            </w:tcMar>
            <w:vAlign w:val="center"/>
          </w:tcPr>
          <w:p>
            <w:pPr>
              <w:widowControl/>
              <w:spacing w:line="240" w:lineRule="atLeast"/>
              <w:ind w:left="105" w:right="105" w:firstLine="96"/>
              <w:jc w:val="center"/>
            </w:pPr>
          </w:p>
          <w:p>
            <w:pPr>
              <w:widowControl/>
              <w:spacing w:line="240" w:lineRule="atLeast"/>
              <w:ind w:left="105" w:right="105" w:firstLine="96"/>
              <w:jc w:val="center"/>
            </w:pPr>
            <w:r>
              <w:rPr>
                <w:rFonts w:hint="eastAsia" w:ascii="宋体" w:hAnsi="宋体" w:eastAsia="宋体" w:cs="宋体"/>
                <w:kern w:val="0"/>
                <w:szCs w:val="21"/>
              </w:rPr>
              <w:t>5</w:t>
            </w:r>
          </w:p>
        </w:tc>
        <w:tc>
          <w:tcPr>
            <w:tcW w:w="1703" w:type="pct"/>
            <w:tcBorders>
              <w:top w:val="single" w:color="000000" w:sz="12" w:space="0"/>
              <w:left w:val="single" w:color="000000" w:sz="12" w:space="0"/>
              <w:bottom w:val="single" w:color="000000" w:sz="12" w:space="0"/>
              <w:right w:val="single" w:color="000000" w:sz="12" w:space="0"/>
            </w:tcBorders>
            <w:shd w:val="clear" w:color="auto" w:fill="auto"/>
            <w:tcMar>
              <w:top w:w="10" w:type="dxa"/>
              <w:left w:w="10" w:type="dxa"/>
              <w:bottom w:w="0" w:type="dxa"/>
              <w:right w:w="10" w:type="dxa"/>
            </w:tcMar>
            <w:vAlign w:val="center"/>
          </w:tcPr>
          <w:p>
            <w:pPr>
              <w:widowControl/>
              <w:spacing w:line="240" w:lineRule="atLeast"/>
              <w:ind w:left="105" w:right="105" w:firstLine="96"/>
              <w:jc w:val="left"/>
            </w:pPr>
            <w:r>
              <w:rPr>
                <w:rFonts w:hint="eastAsia" w:ascii="宋体" w:hAnsi="宋体" w:eastAsia="宋体" w:cs="宋体"/>
                <w:kern w:val="0"/>
                <w:szCs w:val="21"/>
              </w:rPr>
              <w:t>部门履行职责对社会发展所带来的直接或间接影响。</w:t>
            </w:r>
          </w:p>
        </w:tc>
        <w:tc>
          <w:tcPr>
            <w:tcW w:w="1629" w:type="pct"/>
            <w:vMerge w:val="continue"/>
            <w:tcBorders>
              <w:top w:val="single" w:color="000000" w:sz="12" w:space="0"/>
              <w:left w:val="single" w:color="000000" w:sz="12" w:space="0"/>
              <w:bottom w:val="single" w:color="000000" w:sz="12" w:space="0"/>
              <w:right w:val="single" w:color="000000" w:sz="12" w:space="0"/>
            </w:tcBorders>
            <w:shd w:val="clear" w:color="auto" w:fill="auto"/>
            <w:tcMar>
              <w:top w:w="10" w:type="dxa"/>
              <w:left w:w="10" w:type="dxa"/>
              <w:bottom w:w="0" w:type="dxa"/>
              <w:right w:w="10" w:type="dxa"/>
            </w:tcMar>
            <w:vAlign w:val="center"/>
          </w:tcPr>
          <w:p>
            <w:pPr>
              <w:rPr>
                <w:rFonts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09" w:hRule="atLeast"/>
          <w:jc w:val="center"/>
        </w:trPr>
        <w:tc>
          <w:tcPr>
            <w:tcW w:w="481" w:type="pct"/>
            <w:vMerge w:val="continue"/>
            <w:tcBorders>
              <w:top w:val="single" w:color="000000" w:sz="12" w:space="0"/>
              <w:left w:val="single" w:color="000000" w:sz="12" w:space="0"/>
              <w:bottom w:val="single" w:color="000000" w:sz="12" w:space="0"/>
              <w:right w:val="single" w:color="000000" w:sz="12" w:space="0"/>
            </w:tcBorders>
            <w:shd w:val="clear" w:color="auto" w:fill="auto"/>
            <w:noWrap/>
            <w:tcMar>
              <w:top w:w="10" w:type="dxa"/>
              <w:left w:w="10" w:type="dxa"/>
              <w:bottom w:w="0" w:type="dxa"/>
              <w:right w:w="10" w:type="dxa"/>
            </w:tcMar>
            <w:vAlign w:val="center"/>
          </w:tcPr>
          <w:p>
            <w:pPr>
              <w:jc w:val="center"/>
              <w:rPr>
                <w:rFonts w:ascii="宋体"/>
                <w:sz w:val="24"/>
                <w:szCs w:val="24"/>
              </w:rPr>
            </w:pPr>
          </w:p>
        </w:tc>
        <w:tc>
          <w:tcPr>
            <w:tcW w:w="481" w:type="pct"/>
            <w:vMerge w:val="continue"/>
            <w:tcBorders>
              <w:top w:val="single" w:color="000000" w:sz="12" w:space="0"/>
              <w:left w:val="single" w:color="000000" w:sz="12" w:space="0"/>
              <w:bottom w:val="single" w:color="000000" w:sz="12" w:space="0"/>
              <w:right w:val="single" w:color="000000" w:sz="12" w:space="0"/>
            </w:tcBorders>
            <w:shd w:val="clear" w:color="auto" w:fill="auto"/>
            <w:tcMar>
              <w:top w:w="10" w:type="dxa"/>
              <w:left w:w="10" w:type="dxa"/>
              <w:bottom w:w="0" w:type="dxa"/>
              <w:right w:w="10" w:type="dxa"/>
            </w:tcMar>
            <w:vAlign w:val="center"/>
          </w:tcPr>
          <w:p>
            <w:pPr>
              <w:jc w:val="center"/>
              <w:rPr>
                <w:rFonts w:ascii="宋体"/>
                <w:sz w:val="24"/>
                <w:szCs w:val="24"/>
              </w:rPr>
            </w:pPr>
          </w:p>
        </w:tc>
        <w:tc>
          <w:tcPr>
            <w:tcW w:w="481" w:type="pct"/>
            <w:tcBorders>
              <w:top w:val="single" w:color="000000" w:sz="12" w:space="0"/>
              <w:left w:val="single" w:color="000000" w:sz="12" w:space="0"/>
              <w:bottom w:val="single" w:color="000000" w:sz="12" w:space="0"/>
              <w:right w:val="single" w:color="000000" w:sz="12" w:space="0"/>
            </w:tcBorders>
            <w:shd w:val="clear" w:color="auto" w:fill="auto"/>
            <w:tcMar>
              <w:top w:w="10" w:type="dxa"/>
              <w:left w:w="10" w:type="dxa"/>
              <w:bottom w:w="0" w:type="dxa"/>
              <w:right w:w="10" w:type="dxa"/>
            </w:tcMar>
            <w:vAlign w:val="center"/>
          </w:tcPr>
          <w:p>
            <w:pPr>
              <w:widowControl/>
              <w:spacing w:line="240" w:lineRule="atLeast"/>
              <w:jc w:val="center"/>
            </w:pPr>
            <w:r>
              <w:rPr>
                <w:rFonts w:hint="eastAsia" w:ascii="宋体" w:hAnsi="宋体" w:eastAsia="宋体" w:cs="宋体"/>
                <w:kern w:val="0"/>
                <w:szCs w:val="21"/>
              </w:rPr>
              <w:t>生态效益（5分）</w:t>
            </w:r>
          </w:p>
        </w:tc>
        <w:tc>
          <w:tcPr>
            <w:tcW w:w="224" w:type="pct"/>
            <w:tcBorders>
              <w:top w:val="single" w:color="000000" w:sz="12" w:space="0"/>
              <w:left w:val="single" w:color="000000" w:sz="12" w:space="0"/>
              <w:bottom w:val="single" w:color="000000" w:sz="12" w:space="0"/>
              <w:right w:val="single" w:color="000000" w:sz="12" w:space="0"/>
            </w:tcBorders>
            <w:shd w:val="clear" w:color="auto" w:fill="auto"/>
            <w:tcMar>
              <w:top w:w="0" w:type="dxa"/>
              <w:left w:w="0" w:type="dxa"/>
              <w:bottom w:w="0" w:type="dxa"/>
              <w:right w:w="0" w:type="dxa"/>
            </w:tcMar>
            <w:vAlign w:val="center"/>
          </w:tcPr>
          <w:p>
            <w:pPr>
              <w:widowControl/>
              <w:spacing w:line="240" w:lineRule="atLeast"/>
              <w:ind w:left="105" w:right="105" w:firstLine="96"/>
              <w:jc w:val="center"/>
            </w:pPr>
          </w:p>
          <w:p>
            <w:pPr>
              <w:widowControl/>
              <w:spacing w:line="240" w:lineRule="atLeast"/>
              <w:ind w:left="105" w:right="105" w:firstLine="96"/>
              <w:jc w:val="center"/>
            </w:pPr>
            <w:r>
              <w:rPr>
                <w:rFonts w:hint="eastAsia" w:ascii="宋体" w:hAnsi="宋体" w:eastAsia="宋体" w:cs="宋体"/>
                <w:kern w:val="0"/>
                <w:szCs w:val="21"/>
              </w:rPr>
              <w:t>5</w:t>
            </w:r>
          </w:p>
        </w:tc>
        <w:tc>
          <w:tcPr>
            <w:tcW w:w="1703" w:type="pct"/>
            <w:tcBorders>
              <w:top w:val="single" w:color="000000" w:sz="12" w:space="0"/>
              <w:left w:val="single" w:color="000000" w:sz="12" w:space="0"/>
              <w:bottom w:val="single" w:color="000000" w:sz="12" w:space="0"/>
              <w:right w:val="single" w:color="000000" w:sz="12" w:space="0"/>
            </w:tcBorders>
            <w:shd w:val="clear" w:color="auto" w:fill="auto"/>
            <w:tcMar>
              <w:top w:w="10" w:type="dxa"/>
              <w:left w:w="10" w:type="dxa"/>
              <w:bottom w:w="0" w:type="dxa"/>
              <w:right w:w="10" w:type="dxa"/>
            </w:tcMar>
            <w:vAlign w:val="center"/>
          </w:tcPr>
          <w:p>
            <w:pPr>
              <w:widowControl/>
              <w:spacing w:line="240" w:lineRule="atLeast"/>
              <w:ind w:left="105" w:right="105" w:firstLine="96"/>
              <w:jc w:val="left"/>
            </w:pPr>
            <w:r>
              <w:rPr>
                <w:rFonts w:hint="eastAsia" w:ascii="宋体" w:hAnsi="宋体" w:eastAsia="宋体" w:cs="宋体"/>
                <w:kern w:val="0"/>
                <w:szCs w:val="21"/>
              </w:rPr>
              <w:t>部门履行职责对生态环境所带来的直接或间接影响。</w:t>
            </w:r>
          </w:p>
        </w:tc>
        <w:tc>
          <w:tcPr>
            <w:tcW w:w="1629" w:type="pct"/>
            <w:vMerge w:val="continue"/>
            <w:tcBorders>
              <w:top w:val="single" w:color="000000" w:sz="12" w:space="0"/>
              <w:left w:val="single" w:color="000000" w:sz="12" w:space="0"/>
              <w:bottom w:val="single" w:color="000000" w:sz="12" w:space="0"/>
              <w:right w:val="single" w:color="000000" w:sz="12" w:space="0"/>
            </w:tcBorders>
            <w:shd w:val="clear" w:color="auto" w:fill="auto"/>
            <w:tcMar>
              <w:top w:w="10" w:type="dxa"/>
              <w:left w:w="10" w:type="dxa"/>
              <w:bottom w:w="0" w:type="dxa"/>
              <w:right w:w="10" w:type="dxa"/>
            </w:tcMar>
            <w:vAlign w:val="center"/>
          </w:tcPr>
          <w:p>
            <w:pPr>
              <w:rPr>
                <w:rFonts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063" w:hRule="atLeast"/>
          <w:jc w:val="center"/>
        </w:trPr>
        <w:tc>
          <w:tcPr>
            <w:tcW w:w="481" w:type="pct"/>
            <w:vMerge w:val="continue"/>
            <w:tcBorders>
              <w:top w:val="single" w:color="000000" w:sz="12" w:space="0"/>
              <w:left w:val="single" w:color="000000" w:sz="12" w:space="0"/>
              <w:bottom w:val="single" w:color="000000" w:sz="12" w:space="0"/>
              <w:right w:val="single" w:color="000000" w:sz="12" w:space="0"/>
            </w:tcBorders>
            <w:shd w:val="clear" w:color="auto" w:fill="auto"/>
            <w:noWrap/>
            <w:tcMar>
              <w:top w:w="10" w:type="dxa"/>
              <w:left w:w="10" w:type="dxa"/>
              <w:bottom w:w="0" w:type="dxa"/>
              <w:right w:w="10" w:type="dxa"/>
            </w:tcMar>
            <w:vAlign w:val="center"/>
          </w:tcPr>
          <w:p>
            <w:pPr>
              <w:jc w:val="center"/>
              <w:rPr>
                <w:rFonts w:ascii="宋体"/>
                <w:sz w:val="24"/>
                <w:szCs w:val="24"/>
              </w:rPr>
            </w:pPr>
          </w:p>
        </w:tc>
        <w:tc>
          <w:tcPr>
            <w:tcW w:w="481" w:type="pct"/>
            <w:vMerge w:val="continue"/>
            <w:tcBorders>
              <w:top w:val="single" w:color="000000" w:sz="12" w:space="0"/>
              <w:left w:val="single" w:color="000000" w:sz="12" w:space="0"/>
              <w:bottom w:val="single" w:color="000000" w:sz="12" w:space="0"/>
              <w:right w:val="single" w:color="000000" w:sz="12" w:space="0"/>
            </w:tcBorders>
            <w:shd w:val="clear" w:color="auto" w:fill="auto"/>
            <w:tcMar>
              <w:top w:w="10" w:type="dxa"/>
              <w:left w:w="10" w:type="dxa"/>
              <w:bottom w:w="0" w:type="dxa"/>
              <w:right w:w="10" w:type="dxa"/>
            </w:tcMar>
            <w:vAlign w:val="center"/>
          </w:tcPr>
          <w:p>
            <w:pPr>
              <w:jc w:val="center"/>
              <w:rPr>
                <w:rFonts w:ascii="宋体"/>
                <w:sz w:val="24"/>
                <w:szCs w:val="24"/>
              </w:rPr>
            </w:pPr>
          </w:p>
        </w:tc>
        <w:tc>
          <w:tcPr>
            <w:tcW w:w="481" w:type="pct"/>
            <w:tcBorders>
              <w:top w:val="single" w:color="000000" w:sz="12" w:space="0"/>
              <w:left w:val="single" w:color="000000" w:sz="12" w:space="0"/>
              <w:bottom w:val="single" w:color="000000" w:sz="12" w:space="0"/>
              <w:right w:val="single" w:color="000000" w:sz="12" w:space="0"/>
            </w:tcBorders>
            <w:shd w:val="clear" w:color="auto" w:fill="auto"/>
            <w:tcMar>
              <w:top w:w="10" w:type="dxa"/>
              <w:left w:w="10" w:type="dxa"/>
              <w:bottom w:w="0" w:type="dxa"/>
              <w:right w:w="10" w:type="dxa"/>
            </w:tcMar>
            <w:vAlign w:val="center"/>
          </w:tcPr>
          <w:p>
            <w:pPr>
              <w:widowControl/>
              <w:spacing w:line="240" w:lineRule="atLeast"/>
              <w:jc w:val="center"/>
            </w:pPr>
            <w:r>
              <w:rPr>
                <w:rFonts w:hint="eastAsia" w:ascii="宋体" w:hAnsi="宋体" w:eastAsia="宋体" w:cs="宋体"/>
                <w:kern w:val="0"/>
                <w:szCs w:val="21"/>
              </w:rPr>
              <w:t>社会公众</w:t>
            </w:r>
          </w:p>
          <w:p>
            <w:pPr>
              <w:widowControl/>
              <w:spacing w:line="240" w:lineRule="atLeast"/>
              <w:jc w:val="center"/>
            </w:pPr>
            <w:r>
              <w:rPr>
                <w:rFonts w:hint="eastAsia" w:ascii="宋体" w:hAnsi="宋体" w:eastAsia="宋体" w:cs="宋体"/>
                <w:kern w:val="0"/>
                <w:szCs w:val="21"/>
              </w:rPr>
              <w:t>或服务对</w:t>
            </w:r>
          </w:p>
          <w:p>
            <w:pPr>
              <w:widowControl/>
              <w:spacing w:line="240" w:lineRule="atLeast"/>
              <w:jc w:val="center"/>
            </w:pPr>
            <w:r>
              <w:rPr>
                <w:rFonts w:hint="eastAsia" w:ascii="宋体" w:hAnsi="宋体" w:eastAsia="宋体" w:cs="宋体"/>
                <w:kern w:val="0"/>
                <w:szCs w:val="21"/>
              </w:rPr>
              <w:t>象满意度（5分）</w:t>
            </w:r>
          </w:p>
        </w:tc>
        <w:tc>
          <w:tcPr>
            <w:tcW w:w="224" w:type="pct"/>
            <w:tcBorders>
              <w:top w:val="single" w:color="000000" w:sz="12" w:space="0"/>
              <w:left w:val="single" w:color="000000" w:sz="12" w:space="0"/>
              <w:bottom w:val="single" w:color="000000" w:sz="12" w:space="0"/>
              <w:right w:val="single" w:color="000000" w:sz="12" w:space="0"/>
            </w:tcBorders>
            <w:shd w:val="clear" w:color="auto" w:fill="auto"/>
            <w:tcMar>
              <w:top w:w="0" w:type="dxa"/>
              <w:left w:w="0" w:type="dxa"/>
              <w:bottom w:w="0" w:type="dxa"/>
              <w:right w:w="0" w:type="dxa"/>
            </w:tcMar>
            <w:vAlign w:val="center"/>
          </w:tcPr>
          <w:p>
            <w:pPr>
              <w:widowControl/>
              <w:spacing w:line="240" w:lineRule="atLeast"/>
              <w:ind w:left="105" w:right="105" w:firstLine="96"/>
              <w:jc w:val="center"/>
            </w:pPr>
          </w:p>
          <w:p>
            <w:pPr>
              <w:widowControl/>
              <w:spacing w:line="240" w:lineRule="atLeast"/>
              <w:ind w:left="105" w:right="105" w:firstLine="96"/>
              <w:jc w:val="center"/>
            </w:pPr>
          </w:p>
          <w:p>
            <w:pPr>
              <w:widowControl/>
              <w:spacing w:line="240" w:lineRule="atLeast"/>
              <w:ind w:left="105" w:right="105" w:firstLine="96"/>
              <w:jc w:val="center"/>
            </w:pPr>
            <w:r>
              <w:rPr>
                <w:rFonts w:hint="eastAsia" w:ascii="宋体" w:hAnsi="宋体" w:eastAsia="宋体" w:cs="宋体"/>
                <w:kern w:val="0"/>
                <w:szCs w:val="21"/>
              </w:rPr>
              <w:t>5</w:t>
            </w:r>
          </w:p>
        </w:tc>
        <w:tc>
          <w:tcPr>
            <w:tcW w:w="1703" w:type="pct"/>
            <w:tcBorders>
              <w:top w:val="single" w:color="000000" w:sz="12" w:space="0"/>
              <w:left w:val="single" w:color="000000" w:sz="12" w:space="0"/>
              <w:bottom w:val="single" w:color="000000" w:sz="12" w:space="0"/>
              <w:right w:val="single" w:color="000000" w:sz="12" w:space="0"/>
            </w:tcBorders>
            <w:shd w:val="clear" w:color="auto" w:fill="auto"/>
            <w:tcMar>
              <w:top w:w="10" w:type="dxa"/>
              <w:left w:w="10" w:type="dxa"/>
              <w:bottom w:w="0" w:type="dxa"/>
              <w:right w:w="10" w:type="dxa"/>
            </w:tcMar>
            <w:vAlign w:val="center"/>
          </w:tcPr>
          <w:p>
            <w:pPr>
              <w:widowControl/>
              <w:spacing w:line="240" w:lineRule="atLeast"/>
              <w:ind w:left="105" w:right="105" w:firstLine="96"/>
              <w:jc w:val="left"/>
            </w:pPr>
            <w:r>
              <w:rPr>
                <w:rFonts w:hint="eastAsia" w:ascii="宋体" w:hAnsi="宋体" w:eastAsia="宋体" w:cs="宋体"/>
                <w:kern w:val="0"/>
                <w:szCs w:val="21"/>
              </w:rPr>
              <w:t>社会公众或部门的服务对象对部门履职效果的满意程度。</w:t>
            </w:r>
          </w:p>
        </w:tc>
        <w:tc>
          <w:tcPr>
            <w:tcW w:w="1629" w:type="pct"/>
            <w:tcBorders>
              <w:top w:val="single" w:color="000000" w:sz="12" w:space="0"/>
              <w:left w:val="single" w:color="000000" w:sz="12" w:space="0"/>
              <w:bottom w:val="single" w:color="000000" w:sz="12" w:space="0"/>
              <w:right w:val="single" w:color="000000" w:sz="12" w:space="0"/>
            </w:tcBorders>
            <w:shd w:val="clear" w:color="auto" w:fill="auto"/>
            <w:tcMar>
              <w:top w:w="10" w:type="dxa"/>
              <w:left w:w="10" w:type="dxa"/>
              <w:bottom w:w="0" w:type="dxa"/>
              <w:right w:w="10" w:type="dxa"/>
            </w:tcMar>
            <w:vAlign w:val="center"/>
          </w:tcPr>
          <w:p>
            <w:pPr>
              <w:widowControl/>
              <w:spacing w:line="240" w:lineRule="atLeast"/>
              <w:ind w:left="105" w:right="105"/>
              <w:jc w:val="left"/>
            </w:pPr>
            <w:r>
              <w:rPr>
                <w:rFonts w:hint="eastAsia" w:ascii="宋体" w:hAnsi="宋体" w:eastAsia="宋体" w:cs="宋体"/>
                <w:kern w:val="0"/>
                <w:szCs w:val="21"/>
              </w:rPr>
              <w:t>社会公众或服务对象是指部门履行职责而影响到的部门、群体或个人。一般采取社会调查的方式。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92" w:hRule="atLeast"/>
          <w:jc w:val="center"/>
        </w:trPr>
        <w:tc>
          <w:tcPr>
            <w:tcW w:w="481" w:type="pct"/>
            <w:tcBorders>
              <w:top w:val="single" w:color="000000" w:sz="12"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widowControl/>
              <w:spacing w:line="240" w:lineRule="atLeast"/>
              <w:jc w:val="center"/>
            </w:pPr>
            <w:r>
              <w:rPr>
                <w:rFonts w:hint="eastAsia" w:ascii="宋体" w:hAnsi="宋体" w:eastAsia="宋体" w:cs="宋体"/>
                <w:kern w:val="0"/>
                <w:szCs w:val="21"/>
              </w:rPr>
              <w:t>总分</w:t>
            </w:r>
          </w:p>
        </w:tc>
        <w:tc>
          <w:tcPr>
            <w:tcW w:w="481" w:type="pct"/>
            <w:tcBorders>
              <w:top w:val="single" w:color="000000" w:sz="12"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widowControl/>
              <w:spacing w:line="240" w:lineRule="atLeast"/>
              <w:jc w:val="center"/>
            </w:pPr>
          </w:p>
        </w:tc>
        <w:tc>
          <w:tcPr>
            <w:tcW w:w="481" w:type="pct"/>
            <w:tcBorders>
              <w:top w:val="single" w:color="000000" w:sz="12" w:space="0"/>
              <w:left w:val="single" w:color="auto" w:sz="8" w:space="0"/>
              <w:bottom w:val="single" w:color="auto" w:sz="8" w:space="0"/>
              <w:right w:val="single" w:color="auto" w:sz="8" w:space="0"/>
            </w:tcBorders>
            <w:shd w:val="clear" w:color="auto" w:fill="auto"/>
            <w:tcMar>
              <w:top w:w="10" w:type="dxa"/>
              <w:left w:w="10" w:type="dxa"/>
              <w:bottom w:w="0" w:type="dxa"/>
              <w:right w:w="10" w:type="dxa"/>
            </w:tcMar>
            <w:vAlign w:val="center"/>
          </w:tcPr>
          <w:p>
            <w:pPr>
              <w:widowControl/>
              <w:spacing w:line="240" w:lineRule="atLeast"/>
              <w:jc w:val="center"/>
            </w:pPr>
          </w:p>
        </w:tc>
        <w:tc>
          <w:tcPr>
            <w:tcW w:w="224" w:type="pct"/>
            <w:tcBorders>
              <w:top w:val="single" w:color="000000" w:sz="12" w:space="0"/>
              <w:left w:val="single" w:color="auto" w:sz="8" w:space="0"/>
              <w:bottom w:val="single" w:color="auto" w:sz="8" w:space="0"/>
              <w:right w:val="single" w:color="auto" w:sz="8" w:space="0"/>
            </w:tcBorders>
            <w:shd w:val="clear" w:color="auto" w:fill="auto"/>
            <w:tcMar>
              <w:top w:w="0" w:type="dxa"/>
              <w:left w:w="0" w:type="dxa"/>
              <w:bottom w:w="0" w:type="dxa"/>
              <w:right w:w="0" w:type="dxa"/>
            </w:tcMar>
            <w:vAlign w:val="center"/>
          </w:tcPr>
          <w:p>
            <w:pPr>
              <w:widowControl/>
              <w:spacing w:line="240" w:lineRule="atLeast"/>
              <w:ind w:left="105" w:right="105" w:firstLine="96"/>
              <w:jc w:val="center"/>
            </w:pPr>
          </w:p>
          <w:p>
            <w:pPr>
              <w:widowControl/>
              <w:spacing w:line="240" w:lineRule="atLeast"/>
              <w:ind w:left="105" w:right="105" w:firstLine="96"/>
              <w:jc w:val="center"/>
            </w:pPr>
            <w:r>
              <w:rPr>
                <w:rFonts w:hint="eastAsia" w:ascii="宋体" w:hAnsi="宋体" w:eastAsia="宋体" w:cs="宋体"/>
                <w:kern w:val="0"/>
                <w:szCs w:val="21"/>
              </w:rPr>
              <w:t>96</w:t>
            </w:r>
          </w:p>
        </w:tc>
        <w:tc>
          <w:tcPr>
            <w:tcW w:w="1703" w:type="pct"/>
            <w:tcBorders>
              <w:top w:val="single" w:color="000000" w:sz="12" w:space="0"/>
              <w:left w:val="single" w:color="auto" w:sz="8" w:space="0"/>
              <w:bottom w:val="single" w:color="auto" w:sz="8" w:space="0"/>
              <w:right w:val="single" w:color="auto" w:sz="8" w:space="0"/>
            </w:tcBorders>
            <w:shd w:val="clear" w:color="auto" w:fill="auto"/>
            <w:tcMar>
              <w:top w:w="10" w:type="dxa"/>
              <w:left w:w="10" w:type="dxa"/>
              <w:bottom w:w="0" w:type="dxa"/>
              <w:right w:w="10" w:type="dxa"/>
            </w:tcMar>
            <w:vAlign w:val="center"/>
          </w:tcPr>
          <w:p>
            <w:pPr>
              <w:widowControl/>
              <w:spacing w:line="240" w:lineRule="atLeast"/>
              <w:ind w:left="105" w:right="105" w:firstLine="96"/>
              <w:jc w:val="left"/>
            </w:pPr>
            <w:r>
              <w:rPr>
                <w:rFonts w:hint="eastAsia" w:ascii="宋体" w:hAnsi="宋体" w:eastAsia="宋体" w:cs="宋体"/>
                <w:kern w:val="0"/>
                <w:szCs w:val="21"/>
              </w:rPr>
              <w:t> </w:t>
            </w:r>
          </w:p>
        </w:tc>
        <w:tc>
          <w:tcPr>
            <w:tcW w:w="1629" w:type="pct"/>
            <w:tcBorders>
              <w:top w:val="single" w:color="000000" w:sz="12" w:space="0"/>
              <w:left w:val="single" w:color="auto" w:sz="8" w:space="0"/>
              <w:bottom w:val="single" w:color="auto" w:sz="8" w:space="0"/>
              <w:right w:val="single" w:color="auto" w:sz="8" w:space="0"/>
            </w:tcBorders>
            <w:shd w:val="clear" w:color="auto" w:fill="auto"/>
            <w:tcMar>
              <w:top w:w="10" w:type="dxa"/>
              <w:left w:w="10" w:type="dxa"/>
              <w:bottom w:w="0" w:type="dxa"/>
              <w:right w:w="10" w:type="dxa"/>
            </w:tcMar>
            <w:vAlign w:val="center"/>
          </w:tcPr>
          <w:p>
            <w:pPr>
              <w:widowControl/>
              <w:spacing w:line="240" w:lineRule="atLeast"/>
              <w:ind w:left="105" w:right="105"/>
              <w:jc w:val="left"/>
            </w:pPr>
            <w:r>
              <w:rPr>
                <w:rFonts w:hint="eastAsia" w:ascii="宋体" w:hAnsi="宋体" w:eastAsia="宋体" w:cs="宋体"/>
                <w:kern w:val="0"/>
                <w:szCs w:val="21"/>
              </w:rPr>
              <w:t> </w:t>
            </w:r>
          </w:p>
        </w:tc>
      </w:tr>
    </w:tbl>
    <w:p>
      <w:pPr>
        <w:spacing w:line="480" w:lineRule="exact"/>
        <w:jc w:val="center"/>
        <w:rPr>
          <w:rFonts w:hint="eastAsia" w:ascii="黑体" w:hAnsi="黑体" w:eastAsia="黑体" w:cs="黑体"/>
          <w:bCs/>
          <w:color w:val="000000"/>
          <w:kern w:val="0"/>
          <w:sz w:val="36"/>
          <w:szCs w:val="36"/>
        </w:rPr>
      </w:pPr>
    </w:p>
    <w:p>
      <w:pPr>
        <w:spacing w:line="480" w:lineRule="exact"/>
        <w:jc w:val="center"/>
        <w:rPr>
          <w:rFonts w:hint="eastAsia" w:ascii="黑体" w:hAnsi="黑体" w:eastAsia="黑体" w:cs="黑体"/>
          <w:bCs/>
          <w:color w:val="000000"/>
          <w:kern w:val="0"/>
          <w:sz w:val="36"/>
          <w:szCs w:val="36"/>
        </w:rPr>
      </w:pPr>
    </w:p>
    <w:p>
      <w:pPr>
        <w:spacing w:line="480" w:lineRule="exact"/>
        <w:jc w:val="center"/>
        <w:rPr>
          <w:rFonts w:hint="eastAsia" w:ascii="黑体" w:hAnsi="黑体" w:eastAsia="黑体" w:cs="黑体"/>
          <w:bCs/>
          <w:color w:val="000000"/>
          <w:kern w:val="0"/>
          <w:sz w:val="36"/>
          <w:szCs w:val="36"/>
        </w:rPr>
      </w:pPr>
    </w:p>
    <w:p>
      <w:pPr>
        <w:spacing w:line="480" w:lineRule="exact"/>
        <w:jc w:val="center"/>
        <w:rPr>
          <w:rFonts w:hint="eastAsia" w:ascii="黑体" w:hAnsi="黑体" w:eastAsia="黑体" w:cs="黑体"/>
          <w:bCs/>
          <w:color w:val="000000"/>
          <w:kern w:val="0"/>
          <w:sz w:val="36"/>
          <w:szCs w:val="36"/>
        </w:rPr>
      </w:pPr>
    </w:p>
    <w:p>
      <w:pPr>
        <w:spacing w:line="480" w:lineRule="exact"/>
        <w:jc w:val="center"/>
        <w:rPr>
          <w:rFonts w:hint="eastAsia" w:ascii="黑体" w:hAnsi="黑体" w:eastAsia="黑体" w:cs="黑体"/>
          <w:bCs/>
          <w:color w:val="000000"/>
          <w:kern w:val="0"/>
          <w:sz w:val="36"/>
          <w:szCs w:val="36"/>
        </w:rPr>
      </w:pPr>
    </w:p>
    <w:p>
      <w:pPr>
        <w:spacing w:line="480" w:lineRule="exact"/>
        <w:jc w:val="center"/>
        <w:rPr>
          <w:rFonts w:hint="eastAsia" w:ascii="黑体" w:hAnsi="黑体" w:eastAsia="黑体" w:cs="黑体"/>
          <w:bCs/>
          <w:color w:val="000000"/>
          <w:kern w:val="0"/>
          <w:sz w:val="36"/>
          <w:szCs w:val="36"/>
        </w:rPr>
      </w:pPr>
    </w:p>
    <w:p>
      <w:pPr>
        <w:spacing w:line="480" w:lineRule="exact"/>
        <w:jc w:val="center"/>
        <w:rPr>
          <w:rFonts w:hint="eastAsia" w:ascii="黑体" w:hAnsi="黑体" w:eastAsia="黑体" w:cs="黑体"/>
          <w:bCs/>
          <w:color w:val="000000"/>
          <w:kern w:val="0"/>
          <w:sz w:val="36"/>
          <w:szCs w:val="36"/>
        </w:rPr>
      </w:pPr>
    </w:p>
    <w:p>
      <w:pPr>
        <w:spacing w:line="480" w:lineRule="exact"/>
        <w:jc w:val="center"/>
        <w:rPr>
          <w:rFonts w:hint="eastAsia" w:ascii="黑体" w:hAnsi="黑体" w:eastAsia="黑体" w:cs="黑体"/>
          <w:bCs/>
          <w:color w:val="000000"/>
          <w:kern w:val="0"/>
          <w:sz w:val="36"/>
          <w:szCs w:val="36"/>
        </w:rPr>
      </w:pPr>
    </w:p>
    <w:p>
      <w:pPr>
        <w:spacing w:line="480" w:lineRule="exact"/>
        <w:jc w:val="center"/>
        <w:rPr>
          <w:rFonts w:hint="eastAsia" w:ascii="黑体" w:hAnsi="黑体" w:eastAsia="黑体" w:cs="黑体"/>
          <w:bCs/>
          <w:color w:val="000000"/>
          <w:kern w:val="0"/>
          <w:sz w:val="36"/>
          <w:szCs w:val="36"/>
        </w:rPr>
      </w:pPr>
    </w:p>
    <w:p>
      <w:pPr>
        <w:spacing w:line="480" w:lineRule="exact"/>
        <w:jc w:val="center"/>
        <w:rPr>
          <w:rFonts w:hint="eastAsia" w:ascii="黑体" w:hAnsi="黑体" w:eastAsia="黑体" w:cs="黑体"/>
          <w:bCs/>
          <w:color w:val="000000"/>
          <w:kern w:val="0"/>
          <w:sz w:val="36"/>
          <w:szCs w:val="36"/>
        </w:rPr>
      </w:pPr>
    </w:p>
    <w:p>
      <w:pPr>
        <w:spacing w:line="480" w:lineRule="exact"/>
        <w:jc w:val="center"/>
        <w:rPr>
          <w:rFonts w:hint="eastAsia" w:ascii="黑体" w:hAnsi="黑体" w:eastAsia="黑体" w:cs="黑体"/>
          <w:bCs/>
          <w:color w:val="000000"/>
          <w:kern w:val="0"/>
          <w:sz w:val="36"/>
          <w:szCs w:val="36"/>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3ZDRkNTkxMzRiYWQ3ODFjNjM3YTMzZWRlYjFjZmQifQ=="/>
  </w:docVars>
  <w:rsids>
    <w:rsidRoot w:val="00000000"/>
    <w:rsid w:val="5EED43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2023-06-17T12:13:53Z</dcterms:created>
  <dc:creator>admin-3</dc:creator>
  <cp:lastModifiedBy>admin-3</cp:lastModifiedBy>
  <dcterms:modified xsi:type="dcterms:W3CDTF">2023-06-17T12:15:01Z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2021A0CA89F94907BD60715D6B15DCEC_12</vt:lpwstr>
  </property>
</Properties>
</file>