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0" w:firstLineChars="150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</w:pPr>
    </w:p>
    <w:p>
      <w:pPr>
        <w:ind w:firstLine="540" w:firstLineChars="150"/>
        <w:jc w:val="center"/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  <w:t>益阳市赫山区文学艺术界联合会2021年度部门</w:t>
      </w:r>
    </w:p>
    <w:p>
      <w:pPr>
        <w:ind w:firstLine="540" w:firstLineChars="150"/>
        <w:jc w:val="center"/>
        <w:rPr>
          <w:rFonts w:ascii="黑体" w:hAnsi="黑体" w:eastAsia="黑体" w:cs="黑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6"/>
          <w:szCs w:val="36"/>
        </w:rPr>
        <w:t>整体支出绩效评价报告</w:t>
      </w:r>
    </w:p>
    <w:p>
      <w:pPr>
        <w:pStyle w:val="3"/>
        <w:shd w:val="clear" w:color="auto" w:fill="FFFFFF"/>
        <w:spacing w:line="520" w:lineRule="exact"/>
        <w:ind w:firstLine="800" w:firstLineChars="250"/>
        <w:jc w:val="both"/>
        <w:rPr>
          <w:rFonts w:ascii="仿宋_GB2312" w:hAnsi="宋体" w:eastAsia="仿宋_GB2312" w:cs="宋体"/>
          <w:color w:val="212121"/>
          <w:sz w:val="32"/>
          <w:szCs w:val="32"/>
        </w:rPr>
      </w:pPr>
    </w:p>
    <w:p>
      <w:pPr>
        <w:pStyle w:val="3"/>
        <w:shd w:val="clear" w:color="auto" w:fill="FFFFFF"/>
        <w:spacing w:line="600" w:lineRule="exact"/>
        <w:ind w:firstLine="600" w:firstLineChars="200"/>
        <w:jc w:val="both"/>
        <w:rPr>
          <w:rFonts w:ascii="仿宋" w:hAnsi="仿宋" w:eastAsia="仿宋" w:cs="仿宋"/>
          <w:color w:val="212121"/>
          <w:sz w:val="30"/>
          <w:szCs w:val="30"/>
        </w:rPr>
      </w:pPr>
      <w:r>
        <w:rPr>
          <w:rFonts w:hint="eastAsia" w:ascii="仿宋" w:hAnsi="仿宋" w:eastAsia="仿宋" w:cs="仿宋"/>
          <w:color w:val="212121"/>
          <w:sz w:val="30"/>
          <w:szCs w:val="30"/>
        </w:rPr>
        <w:t>为进一步规范财政资金管理，牢固树立预算绩效理念，强化支出责任，提高财政资金使用效益，我单位根据财政部门对2021年度整体支出绩效评价工作的要求，认真组织进行了2021年度整体支出绩效评价工作，现将我单位整体支出绩效评价情况报告如下：</w:t>
      </w:r>
    </w:p>
    <w:p>
      <w:pPr>
        <w:pStyle w:val="3"/>
        <w:widowControl/>
        <w:spacing w:line="600" w:lineRule="exact"/>
        <w:ind w:right="181"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212121"/>
          <w:sz w:val="30"/>
          <w:szCs w:val="30"/>
        </w:rPr>
        <w:t>一、单位基本情况</w:t>
      </w:r>
    </w:p>
    <w:p>
      <w:pPr>
        <w:pStyle w:val="3"/>
        <w:widowControl/>
        <w:spacing w:line="600" w:lineRule="exact"/>
        <w:ind w:right="181"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212121"/>
          <w:sz w:val="30"/>
          <w:szCs w:val="30"/>
        </w:rPr>
        <w:t>赫山区文联为参照公务员管理的全额拨款正科级群团组织，在职在编人员4名，退休1人，所属各文艺协会23个。主要职责是</w:t>
      </w:r>
      <w:r>
        <w:rPr>
          <w:rFonts w:hint="eastAsia" w:ascii="仿宋" w:hAnsi="仿宋" w:eastAsia="仿宋" w:cs="仿宋"/>
          <w:sz w:val="30"/>
          <w:szCs w:val="30"/>
        </w:rPr>
        <w:t>贯彻落实党的文艺方针，开展对区级文学艺术家协会的联络、协调、指导、服务工作，听取和反映文艺界的情况和意见；组织召开全区文学艺术界代表大会，组织和管理全区文联系统的各文艺家协会，组织文艺界的文化交流活动，开展文艺界的联系和交流，推出有地域特色的文艺精品，推动文艺的繁荣；组织团体会员开展文艺创作、文艺评论、学术交流、人才培训和调研工作；主办和协同有关部门组织文艺活动和文艺评奖；主办文艺期刊。</w:t>
      </w:r>
    </w:p>
    <w:p>
      <w:pPr>
        <w:pStyle w:val="3"/>
        <w:widowControl/>
        <w:spacing w:line="600" w:lineRule="exact"/>
        <w:ind w:right="181" w:firstLine="600" w:firstLineChars="200"/>
        <w:rPr>
          <w:rFonts w:ascii="黑体" w:hAnsi="黑体" w:eastAsia="黑体" w:cs="黑体"/>
          <w:color w:val="212121"/>
          <w:sz w:val="30"/>
          <w:szCs w:val="30"/>
        </w:rPr>
      </w:pPr>
      <w:r>
        <w:rPr>
          <w:rFonts w:hint="eastAsia" w:ascii="黑体" w:hAnsi="黑体" w:eastAsia="黑体" w:cs="黑体"/>
          <w:color w:val="212121"/>
          <w:sz w:val="30"/>
          <w:szCs w:val="30"/>
        </w:rPr>
        <w:t>二、一般公共预算支出情况</w:t>
      </w:r>
    </w:p>
    <w:p>
      <w:pPr>
        <w:pStyle w:val="3"/>
        <w:widowControl/>
        <w:spacing w:line="600" w:lineRule="exact"/>
        <w:ind w:firstLine="600" w:firstLineChars="20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2021年一般公共预算拨款收入123.02万元，具体安排情况如下： </w:t>
      </w:r>
    </w:p>
    <w:p>
      <w:pPr>
        <w:pStyle w:val="6"/>
        <w:spacing w:line="600" w:lineRule="exact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333333"/>
          <w:sz w:val="30"/>
          <w:szCs w:val="30"/>
        </w:rPr>
        <w:t>基本支出情况：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2021年基本支出为123.02万元，较上年</w:t>
      </w:r>
      <w:r>
        <w:rPr>
          <w:rFonts w:hint="eastAsia" w:ascii="仿宋" w:hAnsi="仿宋" w:eastAsia="仿宋" w:cs="仿宋"/>
          <w:sz w:val="30"/>
          <w:szCs w:val="30"/>
        </w:rPr>
        <w:t>减少12.15万元，减少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8.99</w:t>
      </w:r>
      <w:r>
        <w:rPr>
          <w:rFonts w:hint="eastAsia" w:ascii="仿宋" w:hAnsi="仿宋" w:eastAsia="仿宋" w:cs="仿宋"/>
          <w:sz w:val="30"/>
          <w:szCs w:val="30"/>
        </w:rPr>
        <w:t>%。其中：（1）人员经费68.41万元，主要包括基本工资、津贴补贴、奖金、伙食补助费、住房公积金、对个人和家庭的补助，占基本支出的55.61%,较上年增加12.94万元，增加18.92%，增加的主要原因是人员异动。公用经费54.61万元，主要包括办公费、印刷费、其他商品和服务支出、办公设备购置劳务费、委托业务费、工会经费等，占基本支出的44.39%，较上年减少25.1万元，减少31.49%。减少的主要原因是认真贯彻落实中央“八项规定”精神和厉行节约要求，减少公用经费开支。</w:t>
      </w:r>
    </w:p>
    <w:p>
      <w:pPr>
        <w:pStyle w:val="6"/>
        <w:spacing w:line="600" w:lineRule="exact"/>
        <w:ind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项目支出情况</w:t>
      </w:r>
      <w:r>
        <w:rPr>
          <w:rFonts w:hint="eastAsia" w:ascii="仿宋" w:hAnsi="仿宋" w:eastAsia="仿宋" w:cs="仿宋"/>
          <w:sz w:val="30"/>
          <w:szCs w:val="30"/>
        </w:rPr>
        <w:t>：2020年本单位没有项目支出。</w:t>
      </w:r>
    </w:p>
    <w:p>
      <w:pPr>
        <w:pStyle w:val="3"/>
        <w:widowControl/>
        <w:spacing w:line="600" w:lineRule="exact"/>
        <w:ind w:firstLine="600" w:firstLineChars="200"/>
        <w:jc w:val="both"/>
        <w:rPr>
          <w:rFonts w:ascii="黑体" w:hAnsi="黑体" w:eastAsia="黑体" w:cs="黑体"/>
          <w:color w:val="212121"/>
          <w:sz w:val="30"/>
          <w:szCs w:val="30"/>
        </w:rPr>
      </w:pPr>
      <w:r>
        <w:rPr>
          <w:rFonts w:hint="eastAsia" w:ascii="黑体" w:hAnsi="黑体" w:eastAsia="黑体" w:cs="黑体"/>
          <w:color w:val="212121"/>
          <w:sz w:val="30"/>
          <w:szCs w:val="30"/>
        </w:rPr>
        <w:t>三、政府性基金预算支出情况</w:t>
      </w:r>
    </w:p>
    <w:p>
      <w:pPr>
        <w:pStyle w:val="3"/>
        <w:widowControl/>
        <w:spacing w:line="600" w:lineRule="exact"/>
        <w:ind w:firstLine="600" w:firstLineChars="20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2021年本单位无政府性基金预算支出，本表无数据。</w:t>
      </w:r>
    </w:p>
    <w:p>
      <w:pPr>
        <w:pStyle w:val="3"/>
        <w:widowControl/>
        <w:spacing w:line="600" w:lineRule="exact"/>
        <w:ind w:right="181" w:firstLine="600" w:firstLineChars="200"/>
        <w:rPr>
          <w:rFonts w:ascii="黑体" w:hAnsi="黑体" w:eastAsia="黑体" w:cs="黑体"/>
          <w:color w:val="212121"/>
          <w:sz w:val="30"/>
          <w:szCs w:val="30"/>
        </w:rPr>
      </w:pPr>
      <w:r>
        <w:rPr>
          <w:rFonts w:hint="eastAsia" w:ascii="黑体" w:hAnsi="黑体" w:eastAsia="黑体" w:cs="黑体"/>
          <w:color w:val="212121"/>
          <w:sz w:val="30"/>
          <w:szCs w:val="30"/>
        </w:rPr>
        <w:t>四、国有资本经营预算支出情况</w:t>
      </w:r>
    </w:p>
    <w:p>
      <w:pPr>
        <w:pStyle w:val="3"/>
        <w:widowControl/>
        <w:spacing w:line="600" w:lineRule="exact"/>
        <w:ind w:firstLine="600" w:firstLineChars="20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2021年本单位无国有资本经营预算支出，本表无数据。</w:t>
      </w:r>
    </w:p>
    <w:p>
      <w:pPr>
        <w:pStyle w:val="3"/>
        <w:widowControl/>
        <w:spacing w:line="600" w:lineRule="exact"/>
        <w:ind w:right="181" w:firstLine="600" w:firstLineChars="200"/>
        <w:rPr>
          <w:rFonts w:ascii="黑体" w:hAnsi="黑体" w:eastAsia="黑体" w:cs="黑体"/>
          <w:color w:val="212121"/>
          <w:sz w:val="30"/>
          <w:szCs w:val="30"/>
        </w:rPr>
      </w:pPr>
      <w:r>
        <w:rPr>
          <w:rFonts w:hint="eastAsia" w:ascii="黑体" w:hAnsi="黑体" w:eastAsia="黑体" w:cs="黑体"/>
          <w:color w:val="212121"/>
          <w:sz w:val="30"/>
          <w:szCs w:val="30"/>
        </w:rPr>
        <w:t>五、社会保险基金预算支出情况</w:t>
      </w:r>
    </w:p>
    <w:p>
      <w:pPr>
        <w:pStyle w:val="3"/>
        <w:widowControl/>
        <w:spacing w:line="600" w:lineRule="exact"/>
        <w:ind w:firstLine="600" w:firstLineChars="20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2021年本单位社会保险基金预算支出纳入工资福利一起支出14.1万元，其中，基本养老保险缴费支出7万元，卫生健康支出3.8万元，住房保障支出3.3万元。 </w:t>
      </w:r>
    </w:p>
    <w:p>
      <w:pPr>
        <w:pStyle w:val="3"/>
        <w:widowControl/>
        <w:spacing w:line="600" w:lineRule="exact"/>
        <w:ind w:right="181" w:firstLine="600" w:firstLineChars="200"/>
        <w:rPr>
          <w:rFonts w:ascii="黑体" w:hAnsi="黑体" w:eastAsia="黑体" w:cs="黑体"/>
          <w:color w:val="212121"/>
          <w:sz w:val="30"/>
          <w:szCs w:val="30"/>
        </w:rPr>
      </w:pPr>
      <w:r>
        <w:rPr>
          <w:rFonts w:hint="eastAsia" w:ascii="黑体" w:hAnsi="黑体" w:eastAsia="黑体" w:cs="黑体"/>
          <w:color w:val="212121"/>
          <w:sz w:val="30"/>
          <w:szCs w:val="30"/>
        </w:rPr>
        <w:t>六、部门整体支出绩效情况</w:t>
      </w:r>
    </w:p>
    <w:p>
      <w:pPr>
        <w:pStyle w:val="3"/>
        <w:widowControl/>
        <w:spacing w:line="600" w:lineRule="exact"/>
        <w:ind w:right="181"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212121"/>
          <w:sz w:val="30"/>
          <w:szCs w:val="30"/>
        </w:rPr>
        <w:t>（一）部门整体支出概况</w:t>
      </w:r>
    </w:p>
    <w:p>
      <w:pPr>
        <w:pStyle w:val="3"/>
        <w:widowControl/>
        <w:spacing w:line="600" w:lineRule="exact"/>
        <w:ind w:right="181" w:firstLine="600" w:firstLineChars="200"/>
        <w:rPr>
          <w:rFonts w:ascii="仿宋" w:hAnsi="仿宋" w:eastAsia="仿宋" w:cs="仿宋"/>
          <w:color w:val="212121"/>
          <w:sz w:val="30"/>
          <w:szCs w:val="30"/>
        </w:rPr>
      </w:pPr>
      <w:r>
        <w:rPr>
          <w:rFonts w:hint="eastAsia" w:ascii="仿宋" w:hAnsi="仿宋" w:eastAsia="仿宋" w:cs="仿宋"/>
          <w:color w:val="212121"/>
          <w:sz w:val="30"/>
          <w:szCs w:val="30"/>
        </w:rPr>
        <w:t>2021年部门收支完成情况：</w:t>
      </w:r>
    </w:p>
    <w:p>
      <w:pPr>
        <w:pStyle w:val="3"/>
        <w:widowControl/>
        <w:spacing w:line="600" w:lineRule="exact"/>
        <w:ind w:right="181"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212121"/>
          <w:sz w:val="30"/>
          <w:szCs w:val="30"/>
        </w:rPr>
        <w:t>1.收入：本年收入72.8万元。其中，财政拨款68.80万元，其他收入4万元。</w:t>
      </w:r>
    </w:p>
    <w:p>
      <w:pPr>
        <w:pStyle w:val="3"/>
        <w:widowControl/>
        <w:spacing w:line="600" w:lineRule="exact"/>
        <w:ind w:right="181" w:firstLine="600" w:firstLineChars="200"/>
        <w:rPr>
          <w:rFonts w:ascii="仿宋" w:hAnsi="仿宋" w:eastAsia="仿宋" w:cs="仿宋"/>
          <w:color w:val="212121"/>
          <w:sz w:val="30"/>
          <w:szCs w:val="30"/>
        </w:rPr>
      </w:pPr>
      <w:r>
        <w:rPr>
          <w:rFonts w:hint="eastAsia" w:ascii="仿宋" w:hAnsi="仿宋" w:eastAsia="仿宋" w:cs="仿宋"/>
          <w:color w:val="212121"/>
          <w:sz w:val="30"/>
          <w:szCs w:val="30"/>
        </w:rPr>
        <w:t>2.支出：本年支出72.8万元。其中，人员经费支出40.76万元，日常公用支出5.51万元，项目支出22.5万元。</w:t>
      </w:r>
    </w:p>
    <w:p>
      <w:pPr>
        <w:pStyle w:val="3"/>
        <w:widowControl/>
        <w:spacing w:line="600" w:lineRule="exact"/>
        <w:ind w:right="181" w:firstLine="600" w:firstLineChars="200"/>
        <w:rPr>
          <w:rFonts w:ascii="仿宋" w:hAnsi="仿宋" w:eastAsia="仿宋" w:cs="仿宋"/>
          <w:color w:val="212121"/>
          <w:sz w:val="30"/>
          <w:szCs w:val="30"/>
        </w:rPr>
      </w:pPr>
      <w:r>
        <w:rPr>
          <w:rFonts w:hint="eastAsia" w:ascii="仿宋" w:hAnsi="仿宋" w:eastAsia="仿宋" w:cs="仿宋"/>
          <w:color w:val="212121"/>
          <w:sz w:val="30"/>
          <w:szCs w:val="30"/>
        </w:rPr>
        <w:t>3.结转：结转下年4.03万元。</w:t>
      </w:r>
    </w:p>
    <w:p>
      <w:pPr>
        <w:pStyle w:val="3"/>
        <w:widowControl/>
        <w:spacing w:line="600" w:lineRule="exact"/>
        <w:ind w:right="181"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212121"/>
          <w:sz w:val="30"/>
          <w:szCs w:val="30"/>
        </w:rPr>
        <w:t>（二）整体支出绩效目标</w:t>
      </w:r>
    </w:p>
    <w:p>
      <w:pPr>
        <w:pStyle w:val="3"/>
        <w:widowControl/>
        <w:spacing w:line="600" w:lineRule="exact"/>
        <w:ind w:right="181"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212121"/>
          <w:sz w:val="30"/>
          <w:szCs w:val="30"/>
        </w:rPr>
        <w:t>预决算公开：2021年，按照上级的要求，我单位在赫山区门户网站进行了预决算公开。</w:t>
      </w:r>
    </w:p>
    <w:p>
      <w:pPr>
        <w:pStyle w:val="3"/>
        <w:widowControl/>
        <w:spacing w:line="600" w:lineRule="exact"/>
        <w:ind w:right="181"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212121"/>
          <w:sz w:val="30"/>
          <w:szCs w:val="30"/>
        </w:rPr>
        <w:t>资产管理：我们进一步加强资产的管理，制定了《益阳市赫山区财务管理制度》，明确了具体责任人，完善了固定资产档案，严格报批、销审等手续，做好资产统计工作，单位无任何资产流失现象。</w:t>
      </w:r>
    </w:p>
    <w:p>
      <w:pPr>
        <w:pStyle w:val="3"/>
        <w:widowControl/>
        <w:spacing w:line="600" w:lineRule="exact"/>
        <w:ind w:right="181"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212121"/>
          <w:sz w:val="30"/>
          <w:szCs w:val="30"/>
        </w:rPr>
        <w:t>“三公经费”控制情况：贯彻落实上级有关精神，严格控制“三公经费”支出，取得了良好效果。2021年度在“三公经费”中节约开支从严把关，同比上年经费降低。</w:t>
      </w:r>
    </w:p>
    <w:p>
      <w:pPr>
        <w:pStyle w:val="3"/>
        <w:widowControl/>
        <w:spacing w:line="600" w:lineRule="exact"/>
        <w:ind w:right="181"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212121"/>
          <w:sz w:val="30"/>
          <w:szCs w:val="30"/>
        </w:rPr>
        <w:t>（三）部门整体支出情况分析</w:t>
      </w:r>
    </w:p>
    <w:p>
      <w:pPr>
        <w:pStyle w:val="3"/>
        <w:widowControl/>
        <w:spacing w:line="600" w:lineRule="exact"/>
        <w:ind w:right="181"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212121"/>
          <w:sz w:val="30"/>
          <w:szCs w:val="30"/>
        </w:rPr>
        <w:t>从整体情况来看，我单位严格按照年初预算进行部门整体支出。在支出过程中，能严格遵守各项规章制度，“三公经费”明显下降。所有项目都详细制定了方案，严格按方案组织实施，并加强了监督。尤其是在专项经费支出上，我们能专款专用，按项目实施计划的进度情况进行资金拨付，无截留、无挪用等现象。</w:t>
      </w:r>
    </w:p>
    <w:p>
      <w:pPr>
        <w:pStyle w:val="3"/>
        <w:widowControl/>
        <w:spacing w:line="600" w:lineRule="exact"/>
        <w:ind w:right="181"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212121"/>
          <w:sz w:val="30"/>
          <w:szCs w:val="30"/>
        </w:rPr>
        <w:t>（四）绩效评价工作情况</w:t>
      </w:r>
    </w:p>
    <w:p>
      <w:pPr>
        <w:pStyle w:val="3"/>
        <w:widowControl/>
        <w:spacing w:line="600" w:lineRule="exact"/>
        <w:ind w:right="181"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212121"/>
          <w:sz w:val="30"/>
          <w:szCs w:val="30"/>
        </w:rPr>
        <w:t>1.绩效评价目的</w:t>
      </w:r>
    </w:p>
    <w:p>
      <w:pPr>
        <w:pStyle w:val="3"/>
        <w:widowControl/>
        <w:spacing w:line="600" w:lineRule="exact"/>
        <w:ind w:right="181"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212121"/>
          <w:sz w:val="30"/>
          <w:szCs w:val="30"/>
        </w:rPr>
        <w:t>此次绩效评价的目是：严格落实《预算法》及省、市、区绩效管理工作的有关规定，进一步规范财政资金的管理，强化财政支出绩效理念，提升部门责任意识，提高资金使用效益。</w:t>
      </w:r>
    </w:p>
    <w:p>
      <w:pPr>
        <w:pStyle w:val="3"/>
        <w:widowControl/>
        <w:spacing w:line="600" w:lineRule="exact"/>
        <w:ind w:right="181"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212121"/>
          <w:sz w:val="30"/>
          <w:szCs w:val="30"/>
        </w:rPr>
        <w:t>2.绩效评价的主要过程</w:t>
      </w:r>
    </w:p>
    <w:p>
      <w:pPr>
        <w:pStyle w:val="3"/>
        <w:widowControl/>
        <w:spacing w:line="600" w:lineRule="exact"/>
        <w:ind w:right="181"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212121"/>
          <w:sz w:val="30"/>
          <w:szCs w:val="30"/>
        </w:rPr>
        <w:t>根据绩效评价的要求，我们成立了自评工作领导小组，对照自评方案进行研究和部署，按照自评方案的要求，对照各实施项目的内容逐条逐项自评。在自评过程发现问题，查找原因，及时纠正偏差，为下一步工作夯实基础。</w:t>
      </w:r>
    </w:p>
    <w:p>
      <w:pPr>
        <w:pStyle w:val="3"/>
        <w:widowControl/>
        <w:spacing w:line="600" w:lineRule="exact"/>
        <w:ind w:right="181"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3.部门重点工作计划</w:t>
      </w:r>
    </w:p>
    <w:p>
      <w:pPr>
        <w:pStyle w:val="3"/>
        <w:widowControl/>
        <w:spacing w:line="600" w:lineRule="exact"/>
        <w:ind w:right="181"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2021年区文联工作的总体要求是：紧密团结在以习近平同志为核心的党中央周围，认真学习和深入贯彻落实党</w:t>
      </w:r>
    </w:p>
    <w:p>
      <w:pPr>
        <w:pStyle w:val="3"/>
        <w:widowControl/>
        <w:spacing w:line="600" w:lineRule="exact"/>
        <w:ind w:right="181"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的十九大和习近平新时代文艺思想，围绕中心，服务大局，</w:t>
      </w:r>
    </w:p>
    <w:p>
      <w:pPr>
        <w:pStyle w:val="3"/>
        <w:widowControl/>
        <w:spacing w:line="600" w:lineRule="exact"/>
        <w:ind w:right="181"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面向基层、服务群众,认真履行联络、协调、服务的基本职能，充分发挥组织、引导、服务和维权作用，团结和带领广大文艺工作者,一手抓文艺创作，一手抓服务提升，为推动赫山文艺事业发展和建设和谐社会作出了应有的贡献。</w:t>
      </w:r>
    </w:p>
    <w:p>
      <w:pPr>
        <w:pStyle w:val="3"/>
        <w:shd w:val="clear" w:color="auto" w:fill="FFFFFF"/>
        <w:spacing w:line="600" w:lineRule="exact"/>
        <w:ind w:firstLine="600" w:firstLineChars="20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4.评价结论</w:t>
      </w:r>
    </w:p>
    <w:p>
      <w:pPr>
        <w:pStyle w:val="3"/>
        <w:shd w:val="clear" w:color="auto" w:fill="FFFFFF"/>
        <w:spacing w:line="600" w:lineRule="exact"/>
        <w:ind w:firstLine="600" w:firstLineChars="20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一是预算执行到位。严格执行《预算法》和各项财经纪律，机关管理制度健全，财务管理规范，预算编制合理;二是资金监管到位。经费开支按用途使用合理，做到专账专管,专款专用。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根据《2021年部门整体支出绩效自评指标计分表》评分，得分94分（详见附表），财政支出绩效自评结果为优。</w:t>
      </w:r>
    </w:p>
    <w:p>
      <w:pPr>
        <w:pStyle w:val="3"/>
        <w:widowControl/>
        <w:spacing w:line="600" w:lineRule="exact"/>
        <w:ind w:right="181"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color w:val="212121"/>
          <w:sz w:val="30"/>
          <w:szCs w:val="30"/>
        </w:rPr>
        <w:t>七、存在的问题及原因分析</w:t>
      </w:r>
    </w:p>
    <w:p>
      <w:pPr>
        <w:pStyle w:val="3"/>
        <w:widowControl/>
        <w:spacing w:line="600" w:lineRule="exact"/>
        <w:ind w:right="181"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212121"/>
          <w:sz w:val="30"/>
          <w:szCs w:val="30"/>
        </w:rPr>
        <w:t>本单位人员少，经费少，工作任务重，协会没有活动经费，一些重大活动无法开展；在资金使用效益上有待进一步提高。</w:t>
      </w:r>
    </w:p>
    <w:p>
      <w:pPr>
        <w:pStyle w:val="3"/>
        <w:widowControl/>
        <w:spacing w:line="600" w:lineRule="exact"/>
        <w:ind w:right="181" w:firstLine="600" w:firstLineChars="200"/>
        <w:rPr>
          <w:rFonts w:ascii="黑体" w:hAnsi="黑体" w:eastAsia="黑体" w:cs="黑体"/>
          <w:color w:val="212121"/>
          <w:sz w:val="30"/>
          <w:szCs w:val="30"/>
        </w:rPr>
      </w:pPr>
      <w:r>
        <w:rPr>
          <w:rFonts w:hint="eastAsia" w:ascii="黑体" w:hAnsi="黑体" w:eastAsia="黑体" w:cs="黑体"/>
          <w:color w:val="212121"/>
          <w:sz w:val="30"/>
          <w:szCs w:val="30"/>
        </w:rPr>
        <w:t>八、下一步改进措施</w:t>
      </w:r>
    </w:p>
    <w:p>
      <w:pPr>
        <w:pStyle w:val="3"/>
        <w:widowControl/>
        <w:spacing w:line="600" w:lineRule="exact"/>
        <w:ind w:right="181" w:firstLine="600" w:firstLineChars="200"/>
        <w:rPr>
          <w:rFonts w:ascii="仿宋" w:hAnsi="仿宋" w:eastAsia="仿宋" w:cs="仿宋"/>
          <w:color w:val="212121"/>
          <w:sz w:val="30"/>
          <w:szCs w:val="30"/>
        </w:rPr>
      </w:pPr>
      <w:r>
        <w:rPr>
          <w:rFonts w:hint="eastAsia" w:ascii="仿宋" w:hAnsi="仿宋" w:eastAsia="仿宋" w:cs="仿宋"/>
          <w:color w:val="212121"/>
          <w:sz w:val="30"/>
          <w:szCs w:val="30"/>
        </w:rPr>
        <w:t>增加单位人员力量和预算资金投入，更好的为文艺事业作出新的更大贡献。</w:t>
      </w:r>
    </w:p>
    <w:p>
      <w:pPr>
        <w:pStyle w:val="3"/>
        <w:widowControl/>
        <w:spacing w:line="600" w:lineRule="exact"/>
        <w:ind w:right="181" w:firstLine="600" w:firstLineChars="200"/>
        <w:rPr>
          <w:rFonts w:ascii="黑体" w:hAnsi="黑体" w:eastAsia="黑体" w:cs="黑体"/>
          <w:color w:val="212121"/>
          <w:sz w:val="30"/>
          <w:szCs w:val="30"/>
        </w:rPr>
      </w:pPr>
      <w:r>
        <w:rPr>
          <w:rFonts w:hint="eastAsia" w:ascii="黑体" w:hAnsi="黑体" w:eastAsia="黑体" w:cs="黑体"/>
          <w:color w:val="212121"/>
          <w:sz w:val="30"/>
          <w:szCs w:val="30"/>
        </w:rPr>
        <w:t>九、其他需要说明的情况</w:t>
      </w:r>
    </w:p>
    <w:p>
      <w:pPr>
        <w:pStyle w:val="3"/>
        <w:widowControl/>
        <w:spacing w:line="600" w:lineRule="exact"/>
        <w:ind w:right="181" w:firstLine="600" w:firstLineChars="200"/>
      </w:pPr>
      <w:r>
        <w:rPr>
          <w:rFonts w:hint="eastAsia" w:ascii="仿宋" w:hAnsi="仿宋" w:eastAsia="仿宋" w:cs="仿宋"/>
          <w:color w:val="212121"/>
          <w:sz w:val="30"/>
          <w:szCs w:val="30"/>
        </w:rPr>
        <w:t>无</w:t>
      </w:r>
      <w:r>
        <w:rPr>
          <w:rFonts w:hint="eastAsia" w:ascii="仿宋" w:hAnsi="仿宋" w:eastAsia="仿宋" w:cs="仿宋"/>
          <w:color w:val="212121"/>
          <w:sz w:val="30"/>
          <w:szCs w:val="30"/>
          <w:lang w:eastAsia="zh-CN"/>
        </w:rPr>
        <w:t>。</w:t>
      </w:r>
      <w:bookmarkStart w:id="0" w:name="_GoBack"/>
      <w:bookmarkEnd w:id="0"/>
    </w:p>
    <w:sectPr>
      <w:pgSz w:w="11906" w:h="16838"/>
      <w:pgMar w:top="1134" w:right="1531" w:bottom="113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ZDRkNTkxMzRiYWQ3ODFjNjM3YTMzZWRlYjFjZmQifQ=="/>
  </w:docVars>
  <w:rsids>
    <w:rsidRoot w:val="00000000"/>
    <w:rsid w:val="040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Normal (Web)"/>
    <w:basedOn w:val="1"/>
    <w:unhideWhenUsed/>
    <w:qFormat/>
    <w:uiPriority w:val="0"/>
    <w:pPr>
      <w:jc w:val="left"/>
    </w:pPr>
    <w:rPr>
      <w:rFonts w:ascii="Calibri" w:hAnsi="Calibri" w:eastAsia="宋体" w:cs="Times New Roman"/>
      <w:sz w:val="24"/>
      <w:szCs w:val="24"/>
    </w:rPr>
  </w:style>
  <w:style w:type="paragraph" w:customStyle="1" w:styleId="6">
    <w:name w:val="Default"/>
    <w:next w:val="2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2023-06-17T14:31:46Z</dcterms:created>
  <dc:creator>admin-3</dc:creator>
  <cp:lastModifiedBy>admin-3</cp:lastModifiedBy>
  <dcterms:modified xsi:type="dcterms:W3CDTF">2023-06-17T14:33:23Z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098E8F94AD184DA8BAE3B8E51AE96EE6_12</vt:lpwstr>
  </property>
</Properties>
</file>