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b w:val="0"/>
          <w:color w:val="auto"/>
          <w:sz w:val="36"/>
          <w:szCs w:val="36"/>
          <w:highlight w:val="none"/>
        </w:rPr>
      </w:pPr>
      <w:r>
        <w:rPr>
          <w:rFonts w:hint="eastAsia" w:ascii="黑体" w:hAnsi="黑体" w:eastAsia="黑体" w:cs="黑体"/>
          <w:b w:val="0"/>
          <w:color w:val="auto"/>
          <w:sz w:val="36"/>
          <w:szCs w:val="36"/>
          <w:highlight w:val="none"/>
        </w:rPr>
        <w:t>益阳市赫山区库区移民事务中心2021年度</w:t>
      </w:r>
    </w:p>
    <w:p>
      <w:pPr>
        <w:adjustRightInd w:val="0"/>
        <w:snapToGrid w:val="0"/>
        <w:spacing w:line="560" w:lineRule="exact"/>
        <w:jc w:val="center"/>
        <w:rPr>
          <w:rFonts w:hint="eastAsia" w:ascii="黑体" w:hAnsi="黑体" w:eastAsia="黑体" w:cs="黑体"/>
          <w:b w:val="0"/>
          <w:color w:val="auto"/>
          <w:sz w:val="36"/>
          <w:szCs w:val="36"/>
          <w:highlight w:val="none"/>
        </w:rPr>
      </w:pPr>
      <w:r>
        <w:rPr>
          <w:rFonts w:hint="eastAsia" w:ascii="黑体" w:hAnsi="黑体" w:eastAsia="黑体" w:cs="黑体"/>
          <w:b w:val="0"/>
          <w:color w:val="auto"/>
          <w:sz w:val="36"/>
          <w:szCs w:val="36"/>
          <w:highlight w:val="none"/>
        </w:rPr>
        <w:t>中央水库移民扶持基金</w:t>
      </w:r>
      <w:r>
        <w:rPr>
          <w:rFonts w:hint="eastAsia" w:ascii="黑体" w:hAnsi="黑体" w:eastAsia="黑体" w:cs="黑体"/>
          <w:b w:val="0"/>
          <w:color w:val="auto"/>
          <w:sz w:val="36"/>
          <w:szCs w:val="36"/>
          <w:highlight w:val="none"/>
          <w:lang w:val="en-US" w:eastAsia="zh-CN"/>
        </w:rPr>
        <w:t>项目支出</w:t>
      </w:r>
      <w:r>
        <w:rPr>
          <w:rFonts w:hint="eastAsia" w:ascii="黑体" w:hAnsi="黑体" w:eastAsia="黑体" w:cs="黑体"/>
          <w:b w:val="0"/>
          <w:color w:val="auto"/>
          <w:sz w:val="36"/>
          <w:szCs w:val="36"/>
          <w:highlight w:val="none"/>
        </w:rPr>
        <w:t>绩效自评报告</w:t>
      </w:r>
    </w:p>
    <w:p>
      <w:pPr>
        <w:adjustRightInd w:val="0"/>
        <w:snapToGrid w:val="0"/>
        <w:spacing w:line="560" w:lineRule="exact"/>
        <w:ind w:firstLine="880" w:firstLineChars="200"/>
        <w:rPr>
          <w:rFonts w:ascii="黑体" w:hAnsi="黑体" w:eastAsia="黑体" w:cs="黑体"/>
          <w:b w:val="0"/>
          <w:color w:val="auto"/>
          <w:sz w:val="44"/>
          <w:szCs w:val="44"/>
          <w:highlight w:val="none"/>
        </w:rPr>
      </w:pP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根据水利部办公厅、财政部办公厅《关于开展2021年度大中型水库移民扶持基金绩效评价工作的通知》（财办农〔2022〕8号）要求，现就我事务中心2021年度移民扶持基金开展绩效自评情况汇报如下：</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一、项目安排和资金使用基本情况</w:t>
      </w:r>
      <w:bookmarkStart w:id="0" w:name="_GoBack"/>
      <w:bookmarkEnd w:id="0"/>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（一）基本情况</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2019年3月，我单位更名为赫山区库区移民事务中心，为正科级事业单位。现有工作人员10名，其中，全额拨款人员9名，自收自支人员1名。内设办公室、人事计划财务股、项目股、后扶股等股室。2006年省移民局核定我区大中型水库1座，核定我区移民人数共7734人，涉及全区18个乡镇街道的145个村（社区）918个村民小组。我区安置三峡移民227人，分别安置在沧水铺镇、衡龙桥镇、岳家桥镇的5个移民点。</w:t>
      </w:r>
    </w:p>
    <w:p>
      <w:pPr>
        <w:adjustRightInd w:val="0"/>
        <w:snapToGrid w:val="0"/>
        <w:spacing w:line="58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（二）省级下达预算和绩效目标情况</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1.资金分配</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资金下达及支出方向：我库区移民事务中心严格按照上级有关规定，及时分解安排下达移民项目资金到项目单位，移民项目</w:t>
      </w:r>
    </w:p>
    <w:p>
      <w:pPr>
        <w:adjustRightInd w:val="0"/>
        <w:snapToGrid w:val="0"/>
        <w:spacing w:line="580" w:lineRule="exact"/>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资金安排符合中央、省移民资金管理的相关要求。2021年省、市下达我区中央水库移民扶持基金共计1195.04万元。其中：</w:t>
      </w:r>
    </w:p>
    <w:p>
      <w:pPr>
        <w:adjustRightInd w:val="0"/>
        <w:snapToGrid w:val="0"/>
        <w:spacing w:line="580" w:lineRule="exact"/>
        <w:ind w:firstLine="450" w:firstLineChars="15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（1）湘财综指〔2020〕91号文件下达我区2021年移民</w:t>
      </w:r>
      <w:r>
        <w:rPr>
          <w:rFonts w:hint="eastAsia" w:ascii="仿宋" w:hAnsi="仿宋" w:eastAsia="仿宋" w:cs="仿宋"/>
          <w:b w:val="0"/>
          <w:bCs/>
          <w:color w:val="auto"/>
          <w:sz w:val="30"/>
          <w:szCs w:val="30"/>
          <w:highlight w:val="none"/>
        </w:rPr>
        <w:t>后期扶持基金(600元内直补资金)464.04万元</w:t>
      </w:r>
      <w:r>
        <w:rPr>
          <w:rFonts w:hint="eastAsia" w:ascii="仿宋" w:hAnsi="仿宋" w:eastAsia="仿宋" w:cs="仿宋"/>
          <w:b w:val="0"/>
          <w:color w:val="auto"/>
          <w:sz w:val="30"/>
          <w:szCs w:val="30"/>
          <w:highlight w:val="none"/>
        </w:rPr>
        <w:t>。</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我区实际用于：</w:t>
      </w:r>
      <w:r>
        <w:rPr>
          <w:rFonts w:hint="eastAsia" w:ascii="仿宋" w:hAnsi="仿宋" w:eastAsia="仿宋" w:cs="仿宋"/>
          <w:b w:val="0"/>
          <w:bCs/>
          <w:color w:val="auto"/>
          <w:sz w:val="30"/>
          <w:szCs w:val="30"/>
          <w:highlight w:val="none"/>
        </w:rPr>
        <w:t>一是直补到人403.2万元(</w:t>
      </w:r>
      <w:r>
        <w:rPr>
          <w:rFonts w:hint="eastAsia" w:ascii="仿宋" w:hAnsi="仿宋" w:eastAsia="仿宋" w:cs="仿宋"/>
          <w:b w:val="0"/>
          <w:color w:val="auto"/>
          <w:sz w:val="30"/>
          <w:szCs w:val="30"/>
          <w:highlight w:val="none"/>
        </w:rPr>
        <w:t>2007年省移民开发局核定我区大中型水库移民7734人，直补资金600元/人)。2021年初通过对移民后期扶持动态管理，确认我区发放移民直补资金人数为6720人。发放直补资金后剩余的资金60.84万元分配到12个项目中。（12个项目是包含在2021年全部110个项目中的）</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bCs/>
          <w:color w:val="auto"/>
          <w:sz w:val="30"/>
          <w:szCs w:val="30"/>
          <w:highlight w:val="none"/>
        </w:rPr>
        <w:t>二是移民项目建设59万元</w:t>
      </w:r>
      <w:r>
        <w:rPr>
          <w:rFonts w:hint="eastAsia" w:ascii="仿宋" w:hAnsi="仿宋" w:eastAsia="仿宋" w:cs="仿宋"/>
          <w:b w:val="0"/>
          <w:color w:val="auto"/>
          <w:sz w:val="30"/>
          <w:szCs w:val="30"/>
          <w:highlight w:val="none"/>
        </w:rPr>
        <w:t>，其中：公路建设资金29万元6个项目，水利建设18万元3个项目，生产开发12万元2个项目。</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bCs/>
          <w:color w:val="auto"/>
          <w:sz w:val="30"/>
          <w:szCs w:val="30"/>
          <w:highlight w:val="none"/>
        </w:rPr>
        <w:t>三是移民补贴项目1.84万元</w:t>
      </w:r>
      <w:r>
        <w:rPr>
          <w:rFonts w:hint="eastAsia" w:ascii="仿宋" w:hAnsi="仿宋" w:eastAsia="仿宋" w:cs="仿宋"/>
          <w:b w:val="0"/>
          <w:color w:val="auto"/>
          <w:sz w:val="30"/>
          <w:szCs w:val="30"/>
          <w:highlight w:val="none"/>
        </w:rPr>
        <w:t xml:space="preserve">，其中：移民培训补助1.11万元、移民困难救助（扶危济困）资金0.73万元。 </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至2022年3月31日前464.04万</w:t>
      </w:r>
      <w:r>
        <w:rPr>
          <w:rFonts w:hint="eastAsia" w:ascii="仿宋" w:hAnsi="仿宋" w:eastAsia="仿宋" w:cs="仿宋"/>
          <w:b w:val="0"/>
          <w:bCs/>
          <w:color w:val="auto"/>
          <w:sz w:val="30"/>
          <w:szCs w:val="30"/>
          <w:highlight w:val="none"/>
        </w:rPr>
        <w:t>元直补</w:t>
      </w:r>
      <w:r>
        <w:rPr>
          <w:rFonts w:hint="eastAsia" w:ascii="仿宋" w:hAnsi="仿宋" w:eastAsia="仿宋" w:cs="仿宋"/>
          <w:b w:val="0"/>
          <w:color w:val="auto"/>
          <w:sz w:val="30"/>
          <w:szCs w:val="30"/>
          <w:highlight w:val="none"/>
        </w:rPr>
        <w:t xml:space="preserve">资金全部拨付到位，全部使用完毕，结余为0元。                      </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（2）湘财农指[2020]92号文件329万元 、湘财农指[2020]313号文件258万元、湘财预[2021]26号文件144万元，共下达移民</w:t>
      </w:r>
      <w:r>
        <w:rPr>
          <w:rFonts w:hint="eastAsia" w:ascii="仿宋" w:hAnsi="仿宋" w:eastAsia="仿宋" w:cs="仿宋"/>
          <w:bCs/>
          <w:color w:val="auto"/>
          <w:sz w:val="30"/>
          <w:szCs w:val="30"/>
          <w:highlight w:val="none"/>
        </w:rPr>
        <w:t>后期扶持项目建设资金(600元外后扶结余资金)731万</w:t>
      </w:r>
      <w:r>
        <w:rPr>
          <w:rFonts w:hint="eastAsia" w:ascii="仿宋" w:hAnsi="仿宋" w:eastAsia="仿宋" w:cs="仿宋"/>
          <w:b w:val="0"/>
          <w:color w:val="auto"/>
          <w:sz w:val="30"/>
          <w:szCs w:val="30"/>
          <w:highlight w:val="none"/>
        </w:rPr>
        <w:t>元投入到98个项目中。（98个项目是包含在2021年全部110个项目中的）</w:t>
      </w:r>
    </w:p>
    <w:p>
      <w:pPr>
        <w:adjustRightInd w:val="0"/>
        <w:snapToGrid w:val="0"/>
        <w:spacing w:line="580" w:lineRule="exact"/>
        <w:ind w:left="445" w:leftChars="212"/>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一是安排移民整村推进（美丽家园）项目1个共210万元。二是用于公路建设项目39个共207万元。</w:t>
      </w:r>
    </w:p>
    <w:p>
      <w:pPr>
        <w:adjustRightInd w:val="0"/>
        <w:snapToGrid w:val="0"/>
        <w:spacing w:line="580" w:lineRule="exact"/>
        <w:ind w:left="445" w:leftChars="212"/>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三是用于农田水利建设项目31个共155万元。</w:t>
      </w:r>
    </w:p>
    <w:p>
      <w:pPr>
        <w:adjustRightInd w:val="0"/>
        <w:snapToGrid w:val="0"/>
        <w:spacing w:line="580" w:lineRule="exact"/>
        <w:ind w:left="445" w:leftChars="212"/>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四是用于生态环境整治项目5个共20万元。</w:t>
      </w:r>
    </w:p>
    <w:p>
      <w:pPr>
        <w:adjustRightInd w:val="0"/>
        <w:snapToGrid w:val="0"/>
        <w:spacing w:line="580" w:lineRule="exact"/>
        <w:ind w:left="445" w:leftChars="212"/>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五是用于生产开发项目19个共103万元。</w:t>
      </w:r>
    </w:p>
    <w:p>
      <w:pPr>
        <w:adjustRightInd w:val="0"/>
        <w:snapToGrid w:val="0"/>
        <w:spacing w:line="580" w:lineRule="exact"/>
        <w:ind w:left="445" w:leftChars="212"/>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六是安排移民技能培训项目1个18万元，培训移民149人。</w:t>
      </w:r>
    </w:p>
    <w:p>
      <w:pPr>
        <w:adjustRightInd w:val="0"/>
        <w:snapToGrid w:val="0"/>
        <w:spacing w:line="580" w:lineRule="exact"/>
        <w:ind w:left="445" w:leftChars="21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七是十四五规则项目1个6万元。</w:t>
      </w:r>
    </w:p>
    <w:p>
      <w:pPr>
        <w:adjustRightInd w:val="0"/>
        <w:snapToGrid w:val="0"/>
        <w:spacing w:line="580" w:lineRule="exact"/>
        <w:ind w:left="445" w:leftChars="21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八是</w:t>
      </w:r>
      <w:r>
        <w:rPr>
          <w:rFonts w:hint="eastAsia" w:ascii="仿宋" w:hAnsi="仿宋" w:eastAsia="仿宋" w:cs="仿宋"/>
          <w:b w:val="0"/>
          <w:color w:val="auto"/>
          <w:sz w:val="30"/>
          <w:szCs w:val="30"/>
          <w:highlight w:val="none"/>
        </w:rPr>
        <w:t>监测评估、后扶稽查、内部审计等项目1个12万元。</w:t>
      </w:r>
    </w:p>
    <w:p>
      <w:pPr>
        <w:adjustRightInd w:val="0"/>
        <w:snapToGrid w:val="0"/>
        <w:spacing w:line="580" w:lineRule="exact"/>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因使用尚未结账，暂未付款。</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至2022年3月31日600元外资金计划731万元，</w:t>
      </w:r>
      <w:r>
        <w:rPr>
          <w:rFonts w:hint="eastAsia" w:ascii="仿宋" w:hAnsi="仿宋" w:eastAsia="仿宋" w:cs="仿宋"/>
          <w:b w:val="0"/>
          <w:color w:val="auto"/>
          <w:sz w:val="30"/>
          <w:szCs w:val="30"/>
          <w:highlight w:val="none"/>
        </w:rPr>
        <w:t>实际支付资金717万元，项目总个数98个，实际付款96个，至2022年3月31日止资金尚有14万元未支付（水利建设有1个项目2万元未付款，监测评估有1个项目12万元未付款）。</w:t>
      </w:r>
    </w:p>
    <w:p>
      <w:pPr>
        <w:adjustRightInd w:val="0"/>
        <w:snapToGrid w:val="0"/>
        <w:spacing w:line="58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附：赫山区2021年度中央水库移民扶持基金项目支出金额及项目汇总表如下：</w:t>
      </w:r>
    </w:p>
    <w:tbl>
      <w:tblPr>
        <w:tblStyle w:val="3"/>
        <w:tblW w:w="8805" w:type="dxa"/>
        <w:tblInd w:w="0" w:type="dxa"/>
        <w:tblLayout w:type="fixed"/>
        <w:tblCellMar>
          <w:top w:w="0" w:type="dxa"/>
          <w:left w:w="0" w:type="dxa"/>
          <w:bottom w:w="0" w:type="dxa"/>
          <w:right w:w="0" w:type="dxa"/>
        </w:tblCellMar>
      </w:tblPr>
      <w:tblGrid>
        <w:gridCol w:w="1020"/>
        <w:gridCol w:w="825"/>
        <w:gridCol w:w="855"/>
        <w:gridCol w:w="1060"/>
        <w:gridCol w:w="240"/>
        <w:gridCol w:w="795"/>
        <w:gridCol w:w="870"/>
        <w:gridCol w:w="1026"/>
        <w:gridCol w:w="257"/>
        <w:gridCol w:w="928"/>
        <w:gridCol w:w="929"/>
      </w:tblGrid>
      <w:tr>
        <w:tblPrEx>
          <w:tblCellMar>
            <w:top w:w="0" w:type="dxa"/>
            <w:left w:w="0" w:type="dxa"/>
            <w:bottom w:w="0" w:type="dxa"/>
            <w:right w:w="0" w:type="dxa"/>
          </w:tblCellMar>
        </w:tblPrEx>
        <w:trPr>
          <w:trHeight w:val="640" w:hRule="atLeast"/>
        </w:trPr>
        <w:tc>
          <w:tcPr>
            <w:tcW w:w="8805" w:type="dxa"/>
            <w:gridSpan w:val="11"/>
            <w:tcBorders>
              <w:top w:val="nil"/>
              <w:left w:val="nil"/>
              <w:bottom w:val="nil"/>
              <w:right w:val="nil"/>
            </w:tcBorders>
            <w:noWrap/>
            <w:tcMar>
              <w:top w:w="15" w:type="dxa"/>
              <w:left w:w="15" w:type="dxa"/>
              <w:right w:w="15" w:type="dxa"/>
            </w:tcMar>
            <w:vAlign w:val="center"/>
          </w:tcPr>
          <w:p>
            <w:pPr>
              <w:widowControl/>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赫山区2021年度中央水库移民扶持基金项目支出金额及项目汇总表</w:t>
            </w:r>
          </w:p>
        </w:tc>
      </w:tr>
      <w:tr>
        <w:trPr>
          <w:trHeight w:val="400" w:hRule="atLeast"/>
        </w:trPr>
        <w:tc>
          <w:tcPr>
            <w:tcW w:w="1020"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项目内容</w:t>
            </w:r>
          </w:p>
        </w:tc>
        <w:tc>
          <w:tcPr>
            <w:tcW w:w="2740"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600元外后扶结余资金</w:t>
            </w:r>
          </w:p>
        </w:tc>
        <w:tc>
          <w:tcPr>
            <w:tcW w:w="240"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2691"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600元内后扶基金</w:t>
            </w:r>
          </w:p>
        </w:tc>
        <w:tc>
          <w:tcPr>
            <w:tcW w:w="257"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合计支出金额</w:t>
            </w:r>
          </w:p>
        </w:tc>
        <w:tc>
          <w:tcPr>
            <w:tcW w:w="929"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合计项目个数</w:t>
            </w:r>
          </w:p>
        </w:tc>
      </w:tr>
      <w:tr>
        <w:tblPrEx>
          <w:tblCellMar>
            <w:top w:w="0" w:type="dxa"/>
            <w:left w:w="0" w:type="dxa"/>
            <w:bottom w:w="0" w:type="dxa"/>
            <w:right w:w="0" w:type="dxa"/>
          </w:tblCellMar>
        </w:tblPrEx>
        <w:trPr>
          <w:trHeight w:val="840" w:hRule="atLeast"/>
        </w:trPr>
        <w:tc>
          <w:tcPr>
            <w:tcW w:w="1020"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计划安排资金（万元）</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项目支出金额（万元）</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项目个数</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计划安排资金（万元）</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项目支出金额（万元）</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项目个数</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9"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公路建设</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207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207</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39</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29</w:t>
            </w: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6</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236</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45</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水利建设</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155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153</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30</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w:t>
            </w: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美丽家园</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5</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生产开发</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103</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19</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w:t>
            </w: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56"/>
              </w:tabs>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2</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115</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十四五规划费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56"/>
              </w:tabs>
              <w:jc w:val="left"/>
              <w:rPr>
                <w:rFonts w:hint="eastAsia" w:ascii="仿宋" w:hAnsi="仿宋" w:eastAsia="仿宋" w:cs="仿宋"/>
                <w:color w:val="auto"/>
                <w:sz w:val="30"/>
                <w:szCs w:val="30"/>
                <w:highlight w:val="none"/>
              </w:rPr>
            </w:pP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r>
      <w:tr>
        <w:tblPrEx>
          <w:tblCellMar>
            <w:top w:w="0" w:type="dxa"/>
            <w:left w:w="0" w:type="dxa"/>
            <w:bottom w:w="0" w:type="dxa"/>
            <w:right w:w="0" w:type="dxa"/>
          </w:tblCellMar>
        </w:tblPrEx>
        <w:trPr>
          <w:trHeight w:val="7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整村推进</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210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210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210</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移民培训</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18</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移民补贴</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30"/>
                <w:szCs w:val="30"/>
                <w:highlight w:val="none"/>
              </w:rPr>
            </w:pP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1.84</w:t>
            </w: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1.84</w:t>
            </w: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r>
      <w:tr>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专项工作经费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1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w:t>
            </w:r>
          </w:p>
        </w:tc>
      </w:tr>
      <w:tr>
        <w:tblPrEx>
          <w:tblCellMar>
            <w:top w:w="0" w:type="dxa"/>
            <w:left w:w="0" w:type="dxa"/>
            <w:bottom w:w="0" w:type="dxa"/>
            <w:right w:w="0" w:type="dxa"/>
          </w:tblCellMar>
        </w:tblPrEx>
        <w:trPr>
          <w:trHeight w:val="420" w:hRule="atLeast"/>
        </w:trPr>
        <w:tc>
          <w:tcPr>
            <w:tcW w:w="1020"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合计</w:t>
            </w:r>
          </w:p>
        </w:tc>
        <w:tc>
          <w:tcPr>
            <w:tcW w:w="82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731</w:t>
            </w:r>
          </w:p>
        </w:tc>
        <w:tc>
          <w:tcPr>
            <w:tcW w:w="85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717</w:t>
            </w:r>
          </w:p>
        </w:tc>
        <w:tc>
          <w:tcPr>
            <w:tcW w:w="106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96</w:t>
            </w:r>
          </w:p>
        </w:tc>
        <w:tc>
          <w:tcPr>
            <w:tcW w:w="24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79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60.84</w:t>
            </w:r>
          </w:p>
        </w:tc>
        <w:tc>
          <w:tcPr>
            <w:tcW w:w="87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60.84</w:t>
            </w:r>
          </w:p>
        </w:tc>
        <w:tc>
          <w:tcPr>
            <w:tcW w:w="102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w:t>
            </w:r>
          </w:p>
        </w:tc>
        <w:tc>
          <w:tcPr>
            <w:tcW w:w="25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30"/>
                <w:szCs w:val="30"/>
                <w:highlight w:val="none"/>
              </w:rPr>
            </w:pPr>
          </w:p>
        </w:tc>
        <w:tc>
          <w:tcPr>
            <w:tcW w:w="92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777.84</w:t>
            </w:r>
          </w:p>
        </w:tc>
        <w:tc>
          <w:tcPr>
            <w:tcW w:w="92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108</w:t>
            </w:r>
          </w:p>
        </w:tc>
      </w:tr>
    </w:tbl>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（二）绩效目标</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1.直补受益移民6813人；</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2.移民人均收入增加1991元；</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3.移民满意度≥95%；</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4.移民项目资金完成率2021年底90%，2022年3月30日止100%。</w:t>
      </w:r>
    </w:p>
    <w:p>
      <w:pPr>
        <w:adjustRightInd w:val="0"/>
        <w:snapToGrid w:val="0"/>
        <w:spacing w:line="560" w:lineRule="exact"/>
        <w:ind w:firstLine="900" w:firstLineChars="3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二、绩效自评工作开展情况</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（一）前期准备</w:t>
      </w:r>
      <w:r>
        <w:rPr>
          <w:rFonts w:hint="eastAsia" w:ascii="仿宋" w:hAnsi="仿宋" w:eastAsia="仿宋" w:cs="仿宋"/>
          <w:b w:val="0"/>
          <w:color w:val="auto"/>
          <w:sz w:val="30"/>
          <w:szCs w:val="30"/>
          <w:highlight w:val="none"/>
        </w:rPr>
        <w:t>：我中心领导对绩效评价高度重视，成立了绩效评价领导小组，积极履职，强化预算收支管理，不断建立健全内部管理制度，项目支出管理水平得到提升，较好的完成了年度工作目标。</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（二）组织过程</w:t>
      </w:r>
      <w:r>
        <w:rPr>
          <w:rFonts w:hint="eastAsia" w:ascii="仿宋" w:hAnsi="仿宋" w:eastAsia="仿宋" w:cs="仿宋"/>
          <w:b w:val="0"/>
          <w:color w:val="auto"/>
          <w:sz w:val="30"/>
          <w:szCs w:val="30"/>
          <w:highlight w:val="none"/>
        </w:rPr>
        <w:t>：经领导小组研究同意，由中心主任陈虎明负总责，其他分管领导具体负责，办公室、财务股、项目股、后扶股配合，对2021年度中央水库移民扶持基金进行了认真细致的绩效评价。</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（三）分析评价</w:t>
      </w:r>
      <w:r>
        <w:rPr>
          <w:rFonts w:hint="eastAsia" w:ascii="仿宋" w:hAnsi="仿宋" w:eastAsia="仿宋" w:cs="仿宋"/>
          <w:b w:val="0"/>
          <w:color w:val="auto"/>
          <w:sz w:val="30"/>
          <w:szCs w:val="30"/>
          <w:highlight w:val="none"/>
        </w:rPr>
        <w:t>：根据项目支出绩效评价指标体系，我单位2021年度自评得分为91分。</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三、绩效目标实现程度及效果</w:t>
      </w:r>
    </w:p>
    <w:p>
      <w:pPr>
        <w:adjustRightInd w:val="0"/>
        <w:snapToGrid w:val="0"/>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（一）资金情况分析</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1.资金到位情况分析</w:t>
      </w:r>
      <w:r>
        <w:rPr>
          <w:rFonts w:hint="eastAsia" w:ascii="仿宋" w:hAnsi="仿宋" w:eastAsia="仿宋" w:cs="仿宋"/>
          <w:b w:val="0"/>
          <w:color w:val="auto"/>
          <w:sz w:val="30"/>
          <w:szCs w:val="30"/>
          <w:highlight w:val="none"/>
        </w:rPr>
        <w:t>：我库区移民事务中心制定了项目资金管理制度及相关文件。根据省、市批复项目资金文件及时下达了资金指标。项目完工经验收合格后，将项目资金及时通过国库支付局直接支付到各项目单位的账户上。资金拨付精准及时。</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2.资金执行情况分析</w:t>
      </w:r>
      <w:r>
        <w:rPr>
          <w:rFonts w:hint="eastAsia" w:ascii="仿宋" w:hAnsi="仿宋" w:eastAsia="仿宋" w:cs="仿宋"/>
          <w:b w:val="0"/>
          <w:color w:val="auto"/>
          <w:sz w:val="30"/>
          <w:szCs w:val="30"/>
          <w:highlight w:val="none"/>
        </w:rPr>
        <w:t>：我中心严格按省、市移民局批复的项目资金文件执行，无随意调整和变更的现象。</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3.资金管理情况分析</w:t>
      </w:r>
      <w:r>
        <w:rPr>
          <w:rFonts w:hint="eastAsia" w:ascii="仿宋" w:hAnsi="仿宋" w:eastAsia="仿宋" w:cs="仿宋"/>
          <w:b w:val="0"/>
          <w:color w:val="auto"/>
          <w:sz w:val="30"/>
          <w:szCs w:val="30"/>
          <w:highlight w:val="none"/>
        </w:rPr>
        <w:t>：我中心严格按上级要求管理移民专项资金，为了与移民工作经费严格分开，设置专账，其拨付通过区财政局国库支付局拨付到各单位和移民个人账户上。资金封闭运行，区财政全程参与监督。</w:t>
      </w:r>
    </w:p>
    <w:p>
      <w:pPr>
        <w:adjustRightInd w:val="0"/>
        <w:snapToGrid w:val="0"/>
        <w:spacing w:line="560" w:lineRule="exact"/>
        <w:ind w:firstLine="441" w:firstLineChars="14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（1）组织实施</w:t>
      </w:r>
    </w:p>
    <w:p>
      <w:pPr>
        <w:adjustRightInd w:val="0"/>
        <w:snapToGrid w:val="0"/>
        <w:spacing w:line="560" w:lineRule="exact"/>
        <w:ind w:firstLine="588" w:firstLineChars="196"/>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①组织机构</w:t>
      </w:r>
      <w:r>
        <w:rPr>
          <w:rFonts w:hint="eastAsia" w:ascii="仿宋" w:hAnsi="仿宋" w:eastAsia="仿宋" w:cs="仿宋"/>
          <w:b w:val="0"/>
          <w:color w:val="auto"/>
          <w:sz w:val="30"/>
          <w:szCs w:val="30"/>
          <w:highlight w:val="none"/>
        </w:rPr>
        <w:t>：我区库区移民事务中心组织机构健全，各股室设置完整，工作人员分工明确。</w:t>
      </w:r>
    </w:p>
    <w:p>
      <w:pPr>
        <w:adjustRightInd w:val="0"/>
        <w:snapToGrid w:val="0"/>
        <w:spacing w:line="560" w:lineRule="exact"/>
        <w:ind w:firstLine="588" w:firstLineChars="196"/>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②管理制度</w:t>
      </w:r>
      <w:r>
        <w:rPr>
          <w:rFonts w:hint="eastAsia" w:ascii="仿宋" w:hAnsi="仿宋" w:eastAsia="仿宋" w:cs="仿宋"/>
          <w:b w:val="0"/>
          <w:color w:val="auto"/>
          <w:sz w:val="30"/>
          <w:szCs w:val="30"/>
          <w:highlight w:val="none"/>
        </w:rPr>
        <w:t>：我库区移民事务中心严格按照中央、省市的有关文件精神制定了后期扶持人口核定和动态管理、项目管理、资金管理及财务制度等各项管理制度。根据移民分布的实际情况及项目单位的申请，分配安排移民项目资金，交省、市移民局批复后，通知各项目单位按项目文件的要求实施，各乡镇和区库区移民事务中心负责监督和指导。</w:t>
      </w:r>
    </w:p>
    <w:p>
      <w:pPr>
        <w:adjustRightInd w:val="0"/>
        <w:snapToGrid w:val="0"/>
        <w:spacing w:line="560" w:lineRule="exact"/>
        <w:ind w:firstLine="588" w:firstLineChars="196"/>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③后期扶持人口核定和动态管理：</w:t>
      </w:r>
      <w:r>
        <w:rPr>
          <w:rFonts w:hint="eastAsia" w:ascii="仿宋" w:hAnsi="仿宋" w:eastAsia="仿宋" w:cs="仿宋"/>
          <w:b w:val="0"/>
          <w:color w:val="auto"/>
          <w:sz w:val="30"/>
          <w:szCs w:val="30"/>
          <w:highlight w:val="none"/>
        </w:rPr>
        <w:t>我区直补到人建档立卡完整，核定到人的扶持人口严格实行动态管理。每年年初，核减上年度移民死亡及按政策应退出享受移民直补资金的人数，按当年实有人数发放移民直补资金。</w:t>
      </w:r>
    </w:p>
    <w:p>
      <w:pPr>
        <w:adjustRightInd w:val="0"/>
        <w:snapToGrid w:val="0"/>
        <w:spacing w:line="560" w:lineRule="exact"/>
        <w:ind w:firstLine="441" w:firstLineChars="14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（2）资金安全</w:t>
      </w:r>
    </w:p>
    <w:p>
      <w:pPr>
        <w:adjustRightInd w:val="0"/>
        <w:snapToGrid w:val="0"/>
        <w:spacing w:line="560" w:lineRule="exact"/>
        <w:ind w:firstLine="588" w:firstLineChars="196"/>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①资金管理</w:t>
      </w:r>
      <w:r>
        <w:rPr>
          <w:rFonts w:hint="eastAsia" w:ascii="仿宋" w:hAnsi="仿宋" w:eastAsia="仿宋" w:cs="仿宋"/>
          <w:b w:val="0"/>
          <w:color w:val="auto"/>
          <w:sz w:val="30"/>
          <w:szCs w:val="30"/>
          <w:highlight w:val="none"/>
        </w:rPr>
        <w:t>：一是项目资金。项目完工后,项目单位将项目建设相关资料报区库区移民事务中心项目股和财务股初审，经单位领导审批且报区财政局相关股室审核后，通过国库支付局直接支付到各乡镇村账代管中心账户上，项目村将项目资金支付给项目建设承包人。项目资金拨付程序和使用范围符合有关规定，没有弄虚作假、截留、挤占、挪用资金等违规问题。二是直补资金。直补到人资金由后扶股根据移民动态管理要求提供发放名册，经财务股复核、单位领导审批，上报区财政局业务股室审核，录入财政“一卡通”平台，由国库支付局直接拨付，刷卡到移民个人账户上，资金封闭运行。我中心直补到人建档立卡完整，核定到人的扶持人口严格实行动态管理。</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②项目管理</w:t>
      </w:r>
      <w:r>
        <w:rPr>
          <w:rFonts w:hint="eastAsia" w:ascii="仿宋" w:hAnsi="仿宋" w:eastAsia="仿宋" w:cs="仿宋"/>
          <w:b w:val="0"/>
          <w:color w:val="auto"/>
          <w:sz w:val="30"/>
          <w:szCs w:val="30"/>
          <w:highlight w:val="none"/>
        </w:rPr>
        <w:t>：项目实施过程中由项目单位在村政务公布栏里实行公开公示，并在互联网+监督等平台公示全区移民项目。项目资金安排和项目实施有移民参与监督。档案管理符合档案制度的有关规定。</w:t>
      </w:r>
    </w:p>
    <w:p>
      <w:pPr>
        <w:adjustRightInd w:val="0"/>
        <w:snapToGrid w:val="0"/>
        <w:spacing w:line="560" w:lineRule="exact"/>
        <w:ind w:firstLine="441" w:firstLineChars="14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（3）监督检查</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①稽查审计工作</w:t>
      </w:r>
      <w:r>
        <w:rPr>
          <w:rFonts w:hint="eastAsia" w:ascii="仿宋" w:hAnsi="仿宋" w:eastAsia="仿宋" w:cs="仿宋"/>
          <w:b w:val="0"/>
          <w:color w:val="auto"/>
          <w:sz w:val="30"/>
          <w:szCs w:val="30"/>
          <w:highlight w:val="none"/>
        </w:rPr>
        <w:t>：项目股对重点项目进行现场监督和指导，财务股每年对项目单位项目资金进行一次内部审计，同时，省、市库区移民事务中心到我单位对移民项目资金进行一次稽查或审计，发现问题，及时整改到位。</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②监测评估工作</w:t>
      </w:r>
      <w:r>
        <w:rPr>
          <w:rFonts w:hint="eastAsia" w:ascii="仿宋" w:hAnsi="仿宋" w:eastAsia="仿宋" w:cs="仿宋"/>
          <w:b w:val="0"/>
          <w:color w:val="auto"/>
          <w:sz w:val="30"/>
          <w:szCs w:val="30"/>
          <w:highlight w:val="none"/>
        </w:rPr>
        <w:t>：根据省、市移民事务中心要求，每年在年中组织单位各股室对后期扶持资金进行绩效评价。另聘请湘怡公司对我事务中心每年项目资金进行绩效评价。</w:t>
      </w:r>
    </w:p>
    <w:p>
      <w:pPr>
        <w:adjustRightInd w:val="0"/>
        <w:snapToGrid w:val="0"/>
        <w:spacing w:line="560" w:lineRule="exact"/>
        <w:ind w:firstLine="441" w:firstLineChars="14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（4）信息统计</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我事务中心设置了专职信息管理员，按规定开展后扶实施情况统计工作，并按规定报送统计报表和各项材料。报送内容完整，信息更新及时。</w:t>
      </w:r>
    </w:p>
    <w:p>
      <w:pPr>
        <w:adjustRightInd w:val="0"/>
        <w:snapToGrid w:val="0"/>
        <w:spacing w:line="560" w:lineRule="exact"/>
        <w:ind w:firstLine="441" w:firstLineChars="14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（5）绩效管理</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在规定时间内报送绩效目标和自评材料，基本做到填报准确、内容完整、报关及时。</w:t>
      </w:r>
    </w:p>
    <w:p>
      <w:pPr>
        <w:adjustRightInd w:val="0"/>
        <w:snapToGrid w:val="0"/>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（二）绩效指标完成情况分析</w:t>
      </w:r>
    </w:p>
    <w:p>
      <w:pPr>
        <w:adjustRightInd w:val="0"/>
        <w:snapToGrid w:val="0"/>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1.产出指标完成情况分析</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（1）数量指标</w:t>
      </w:r>
      <w:r>
        <w:rPr>
          <w:rFonts w:hint="eastAsia" w:ascii="仿宋" w:hAnsi="仿宋" w:eastAsia="仿宋" w:cs="仿宋"/>
          <w:b w:val="0"/>
          <w:color w:val="auto"/>
          <w:sz w:val="30"/>
          <w:szCs w:val="30"/>
          <w:highlight w:val="none"/>
        </w:rPr>
        <w:t>：</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2021年移民后扶基金（600元内）464.04万元</w:t>
      </w:r>
      <w:r>
        <w:rPr>
          <w:rFonts w:hint="eastAsia" w:ascii="仿宋" w:hAnsi="仿宋" w:eastAsia="仿宋" w:cs="仿宋"/>
          <w:b w:val="0"/>
          <w:color w:val="auto"/>
          <w:sz w:val="30"/>
          <w:szCs w:val="30"/>
          <w:highlight w:val="none"/>
        </w:rPr>
        <w:t>已全部完成。全年通过“一卡通”等方式发放移民直补资金为403.2万元。直补转项目60.84万元，培训对象补贴、移民困难救助（扶危济困）等资金发放1.84万元，完成项目建设11个投入资金59万元。</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2021年后扶结余资金（600元外）项目建设完成共96个，投入移民项目资金717万元。</w:t>
      </w:r>
      <w:r>
        <w:rPr>
          <w:rFonts w:hint="eastAsia" w:ascii="仿宋" w:hAnsi="仿宋" w:eastAsia="仿宋" w:cs="仿宋"/>
          <w:b w:val="0"/>
          <w:color w:val="auto"/>
          <w:sz w:val="30"/>
          <w:szCs w:val="30"/>
          <w:highlight w:val="none"/>
        </w:rPr>
        <w:t>其中整村推进美丽乡村建设1个，已投入资金210万元；已用于公路水利环境整治生产开发等建设项目94个，已投入资金483万元；移民培训项目1个，已投入资金18万元；十四五规划项目1个，已拨付6万元。</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（2）质量指标</w:t>
      </w:r>
      <w:r>
        <w:rPr>
          <w:rFonts w:hint="eastAsia" w:ascii="仿宋" w:hAnsi="仿宋" w:eastAsia="仿宋" w:cs="仿宋"/>
          <w:b w:val="0"/>
          <w:color w:val="auto"/>
          <w:sz w:val="30"/>
          <w:szCs w:val="30"/>
          <w:highlight w:val="none"/>
        </w:rPr>
        <w:t>：按上级要求，保证质量，完成目标任务，移民培训合格率达100%以上，项目验收质量合格率达100%。</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（3）</w:t>
      </w:r>
      <w:r>
        <w:rPr>
          <w:rFonts w:hint="eastAsia" w:ascii="仿宋" w:hAnsi="仿宋" w:eastAsia="仿宋" w:cs="仿宋"/>
          <w:bCs/>
          <w:color w:val="auto"/>
          <w:spacing w:val="-11"/>
          <w:sz w:val="30"/>
          <w:szCs w:val="30"/>
          <w:highlight w:val="none"/>
        </w:rPr>
        <w:t>时效指标</w:t>
      </w:r>
      <w:r>
        <w:rPr>
          <w:rFonts w:hint="eastAsia" w:ascii="仿宋" w:hAnsi="仿宋" w:eastAsia="仿宋" w:cs="仿宋"/>
          <w:b w:val="0"/>
          <w:color w:val="auto"/>
          <w:spacing w:val="-11"/>
          <w:sz w:val="30"/>
          <w:szCs w:val="30"/>
          <w:highlight w:val="none"/>
        </w:rPr>
        <w:t>：</w:t>
      </w:r>
      <w:r>
        <w:rPr>
          <w:rFonts w:hint="eastAsia" w:ascii="仿宋" w:hAnsi="仿宋" w:eastAsia="仿宋" w:cs="仿宋"/>
          <w:bCs/>
          <w:color w:val="auto"/>
          <w:spacing w:val="-11"/>
          <w:sz w:val="30"/>
          <w:szCs w:val="30"/>
          <w:highlight w:val="none"/>
        </w:rPr>
        <w:t>600元内的直补资金</w:t>
      </w:r>
      <w:r>
        <w:rPr>
          <w:rFonts w:hint="eastAsia" w:ascii="仿宋" w:hAnsi="仿宋" w:eastAsia="仿宋" w:cs="仿宋"/>
          <w:b w:val="0"/>
          <w:color w:val="auto"/>
          <w:spacing w:val="-11"/>
          <w:sz w:val="30"/>
          <w:szCs w:val="30"/>
          <w:highlight w:val="none"/>
        </w:rPr>
        <w:t>一次性发放，于2021年4月25日刷卡，直补资金按时发放率100%。至2021年12月31日项目资金完成率87.11%，至2022年3月31日止项目资金完成率仍为98.23%</w:t>
      </w:r>
      <w:r>
        <w:rPr>
          <w:rFonts w:hint="eastAsia" w:ascii="仿宋" w:hAnsi="仿宋" w:eastAsia="仿宋" w:cs="仿宋"/>
          <w:b w:val="0"/>
          <w:color w:val="auto"/>
          <w:sz w:val="30"/>
          <w:szCs w:val="30"/>
          <w:highlight w:val="none"/>
        </w:rPr>
        <w:t>。</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（4）成本指标</w:t>
      </w:r>
      <w:r>
        <w:rPr>
          <w:rFonts w:hint="eastAsia" w:ascii="仿宋" w:hAnsi="仿宋" w:eastAsia="仿宋" w:cs="仿宋"/>
          <w:b w:val="0"/>
          <w:color w:val="auto"/>
          <w:sz w:val="30"/>
          <w:szCs w:val="30"/>
          <w:highlight w:val="none"/>
        </w:rPr>
        <w:t xml:space="preserve">：按政策规定应发直补资金人数与实际发放人数相符，全部按每人每年600元的标准发放，直补资金标准符合率100%。项目支出控制在批复预算资金范围内的项目比例达100%。                                                                                                                                                                                                                                                                                                                                                                                                                                                                                                                                                                                                                                                                                                                                                                                                                            </w:t>
      </w:r>
    </w:p>
    <w:p>
      <w:pPr>
        <w:adjustRightInd w:val="0"/>
        <w:snapToGrid w:val="0"/>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2.效益指标完成情况分析</w:t>
      </w:r>
    </w:p>
    <w:p>
      <w:pPr>
        <w:spacing w:line="600" w:lineRule="exact"/>
        <w:ind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Cs/>
          <w:color w:val="auto"/>
          <w:sz w:val="30"/>
          <w:szCs w:val="30"/>
          <w:highlight w:val="none"/>
        </w:rPr>
        <w:t>（1）经济效益</w:t>
      </w:r>
      <w:r>
        <w:rPr>
          <w:rFonts w:hint="eastAsia" w:ascii="仿宋" w:hAnsi="仿宋" w:eastAsia="仿宋" w:cs="仿宋"/>
          <w:b w:val="0"/>
          <w:color w:val="auto"/>
          <w:sz w:val="30"/>
          <w:szCs w:val="30"/>
          <w:highlight w:val="none"/>
        </w:rPr>
        <w:t>：</w:t>
      </w:r>
      <w:r>
        <w:rPr>
          <w:rFonts w:hint="eastAsia" w:ascii="仿宋" w:hAnsi="仿宋" w:eastAsia="仿宋" w:cs="仿宋"/>
          <w:b w:val="0"/>
          <w:bCs/>
          <w:color w:val="auto"/>
          <w:sz w:val="30"/>
          <w:szCs w:val="30"/>
          <w:highlight w:val="none"/>
        </w:rPr>
        <w:t>2021年全区农村居民可支配收入24936元，移民人均可支配收入22724元。2020年全区农村居民可支配收入22607元，移民人均可支配收入20906元。</w:t>
      </w:r>
    </w:p>
    <w:p>
      <w:pPr>
        <w:spacing w:line="60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bCs/>
          <w:color w:val="auto"/>
          <w:sz w:val="30"/>
          <w:szCs w:val="30"/>
          <w:highlight w:val="none"/>
        </w:rPr>
        <w:t>2021年移民人均可支配收入比2020年移民人均可支配收入增加1818元，与绩效目标持平。</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 xml:space="preserve">2020年移民人均可支配收入占当地农村居民收入比例92.47%。2021年移民人均可支配收入占当地农村居民收入比例91.13%，比2020年降低了1.34 %，没有达到绩效目标（1%）。 </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2021年的移民资金为增加移民收入发挥的作用：</w:t>
      </w:r>
      <w:r>
        <w:rPr>
          <w:rFonts w:hint="eastAsia" w:ascii="仿宋" w:hAnsi="仿宋" w:eastAsia="仿宋" w:cs="仿宋"/>
          <w:bCs/>
          <w:color w:val="auto"/>
          <w:sz w:val="30"/>
          <w:szCs w:val="30"/>
          <w:highlight w:val="none"/>
        </w:rPr>
        <w:t>一是600元内直补资金到人：</w:t>
      </w:r>
      <w:r>
        <w:rPr>
          <w:rFonts w:hint="eastAsia" w:ascii="仿宋" w:hAnsi="仿宋" w:eastAsia="仿宋" w:cs="仿宋"/>
          <w:b w:val="0"/>
          <w:color w:val="auto"/>
          <w:sz w:val="30"/>
          <w:szCs w:val="30"/>
          <w:highlight w:val="none"/>
        </w:rPr>
        <w:t>全年发放直补资金403.2万元。直补到人资金对于缓解贫困移民生活困难发挥了积极作用，使移民年人均收入增加了600元。</w:t>
      </w:r>
      <w:r>
        <w:rPr>
          <w:rFonts w:hint="eastAsia" w:ascii="仿宋" w:hAnsi="仿宋" w:eastAsia="仿宋" w:cs="仿宋"/>
          <w:bCs/>
          <w:color w:val="auto"/>
          <w:sz w:val="30"/>
          <w:szCs w:val="30"/>
          <w:highlight w:val="none"/>
        </w:rPr>
        <w:t>二是项目资金支出（600元外项目资金）：</w:t>
      </w:r>
      <w:r>
        <w:rPr>
          <w:rFonts w:hint="eastAsia" w:ascii="仿宋" w:hAnsi="仿宋" w:eastAsia="仿宋" w:cs="仿宋"/>
          <w:b w:val="0"/>
          <w:color w:val="auto"/>
          <w:sz w:val="30"/>
          <w:szCs w:val="30"/>
          <w:highlight w:val="none"/>
        </w:rPr>
        <w:t>1.整村推进美丽乡村建设1个，已投入资金210万元，鱼形山街道办项目已完工验收。2.已用于公路水利环境整治生产开发等建设项目94个，已投入资金483万元；其中，</w:t>
      </w:r>
      <w:r>
        <w:rPr>
          <w:rFonts w:hint="eastAsia" w:ascii="仿宋" w:hAnsi="仿宋" w:eastAsia="仿宋" w:cs="仿宋"/>
          <w:bCs/>
          <w:color w:val="auto"/>
          <w:sz w:val="30"/>
          <w:szCs w:val="30"/>
          <w:highlight w:val="none"/>
        </w:rPr>
        <w:t>用于水利建设项目30个共153万元</w:t>
      </w:r>
      <w:r>
        <w:rPr>
          <w:rFonts w:hint="eastAsia" w:ascii="仿宋" w:hAnsi="仿宋" w:eastAsia="仿宋" w:cs="仿宋"/>
          <w:b w:val="0"/>
          <w:color w:val="auto"/>
          <w:sz w:val="30"/>
          <w:szCs w:val="30"/>
          <w:highlight w:val="none"/>
        </w:rPr>
        <w:t>，修建及维修渠道1.9千米，维修山塘6口，受益村民（含移民）4000人以上，灌溉农田3600亩，每亩增加粮食产量50斤，年增产粮食超过21万斤；</w:t>
      </w:r>
      <w:r>
        <w:rPr>
          <w:rFonts w:hint="eastAsia" w:ascii="仿宋" w:hAnsi="仿宋" w:eastAsia="仿宋" w:cs="仿宋"/>
          <w:bCs/>
          <w:color w:val="auto"/>
          <w:sz w:val="30"/>
          <w:szCs w:val="30"/>
          <w:highlight w:val="none"/>
        </w:rPr>
        <w:t>用于公路建设项目39个共207万元</w:t>
      </w:r>
      <w:r>
        <w:rPr>
          <w:rFonts w:hint="eastAsia" w:ascii="仿宋" w:hAnsi="仿宋" w:eastAsia="仿宋" w:cs="仿宋"/>
          <w:b w:val="0"/>
          <w:color w:val="auto"/>
          <w:sz w:val="30"/>
          <w:szCs w:val="30"/>
          <w:highlight w:val="none"/>
        </w:rPr>
        <w:t>，修建及维修公路6.5千米，受益村民（含移民）3万余人，方便了移民出行，降低了移民生产生活成本；</w:t>
      </w:r>
      <w:r>
        <w:rPr>
          <w:rFonts w:hint="eastAsia" w:ascii="仿宋" w:hAnsi="仿宋" w:eastAsia="仿宋" w:cs="仿宋"/>
          <w:bCs/>
          <w:color w:val="auto"/>
          <w:sz w:val="30"/>
          <w:szCs w:val="30"/>
          <w:highlight w:val="none"/>
        </w:rPr>
        <w:t>用于生产开发项目19个共103万元</w:t>
      </w:r>
      <w:r>
        <w:rPr>
          <w:rFonts w:hint="eastAsia" w:ascii="仿宋" w:hAnsi="仿宋" w:eastAsia="仿宋" w:cs="仿宋"/>
          <w:b w:val="0"/>
          <w:color w:val="auto"/>
          <w:sz w:val="30"/>
          <w:szCs w:val="30"/>
          <w:highlight w:val="none"/>
        </w:rPr>
        <w:t>，对移民从简单的资金扶持，逐步转向引导移民创业增收、帮助移民立足自身优势，结合本地特色，积极探索推进注册地域商标、“公司+基地+农户”等产业扶持模式，通过大力落实移民创业产业扶持奖补政策，对移民创业就业相关联的油茶、苗木、大米、水稻种植、龙虾养殖等产业按政策进行扶持，增强致富带头人的领富帮富能力，实现移民共同富裕的目标，移民创收明显。</w:t>
      </w:r>
    </w:p>
    <w:p>
      <w:pPr>
        <w:numPr>
          <w:ilvl w:val="0"/>
          <w:numId w:val="1"/>
        </w:num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社会效益</w:t>
      </w:r>
      <w:r>
        <w:rPr>
          <w:rFonts w:hint="eastAsia" w:ascii="仿宋" w:hAnsi="仿宋" w:eastAsia="仿宋" w:cs="仿宋"/>
          <w:b w:val="0"/>
          <w:color w:val="auto"/>
          <w:sz w:val="30"/>
          <w:szCs w:val="30"/>
          <w:highlight w:val="none"/>
        </w:rPr>
        <w:t>：</w:t>
      </w:r>
      <w:r>
        <w:rPr>
          <w:rFonts w:hint="eastAsia" w:ascii="仿宋" w:hAnsi="仿宋" w:eastAsia="仿宋" w:cs="仿宋"/>
          <w:color w:val="auto"/>
          <w:sz w:val="30"/>
          <w:szCs w:val="30"/>
          <w:highlight w:val="none"/>
        </w:rPr>
        <w:t>修建及维修公路水利建设，方便了移民出行，降低了移民生产生活成本。</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主要措施：</w:t>
      </w:r>
      <w:r>
        <w:rPr>
          <w:rFonts w:hint="eastAsia" w:ascii="仿宋" w:hAnsi="仿宋" w:eastAsia="仿宋" w:cs="仿宋"/>
          <w:b w:val="0"/>
          <w:color w:val="auto"/>
          <w:spacing w:val="-6"/>
          <w:sz w:val="30"/>
          <w:szCs w:val="30"/>
          <w:highlight w:val="none"/>
        </w:rPr>
        <w:t>直补资金发放使移民感受到了党和政府的关怀与温暖，密切了党群干群关系，助力移民脱贫攻坚。通过生产开发项目的实施，全区库区和移民安置区新开垦经济作物、花卉苗木、油茶等种植基地一千余亩，涌现了一大批移民创业致富带头人。移民产业开发项目的实施，增加了移民就业机会，提高了移民收入，增强了购买力，刺激了消费，促进了区域经济发展。项目实施使各类连带影响人口受益，促进了社会和谐稳定，社会效益明显。</w:t>
      </w:r>
    </w:p>
    <w:p>
      <w:pPr>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（3）生态效益</w:t>
      </w:r>
      <w:r>
        <w:rPr>
          <w:rFonts w:hint="eastAsia" w:ascii="仿宋" w:hAnsi="仿宋" w:eastAsia="仿宋" w:cs="仿宋"/>
          <w:b w:val="0"/>
          <w:color w:val="auto"/>
          <w:sz w:val="30"/>
          <w:szCs w:val="30"/>
          <w:highlight w:val="none"/>
        </w:rPr>
        <w:t>：2021年中央水库移民后扶结余资金（600外）投入整村推进美丽移民村建设项目1个共210万元，投入环境整治项目5个共20万元。以上共计2个项目230万元。整村推进美丽乡村建设、环境整治项目的实施，配合国家美丽乡村建设战略，对移民聚居区进行道路提质改造、实施农村安全饮水工程、落实乡村振兴战略，开展整村推进美丽移民村建设项目建设，对移民聚居区进行序化、绿化、亮化“三化”工程等，逐步改善了移民安置点和集中聚居区的人居环境，稳步提升了移民群众的生活品质和幸福指数。项目的实施，发挥了良好的经济效益和社会效益油茶、水果、蔬菜等产业项目的实施对改善区域小气候条件、净化空气，维护区域生态平衡发挥了积极作用，生态效益明显。</w:t>
      </w:r>
    </w:p>
    <w:p>
      <w:pPr>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3.满意度指标完成情况分析</w:t>
      </w:r>
    </w:p>
    <w:p>
      <w:pPr>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移民直补资金的发放、移民项目的实施、人居环境的整治、移民培训等进一步改善移民生产生活条件，丰富群众的文化娱乐生活，移民和当地群众对项目的实施十分满意，使移民感受到了党和政府的关 怀和温暖，为移民致富打下了基础，使移民逐步走上致富的道路，提升了移民群众的幸福感、获得感。经调查，我区库区移民对后期扶持政策实施满意度达90%；全年未出现与后期扶持相关的非正常进京越级上访事件；我中心对交办的信访事项反应迅速，处理率达100%。</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四、绩效目标未完成原因和下一步改进措施</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2021年度省移民局下拨我区移民后期扶持基金1195.04万元，我事务中心实际拨付实施的项目资金1181.04万元，未拨付的部分主要是项目、专项工作经费14万元。</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五、综合评价结论</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（一）</w:t>
      </w:r>
      <w:r>
        <w:rPr>
          <w:rFonts w:hint="eastAsia" w:ascii="仿宋" w:hAnsi="仿宋" w:eastAsia="仿宋" w:cs="仿宋"/>
          <w:b w:val="0"/>
          <w:color w:val="auto"/>
          <w:sz w:val="30"/>
          <w:szCs w:val="30"/>
          <w:highlight w:val="none"/>
        </w:rPr>
        <w:t>全年及时足额发放直补移民直补资金，全年举办移民培训班3期，参训移民149人；移民上访率明显降低，移民满意率明显提高。</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（二）</w:t>
      </w:r>
      <w:r>
        <w:rPr>
          <w:rFonts w:hint="eastAsia" w:ascii="仿宋" w:hAnsi="仿宋" w:eastAsia="仿宋" w:cs="仿宋"/>
          <w:b w:val="0"/>
          <w:color w:val="auto"/>
          <w:sz w:val="30"/>
          <w:szCs w:val="30"/>
          <w:highlight w:val="none"/>
        </w:rPr>
        <w:t>完成了鱼形山街道宝林冲社区整村推进移民村建设项目，为以后的移民村整村推进项目建设进行了有益探索。</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（三）</w:t>
      </w:r>
      <w:r>
        <w:rPr>
          <w:rFonts w:hint="eastAsia" w:ascii="仿宋" w:hAnsi="仿宋" w:eastAsia="仿宋" w:cs="仿宋"/>
          <w:b w:val="0"/>
          <w:color w:val="auto"/>
          <w:sz w:val="30"/>
          <w:szCs w:val="30"/>
          <w:highlight w:val="none"/>
        </w:rPr>
        <w:t>严格按上级要求和标准，落实移民项目资金的监督和管理，及时拨付项目资金。特别是在产业扶持项目上，流转移民土地，组织移民入股分红并就业，为移民提供农业技术服务，引导移民参与稻田养虾、油茶林开发等产业项目，移民家庭收入明显改观。</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六、绩效自评工作的经验、问题和建议</w:t>
      </w:r>
    </w:p>
    <w:p>
      <w:pPr>
        <w:adjustRightInd w:val="0"/>
        <w:snapToGrid w:val="0"/>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工作经验：</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每年上半年，我事务中心对上年度实施的全部项目开展了一次全面的检查监督，进一步完善了项目资金监管制度。总结发现，通过绩效自评，可全面了解和评价后扶资金使用的经济效益和社会效益，同时也可及时查找出资金使用和评估移民管理中存在的问题，做到随自评随整改，防患于未然，筑起民生领域里移民资金的风险墙，为打赢脱贫攻坚战贡献一份力量。</w:t>
      </w:r>
    </w:p>
    <w:p>
      <w:p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Cs/>
          <w:color w:val="auto"/>
          <w:sz w:val="30"/>
          <w:szCs w:val="30"/>
          <w:highlight w:val="none"/>
        </w:rPr>
        <w:t>问题和建议</w:t>
      </w:r>
      <w:r>
        <w:rPr>
          <w:rFonts w:hint="eastAsia" w:ascii="仿宋" w:hAnsi="仿宋" w:eastAsia="仿宋" w:cs="仿宋"/>
          <w:b w:val="0"/>
          <w:color w:val="auto"/>
          <w:sz w:val="30"/>
          <w:szCs w:val="30"/>
          <w:highlight w:val="none"/>
        </w:rPr>
        <w:t>：</w:t>
      </w:r>
    </w:p>
    <w:p>
      <w:pPr>
        <w:numPr>
          <w:ilvl w:val="0"/>
          <w:numId w:val="2"/>
        </w:num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拨付程序多达8道手续，过于繁琐，前后须经手12人（后扶股制表，财务股复核，分管领导审批，“一把手”审批，后扶股输入发放金额至“一卡通”平台，至区财政局办理拨款手续，经由财政局农业股、乡镇财政管理局、国库支付局共3个股室7人经手或审批，完成拨款手续后，正式发放），建议财政部门简化拨款程序。</w:t>
      </w:r>
    </w:p>
    <w:p>
      <w:pPr>
        <w:numPr>
          <w:ilvl w:val="0"/>
          <w:numId w:val="3"/>
        </w:num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直补资金标准过低，建议上级部门考虑适量提高。</w:t>
      </w:r>
    </w:p>
    <w:p>
      <w:pPr>
        <w:numPr>
          <w:ilvl w:val="0"/>
          <w:numId w:val="3"/>
        </w:numPr>
        <w:adjustRightInd w:val="0"/>
        <w:snapToGrid w:val="0"/>
        <w:spacing w:line="56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建议上级财政部门和移民部门统一绩效评价考核的指标口径和内容，并且绩效评价工作由财政部门和移民部门共同组织一并参与，结果共享，减轻基层业务工作人员的工作量。</w:t>
      </w:r>
    </w:p>
    <w:p>
      <w:pPr>
        <w:adjustRightInd w:val="0"/>
        <w:snapToGrid w:val="0"/>
        <w:spacing w:line="560" w:lineRule="exact"/>
        <w:rPr>
          <w:rFonts w:hint="eastAsia" w:ascii="仿宋" w:hAnsi="仿宋" w:eastAsia="仿宋" w:cs="仿宋"/>
          <w:b w:val="0"/>
          <w:color w:val="auto"/>
          <w:sz w:val="30"/>
          <w:szCs w:val="30"/>
          <w:highlight w:val="none"/>
        </w:rPr>
      </w:pPr>
    </w:p>
    <w:p>
      <w:pPr>
        <w:adjustRightInd w:val="0"/>
        <w:snapToGrid w:val="0"/>
        <w:spacing w:line="560" w:lineRule="exact"/>
        <w:ind w:firstLine="5100" w:firstLineChars="1700"/>
        <w:rPr>
          <w:rFonts w:hint="eastAsia" w:ascii="仿宋" w:hAnsi="仿宋" w:eastAsia="仿宋" w:cs="仿宋"/>
          <w:b w:val="0"/>
          <w:color w:val="auto"/>
          <w:sz w:val="30"/>
          <w:szCs w:val="30"/>
          <w:highlight w:val="none"/>
        </w:rPr>
      </w:pPr>
    </w:p>
    <w:p>
      <w:pPr>
        <w:pStyle w:val="2"/>
        <w:ind w:left="0" w:leftChars="0" w:firstLine="0" w:firstLineChars="0"/>
        <w:rPr>
          <w:rFonts w:hint="eastAsia" w:ascii="仿宋" w:hAnsi="仿宋" w:eastAsia="仿宋" w:cs="仿宋"/>
          <w:color w:val="auto"/>
          <w:sz w:val="30"/>
          <w:szCs w:val="30"/>
          <w:highlight w:val="none"/>
        </w:rPr>
      </w:pP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ECB8A"/>
    <w:multiLevelType w:val="singleLevel"/>
    <w:tmpl w:val="192ECB8A"/>
    <w:lvl w:ilvl="0" w:tentative="0">
      <w:start w:val="1"/>
      <w:numFmt w:val="decimal"/>
      <w:suff w:val="space"/>
      <w:lvlText w:val="%1、"/>
      <w:lvlJc w:val="left"/>
    </w:lvl>
  </w:abstractNum>
  <w:abstractNum w:abstractNumId="1">
    <w:nsid w:val="2FFA231D"/>
    <w:multiLevelType w:val="singleLevel"/>
    <w:tmpl w:val="2FFA231D"/>
    <w:lvl w:ilvl="0" w:tentative="0">
      <w:start w:val="2"/>
      <w:numFmt w:val="decimal"/>
      <w:lvlText w:val="%1."/>
      <w:lvlJc w:val="left"/>
      <w:pPr>
        <w:tabs>
          <w:tab w:val="left" w:pos="312"/>
        </w:tabs>
      </w:pPr>
    </w:lvl>
  </w:abstractNum>
  <w:abstractNum w:abstractNumId="2">
    <w:nsid w:val="45EABB60"/>
    <w:multiLevelType w:val="singleLevel"/>
    <w:tmpl w:val="45EABB60"/>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4E50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eastAsia="宋体"/>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2023-06-18T04:35:35Z</dcterms:created>
  <dc:creator>admin-3</dc:creator>
  <cp:lastModifiedBy>admin-3</cp:lastModifiedBy>
  <dcterms:modified xsi:type="dcterms:W3CDTF">2023-06-18T04:36:16Z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1F3D6DC8AC3B410293D4CA80FE32232B_12</vt:lpwstr>
  </property>
</Properties>
</file>