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益阳市赫山区</w:t>
      </w:r>
      <w:bookmarkStart w:id="0" w:name="_GoBack"/>
      <w:r>
        <w:rPr>
          <w:rFonts w:hint="eastAsia" w:ascii="黑体" w:hAnsi="黑体" w:eastAsia="黑体" w:cs="黑体"/>
          <w:sz w:val="36"/>
          <w:szCs w:val="36"/>
        </w:rPr>
        <w:t>住房和城乡建设局</w:t>
      </w:r>
      <w:bookmarkEnd w:id="0"/>
      <w:r>
        <w:rPr>
          <w:rFonts w:hint="eastAsia" w:ascii="黑体" w:hAnsi="黑体" w:eastAsia="黑体" w:cs="黑体"/>
          <w:sz w:val="36"/>
          <w:szCs w:val="36"/>
        </w:rPr>
        <w:t>2021年</w:t>
      </w:r>
      <w:r>
        <w:rPr>
          <w:rFonts w:hint="eastAsia" w:ascii="黑体" w:hAnsi="黑体" w:eastAsia="黑体" w:cs="黑体"/>
          <w:sz w:val="36"/>
          <w:szCs w:val="36"/>
          <w:lang w:val="en-US" w:eastAsia="zh-CN"/>
        </w:rPr>
        <w:t>度</w:t>
      </w:r>
      <w:r>
        <w:rPr>
          <w:rFonts w:hint="eastAsia" w:ascii="黑体" w:hAnsi="黑体" w:eastAsia="黑体" w:cs="黑体"/>
          <w:sz w:val="36"/>
          <w:szCs w:val="36"/>
        </w:rPr>
        <w:t>部门</w:t>
      </w:r>
    </w:p>
    <w:p>
      <w:pPr>
        <w:jc w:val="center"/>
        <w:rPr>
          <w:rFonts w:hint="eastAsia" w:ascii="黑体" w:hAnsi="黑体" w:eastAsia="黑体" w:cs="黑体"/>
          <w:sz w:val="36"/>
          <w:szCs w:val="36"/>
        </w:rPr>
      </w:pPr>
      <w:r>
        <w:rPr>
          <w:rFonts w:hint="eastAsia" w:ascii="黑体" w:hAnsi="黑体" w:eastAsia="黑体" w:cs="黑体"/>
          <w:sz w:val="36"/>
          <w:szCs w:val="36"/>
        </w:rPr>
        <w:t>整体支出绩效评价报告</w:t>
      </w:r>
    </w:p>
    <w:p>
      <w:pPr>
        <w:jc w:val="center"/>
        <w:rPr>
          <w:rFonts w:ascii="方正小标宋简体" w:eastAsia="方正小标宋简体"/>
          <w:sz w:val="32"/>
          <w:szCs w:val="32"/>
        </w:rPr>
      </w:pPr>
    </w:p>
    <w:p>
      <w:pPr>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根据《中共中央 国务院关于全面实施预算绩效管理的意见》（中发〔2018〕34号）、《财政部关于印发&lt;项目支出绩效评价管理办法&gt;的通知》（财预〔2020〕10号）和《中共湖南省委办公厅 湖南省人民政府办公厅关于全面实施预算绩效管理的实施意见》（湘政发〔2019〕10号），《益阳市赫山区财政局关于做好2021年度预算绩效自评工作的通知》（益赫财绩〔2022〕1号）等有关文件精神，我单位领导高度重视，认真组织，对2021年部门整体支出进行了绩效自评，现将我单位部门整体支出绩效自评情况报告如下：</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ascii="Times New Roman" w:hAnsi="Times New Roman" w:eastAsia="黑体" w:cs="黑体"/>
          <w:sz w:val="32"/>
          <w:szCs w:val="32"/>
        </w:rPr>
      </w:pPr>
      <w:r>
        <w:rPr>
          <w:rFonts w:hint="eastAsia" w:ascii="Times New Roman" w:hAnsi="Times New Roman" w:eastAsia="黑体" w:cs="黑体"/>
          <w:sz w:val="32"/>
          <w:szCs w:val="32"/>
          <w:lang w:val="en-US" w:eastAsia="zh-CN"/>
        </w:rPr>
        <w:t>一、</w:t>
      </w:r>
      <w:r>
        <w:rPr>
          <w:rFonts w:hint="eastAsia" w:ascii="Times New Roman" w:hAnsi="Times New Roman" w:eastAsia="黑体" w:cs="黑体"/>
          <w:sz w:val="32"/>
          <w:szCs w:val="32"/>
        </w:rPr>
        <w:t>单位基本情况</w:t>
      </w:r>
    </w:p>
    <w:p>
      <w:pPr>
        <w:pStyle w:val="5"/>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333333"/>
          <w:sz w:val="30"/>
          <w:szCs w:val="30"/>
          <w:shd w:val="clear" w:color="auto" w:fill="FFFFFF"/>
        </w:rPr>
      </w:pPr>
      <w:r>
        <w:rPr>
          <w:rFonts w:hint="eastAsia" w:ascii="仿宋" w:hAnsi="仿宋" w:eastAsia="仿宋" w:cs="仿宋"/>
          <w:b/>
          <w:bCs/>
          <w:color w:val="333333"/>
          <w:sz w:val="30"/>
          <w:szCs w:val="30"/>
          <w:shd w:val="clear" w:color="auto" w:fill="FFFFFF"/>
          <w:lang w:val="en-US" w:eastAsia="zh-CN"/>
        </w:rPr>
        <w:t>（一）</w:t>
      </w:r>
      <w:r>
        <w:rPr>
          <w:rFonts w:hint="eastAsia" w:ascii="仿宋" w:hAnsi="仿宋" w:eastAsia="仿宋" w:cs="仿宋"/>
          <w:b/>
          <w:bCs/>
          <w:color w:val="333333"/>
          <w:sz w:val="30"/>
          <w:szCs w:val="30"/>
          <w:shd w:val="clear" w:color="auto" w:fill="FFFFFF"/>
        </w:rPr>
        <w:t>主要职责：</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贯彻执行国家、省、市、区有关住房和城乡建设管理的方针、政策和法律、法规、规章，组织拟订住房和城乡建设管理的规范性文件并监督实施。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负责推进新型城镇化工作。拟订城乡建设相关发展战略、中长期发展规划和年度计划并组织实施；负责城乡建设重点项目的前期谋划和组织实施；指导小城镇建设和特色城镇建设，指导城乡基础设施建设。</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指导和管理全区村镇建设工作。拟定村镇建设政策并指导实施；指导农村住房建设和安全及危房改造；指导城镇和村庄人居生态环境的改善工作。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协助市城市规划区城市管理。协助城市市政公用事业和公用设施建设、运营安全和应急管理；协助城市供水、排水、燃气、热力、市政道路、城市桥梁、城市路灯（含社会灯饰）、绿化等工作；协助城市地下空间（含地下管线）建设的监督管理。</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指导和管理全区建筑活动。拟订全区建筑业、勘察设计咨询业的行业发展战略、中长期规划、改革方案并组织实施；监督管理建筑市场各方面主体行为；指导监督建筑市场准入、劳保统筹、工程监理；组织协调建筑企业和勘察设计咨询企业跨地域工程承包、建筑劳务合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建设项目的勘察设计监督管理工作。组织或主持全区建设项目（含民用建筑、工业建筑、市政（村镇）设施、公用建筑、园林绿化工程）初步设计的评审和报批工作；负责施工图审查；指导监督各类房屋建筑及其附属设施和城市市政（村镇）设施建设工程的抗震设防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担建立科学规范的工程建设标准体系的责任。组织贯彻执行工程建设实施阶段的国家标准、全国统一定额和行业标准及相关的管理制度，执行省发布的工程建设地方标准、工程建设法规、地方定额；指导监督各类工程建设标准定额的实施和工程造价计价，组织发布工程造价信息，指导建设项目可行性评价办法、经济参数的实施。</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承担全区房屋建筑和市政（村镇）工程质量安全监管的责任。贯彻执行国家、省、市、区有关工程质量、安全生产和竣工验收备案的政策、法规、规章和制度；组织或参与工程重大质量、安全事故的调查处理；协助城市地下空间的勘察设计、工程质量安全及开发和利用。</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9.</w:t>
      </w:r>
      <w:r>
        <w:rPr>
          <w:rFonts w:hint="eastAsia" w:ascii="仿宋" w:hAnsi="仿宋" w:eastAsia="仿宋" w:cs="仿宋"/>
          <w:sz w:val="30"/>
          <w:szCs w:val="30"/>
        </w:rPr>
        <w:t>承担推进全区建筑节能与建设科技进步的责任。实施建筑节能政策，组织实施重大建筑节能项目；指导建设行业科技项目的开发和新技术、新工艺、新产品、新材料的推广应用；负责指导管理行业重大技术改进和创新。</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承担推进全区城镇减排的责任。组织实施城镇污水、生活垃圾处理设施建设和重大减排项目实施，推进城镇减排。</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会同有关部门筹措与管理城镇维护建设资金、行政事业性收费、预算外资金及其他专项资金；会同有关部门负责年度城镇维护建设项目资金计划的编制，指导与监督各专项经费的使用；对区本级维护建设工程进行预（决）算的审核和审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贯彻执行住房保障、住房制度改革与房地产管理的方针、政策和法律、法规。指导房地产行业管理、综合管理城镇建设综合开发、房地产开发；指导和监督管理城镇房屋产权、产籍、租赁、交易、房屋商品化及土地使用权有偿转让和房地产开发经营工作。</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13.</w:t>
      </w:r>
      <w:r>
        <w:rPr>
          <w:rFonts w:hint="eastAsia" w:ascii="仿宋" w:hAnsi="仿宋" w:eastAsia="仿宋" w:cs="仿宋"/>
          <w:sz w:val="30"/>
          <w:szCs w:val="30"/>
        </w:rPr>
        <w:t>承担城镇低收入家庭住房保障的责任。建立完善多层次的住房保障体系；拟订住房保障相关政策并指导实施，组织拟订全区城镇保障性住房发展规划及年度计划并组织实施；会同有关部门做好政府有关保障性住房资金安排和资金监管；组织指导保障性住房建设，并对其使用或经营实施监督管理；指导实施棚户区改造。</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拟订全区建设行业人才发展规划并督促实施，指导行业人才队伍建设，负责行业职工队伍的培训和继续教育；开展城乡建设方面的对外交流与合作；指导建筑领域的各行业学会、协会的工作。</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按照有关规定要求，承担对口事业服务机构业务工作的指导、协调和监督职责。</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完成区委、区政府交办的其他任务。</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17.</w:t>
      </w:r>
      <w:r>
        <w:rPr>
          <w:rFonts w:hint="eastAsia" w:ascii="仿宋" w:hAnsi="仿宋" w:eastAsia="仿宋" w:cs="仿宋"/>
          <w:sz w:val="30"/>
          <w:szCs w:val="30"/>
        </w:rPr>
        <w:t>职能转变：</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w:t>
      </w:r>
      <w:r>
        <w:rPr>
          <w:rFonts w:hint="eastAsia" w:ascii="仿宋" w:hAnsi="仿宋" w:eastAsia="仿宋" w:cs="仿宋"/>
          <w:sz w:val="30"/>
          <w:szCs w:val="30"/>
        </w:rPr>
        <w:t>将城乡规划管理职责、山体水体保护管理职责划转至区自然资源局。</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w:t>
      </w:r>
      <w:r>
        <w:rPr>
          <w:rFonts w:hint="eastAsia" w:ascii="仿宋" w:hAnsi="仿宋" w:eastAsia="仿宋" w:cs="仿宋"/>
          <w:sz w:val="30"/>
          <w:szCs w:val="30"/>
        </w:rPr>
        <w:t>将风景名胜区、自然遗产管理职责划转至区林业局。</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color w:val="333333"/>
          <w:sz w:val="30"/>
          <w:szCs w:val="30"/>
          <w:shd w:val="clear" w:color="auto" w:fill="FFFFFF"/>
        </w:rPr>
      </w:pPr>
      <w:r>
        <w:rPr>
          <w:rFonts w:hint="eastAsia" w:ascii="仿宋" w:hAnsi="仿宋" w:eastAsia="仿宋" w:cs="仿宋"/>
          <w:b/>
          <w:bCs/>
          <w:color w:val="333333"/>
          <w:sz w:val="30"/>
          <w:szCs w:val="30"/>
          <w:shd w:val="clear" w:color="auto" w:fill="FFFFFF"/>
          <w:lang w:eastAsia="zh-CN"/>
        </w:rPr>
        <w:t>（</w:t>
      </w:r>
      <w:r>
        <w:rPr>
          <w:rFonts w:hint="eastAsia" w:ascii="仿宋" w:hAnsi="仿宋" w:eastAsia="仿宋" w:cs="仿宋"/>
          <w:b/>
          <w:bCs/>
          <w:color w:val="333333"/>
          <w:sz w:val="30"/>
          <w:szCs w:val="30"/>
          <w:shd w:val="clear" w:color="auto" w:fill="FFFFFF"/>
          <w:lang w:val="en-US" w:eastAsia="zh-CN"/>
        </w:rPr>
        <w:t>二）</w:t>
      </w:r>
      <w:r>
        <w:rPr>
          <w:rFonts w:hint="eastAsia" w:ascii="仿宋" w:hAnsi="仿宋" w:eastAsia="仿宋" w:cs="仿宋"/>
          <w:b/>
          <w:bCs/>
          <w:color w:val="333333"/>
          <w:sz w:val="30"/>
          <w:szCs w:val="30"/>
          <w:shd w:val="clear" w:color="auto" w:fill="FFFFFF"/>
        </w:rPr>
        <w:t>机构情况</w:t>
      </w:r>
    </w:p>
    <w:p>
      <w:pPr>
        <w:keepNext w:val="0"/>
        <w:keepLines w:val="0"/>
        <w:pageBreakBefore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我单位内设机构7个：办公室（招商办）、财务人事股、住房保障股、建筑业和公用事业管理股、招投标管理股、房地产管理股、政务服务股（政策法规股）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所属副科级事业单位3个：益阳市赫山区建设工程质量安全监督站、益阳市赫山区村镇建设事务中心、益阳市赫山区住房保障服务中心。 </w:t>
      </w:r>
    </w:p>
    <w:p>
      <w:pPr>
        <w:keepNext w:val="0"/>
        <w:keepLines w:val="0"/>
        <w:pageBreakBefore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color w:val="000000"/>
          <w:sz w:val="30"/>
          <w:szCs w:val="30"/>
        </w:rPr>
      </w:pPr>
      <w:r>
        <w:rPr>
          <w:rFonts w:hint="eastAsia" w:ascii="仿宋" w:hAnsi="仿宋" w:eastAsia="仿宋" w:cs="仿宋"/>
          <w:b/>
          <w:bCs/>
          <w:color w:val="333333"/>
          <w:sz w:val="30"/>
          <w:szCs w:val="30"/>
          <w:shd w:val="clear" w:color="auto" w:fill="FFFFFF"/>
          <w:lang w:eastAsia="zh-CN"/>
        </w:rPr>
        <w:t>（</w:t>
      </w:r>
      <w:r>
        <w:rPr>
          <w:rFonts w:hint="eastAsia" w:ascii="仿宋" w:hAnsi="仿宋" w:eastAsia="仿宋" w:cs="仿宋"/>
          <w:b/>
          <w:bCs/>
          <w:color w:val="333333"/>
          <w:sz w:val="30"/>
          <w:szCs w:val="30"/>
          <w:shd w:val="clear" w:color="auto" w:fill="FFFFFF"/>
          <w:lang w:val="en-US" w:eastAsia="zh-CN"/>
        </w:rPr>
        <w:t>三）</w:t>
      </w:r>
      <w:r>
        <w:rPr>
          <w:rFonts w:hint="eastAsia" w:ascii="仿宋" w:hAnsi="仿宋" w:eastAsia="仿宋" w:cs="仿宋"/>
          <w:b/>
          <w:bCs/>
          <w:color w:val="333333"/>
          <w:sz w:val="30"/>
          <w:szCs w:val="30"/>
          <w:shd w:val="clear" w:color="auto" w:fill="FFFFFF"/>
        </w:rPr>
        <w:t>人员情况</w:t>
      </w:r>
    </w:p>
    <w:p>
      <w:pPr>
        <w:pStyle w:val="5"/>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color w:val="333333"/>
          <w:sz w:val="30"/>
          <w:szCs w:val="30"/>
          <w:shd w:val="clear" w:color="auto" w:fill="FFFFFF"/>
        </w:rPr>
        <w:t>我单位年末编制人数164人，其中：行政编制12个、财政全额拨款编制84个，自收自支编制68个。年末实有人数164人，退休人员107人。</w:t>
      </w:r>
    </w:p>
    <w:p>
      <w:pPr>
        <w:pStyle w:val="5"/>
        <w:widowControl/>
        <w:ind w:left="640" w:firstLine="0" w:firstLineChars="0"/>
        <w:rPr>
          <w:rFonts w:ascii="Times New Roman" w:hAnsi="Times New Roman" w:eastAsia="黑体" w:cs="Times New Roman"/>
          <w:sz w:val="30"/>
          <w:szCs w:val="30"/>
        </w:rPr>
      </w:pPr>
      <w:r>
        <w:rPr>
          <w:rFonts w:hint="eastAsia" w:ascii="Times New Roman" w:hAnsi="Times New Roman" w:eastAsia="黑体" w:cs="黑体"/>
          <w:sz w:val="30"/>
          <w:szCs w:val="30"/>
        </w:rPr>
        <w:t>二、一般公共预算支出情况</w:t>
      </w:r>
    </w:p>
    <w:p>
      <w:pPr>
        <w:pStyle w:val="5"/>
        <w:keepNext w:val="0"/>
        <w:keepLines w:val="0"/>
        <w:pageBreakBefore w:val="0"/>
        <w:widowControl/>
        <w:kinsoku/>
        <w:wordWrap/>
        <w:overflowPunct/>
        <w:topLinePunct w:val="0"/>
        <w:autoSpaceDE/>
        <w:autoSpaceDN/>
        <w:bidi w:val="0"/>
        <w:adjustRightInd/>
        <w:spacing w:line="600" w:lineRule="exact"/>
        <w:ind w:left="640" w:firstLine="0" w:firstLineChars="0"/>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（一）基本支出情况</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2021年我单位一般公共预算财政拨款收入8326.39万元，其中：基本收入2796.57万元、项目收入5529.82万元；一般公共预算财政拨款支出16665.84万元，其中：基本支出2796.57万元</w:t>
      </w:r>
      <w:r>
        <w:rPr>
          <w:rFonts w:hint="eastAsia" w:ascii="仿宋" w:hAnsi="仿宋" w:eastAsia="仿宋" w:cs="仿宋"/>
          <w:sz w:val="30"/>
          <w:szCs w:val="30"/>
          <w:lang w:val="en-US" w:eastAsia="zh-CN"/>
        </w:rPr>
        <w:t>,较上年数减少93.64万元，减少3%，主要原因是厉行节约，严格控制公用经费支出。</w:t>
      </w:r>
    </w:p>
    <w:p>
      <w:pPr>
        <w:keepNext w:val="0"/>
        <w:keepLines w:val="0"/>
        <w:pageBreakBefore w:val="0"/>
        <w:kinsoku/>
        <w:wordWrap/>
        <w:overflowPunct/>
        <w:topLinePunct w:val="0"/>
        <w:autoSpaceDE/>
        <w:autoSpaceDN/>
        <w:bidi w:val="0"/>
        <w:adjustRightInd/>
        <w:spacing w:line="600" w:lineRule="exact"/>
        <w:ind w:firstLine="1807" w:firstLineChars="600"/>
        <w:textAlignment w:val="auto"/>
        <w:rPr>
          <w:rFonts w:hint="eastAsia" w:ascii="仿宋" w:hAnsi="仿宋" w:eastAsia="仿宋" w:cs="仿宋"/>
          <w:b/>
          <w:sz w:val="30"/>
          <w:szCs w:val="30"/>
        </w:rPr>
      </w:pPr>
      <w:r>
        <w:rPr>
          <w:rFonts w:hint="eastAsia" w:ascii="仿宋" w:hAnsi="仿宋" w:eastAsia="仿宋" w:cs="仿宋"/>
          <w:b/>
          <w:sz w:val="30"/>
          <w:szCs w:val="30"/>
        </w:rPr>
        <w:t>2021年度部门基本支出明细表（万元）</w:t>
      </w:r>
    </w:p>
    <w:tbl>
      <w:tblPr>
        <w:tblStyle w:val="3"/>
        <w:tblW w:w="8516" w:type="dxa"/>
        <w:jc w:val="center"/>
        <w:tblLayout w:type="fixed"/>
        <w:tblCellMar>
          <w:top w:w="0" w:type="dxa"/>
          <w:left w:w="0" w:type="dxa"/>
          <w:bottom w:w="0" w:type="dxa"/>
          <w:right w:w="0" w:type="dxa"/>
        </w:tblCellMar>
      </w:tblPr>
      <w:tblGrid>
        <w:gridCol w:w="2087"/>
        <w:gridCol w:w="1276"/>
        <w:gridCol w:w="1275"/>
        <w:gridCol w:w="1276"/>
        <w:gridCol w:w="1276"/>
        <w:gridCol w:w="1326"/>
      </w:tblGrid>
      <w:tr>
        <w:tblPrEx>
          <w:tblCellMar>
            <w:top w:w="0" w:type="dxa"/>
            <w:left w:w="0" w:type="dxa"/>
            <w:bottom w:w="0" w:type="dxa"/>
            <w:right w:w="0" w:type="dxa"/>
          </w:tblCellMar>
        </w:tblPrEx>
        <w:trPr>
          <w:trHeight w:val="510" w:hRule="atLeast"/>
          <w:jc w:val="center"/>
        </w:trPr>
        <w:tc>
          <w:tcPr>
            <w:tcW w:w="20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376"/>
              <w:jc w:val="center"/>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预算项目</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上年结转</w:t>
            </w:r>
          </w:p>
        </w:tc>
        <w:tc>
          <w:tcPr>
            <w:tcW w:w="127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bCs/>
                <w:kern w:val="0"/>
                <w:sz w:val="24"/>
                <w:szCs w:val="24"/>
              </w:rPr>
              <w:t>年初预算</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预算追加</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本年决算</w:t>
            </w:r>
          </w:p>
        </w:tc>
        <w:tc>
          <w:tcPr>
            <w:tcW w:w="132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结转下年</w:t>
            </w:r>
          </w:p>
        </w:tc>
      </w:tr>
      <w:tr>
        <w:tblPrEx>
          <w:tblCellMar>
            <w:top w:w="0" w:type="dxa"/>
            <w:left w:w="0" w:type="dxa"/>
            <w:bottom w:w="0" w:type="dxa"/>
            <w:right w:w="0" w:type="dxa"/>
          </w:tblCellMar>
        </w:tblPrEx>
        <w:trPr>
          <w:trHeight w:val="510" w:hRule="atLeast"/>
          <w:jc w:val="center"/>
        </w:trPr>
        <w:tc>
          <w:tcPr>
            <w:tcW w:w="208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
                <w:bCs/>
                <w:color w:val="222222"/>
                <w:kern w:val="0"/>
                <w:sz w:val="24"/>
                <w:szCs w:val="24"/>
              </w:rPr>
            </w:pPr>
            <w:r>
              <w:rPr>
                <w:rFonts w:hint="eastAsia" w:ascii="仿宋" w:hAnsi="仿宋" w:eastAsia="仿宋" w:cs="仿宋"/>
                <w:b/>
                <w:bCs/>
                <w:sz w:val="24"/>
                <w:szCs w:val="24"/>
              </w:rPr>
              <w:t>基本支出：</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
                <w:kern w:val="0"/>
                <w:sz w:val="24"/>
                <w:szCs w:val="24"/>
              </w:rPr>
            </w:pPr>
            <w:r>
              <w:rPr>
                <w:rFonts w:hint="eastAsia" w:ascii="仿宋" w:hAnsi="仿宋" w:eastAsia="仿宋" w:cs="仿宋"/>
                <w:b/>
                <w:kern w:val="0"/>
                <w:sz w:val="24"/>
                <w:szCs w:val="24"/>
              </w:rPr>
              <w:t xml:space="preserve">   0</w:t>
            </w:r>
          </w:p>
        </w:tc>
        <w:tc>
          <w:tcPr>
            <w:tcW w:w="127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241" w:firstLineChars="100"/>
              <w:rPr>
                <w:rFonts w:hint="eastAsia" w:ascii="仿宋" w:hAnsi="仿宋" w:eastAsia="仿宋" w:cs="仿宋"/>
                <w:b/>
                <w:kern w:val="0"/>
                <w:sz w:val="24"/>
                <w:szCs w:val="24"/>
              </w:rPr>
            </w:pPr>
            <w:r>
              <w:rPr>
                <w:rFonts w:hint="eastAsia" w:ascii="仿宋" w:hAnsi="仿宋" w:eastAsia="仿宋" w:cs="仿宋"/>
                <w:b/>
                <w:kern w:val="0"/>
                <w:sz w:val="24"/>
                <w:szCs w:val="24"/>
              </w:rPr>
              <w:t>534.77</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
                <w:kern w:val="0"/>
                <w:sz w:val="24"/>
                <w:szCs w:val="24"/>
              </w:rPr>
            </w:pPr>
            <w:r>
              <w:rPr>
                <w:rFonts w:hint="eastAsia" w:ascii="仿宋" w:hAnsi="仿宋" w:eastAsia="仿宋" w:cs="仿宋"/>
                <w:b/>
                <w:kern w:val="0"/>
                <w:sz w:val="24"/>
                <w:szCs w:val="24"/>
              </w:rPr>
              <w:t>2261.80</w:t>
            </w:r>
          </w:p>
        </w:tc>
        <w:tc>
          <w:tcPr>
            <w:tcW w:w="127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
                <w:kern w:val="0"/>
                <w:sz w:val="24"/>
                <w:szCs w:val="24"/>
              </w:rPr>
            </w:pPr>
            <w:r>
              <w:rPr>
                <w:rFonts w:hint="eastAsia" w:ascii="仿宋" w:hAnsi="仿宋" w:eastAsia="仿宋" w:cs="仿宋"/>
                <w:b/>
                <w:kern w:val="0"/>
                <w:sz w:val="24"/>
                <w:szCs w:val="24"/>
              </w:rPr>
              <w:t>2796.57</w:t>
            </w:r>
          </w:p>
        </w:tc>
        <w:tc>
          <w:tcPr>
            <w:tcW w:w="132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 xml:space="preserve">   0</w:t>
            </w:r>
          </w:p>
        </w:tc>
      </w:tr>
      <w:tr>
        <w:tblPrEx>
          <w:tblCellMar>
            <w:top w:w="0" w:type="dxa"/>
            <w:left w:w="0" w:type="dxa"/>
            <w:bottom w:w="0" w:type="dxa"/>
            <w:right w:w="0" w:type="dxa"/>
          </w:tblCellMar>
        </w:tblPrEx>
        <w:trPr>
          <w:trHeight w:val="510" w:hRule="atLeast"/>
          <w:jc w:val="center"/>
        </w:trPr>
        <w:tc>
          <w:tcPr>
            <w:tcW w:w="208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工资福利支出</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c>
          <w:tcPr>
            <w:tcW w:w="127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489.79</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213.07</w:t>
            </w:r>
          </w:p>
        </w:tc>
        <w:tc>
          <w:tcPr>
            <w:tcW w:w="127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 xml:space="preserve"> 702.86</w:t>
            </w:r>
          </w:p>
        </w:tc>
        <w:tc>
          <w:tcPr>
            <w:tcW w:w="132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r>
      <w:tr>
        <w:tblPrEx>
          <w:tblCellMar>
            <w:top w:w="0" w:type="dxa"/>
            <w:left w:w="0" w:type="dxa"/>
            <w:bottom w:w="0" w:type="dxa"/>
            <w:right w:w="0" w:type="dxa"/>
          </w:tblCellMar>
        </w:tblPrEx>
        <w:trPr>
          <w:trHeight w:val="510" w:hRule="atLeast"/>
          <w:jc w:val="center"/>
        </w:trPr>
        <w:tc>
          <w:tcPr>
            <w:tcW w:w="2087" w:type="dxa"/>
            <w:tcBorders>
              <w:top w:val="nil"/>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商品和服务支出</w:t>
            </w:r>
          </w:p>
        </w:tc>
        <w:tc>
          <w:tcPr>
            <w:tcW w:w="1276"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c>
          <w:tcPr>
            <w:tcW w:w="1275"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36.16</w:t>
            </w:r>
          </w:p>
        </w:tc>
        <w:tc>
          <w:tcPr>
            <w:tcW w:w="1276"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1950.91</w:t>
            </w:r>
          </w:p>
        </w:tc>
        <w:tc>
          <w:tcPr>
            <w:tcW w:w="1276"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Cs/>
                <w:kern w:val="0"/>
                <w:sz w:val="24"/>
                <w:szCs w:val="24"/>
              </w:rPr>
            </w:pPr>
            <w:r>
              <w:rPr>
                <w:rFonts w:hint="eastAsia" w:ascii="仿宋" w:hAnsi="仿宋" w:eastAsia="仿宋" w:cs="仿宋"/>
                <w:bCs/>
                <w:kern w:val="0"/>
                <w:sz w:val="24"/>
                <w:szCs w:val="24"/>
              </w:rPr>
              <w:t>1987.07</w:t>
            </w:r>
          </w:p>
        </w:tc>
        <w:tc>
          <w:tcPr>
            <w:tcW w:w="1326"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r>
      <w:tr>
        <w:tblPrEx>
          <w:tblCellMar>
            <w:top w:w="0" w:type="dxa"/>
            <w:left w:w="0" w:type="dxa"/>
            <w:bottom w:w="0" w:type="dxa"/>
            <w:right w:w="0" w:type="dxa"/>
          </w:tblCellMar>
        </w:tblPrEx>
        <w:trPr>
          <w:trHeight w:val="440" w:hRule="atLeast"/>
          <w:jc w:val="center"/>
        </w:trPr>
        <w:tc>
          <w:tcPr>
            <w:tcW w:w="2087" w:type="dxa"/>
            <w:tcBorders>
              <w:top w:val="single" w:color="auto" w:sz="4" w:space="0"/>
              <w:left w:val="single" w:color="auto" w:sz="4" w:space="0"/>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对个人和家庭补助</w:t>
            </w:r>
          </w:p>
        </w:tc>
        <w:tc>
          <w:tcPr>
            <w:tcW w:w="1276"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c>
          <w:tcPr>
            <w:tcW w:w="127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8.82</w:t>
            </w:r>
          </w:p>
        </w:tc>
        <w:tc>
          <w:tcPr>
            <w:tcW w:w="1276"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48.36</w:t>
            </w:r>
          </w:p>
        </w:tc>
        <w:tc>
          <w:tcPr>
            <w:tcW w:w="127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57.18</w:t>
            </w:r>
          </w:p>
        </w:tc>
        <w:tc>
          <w:tcPr>
            <w:tcW w:w="132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r>
      <w:tr>
        <w:tblPrEx>
          <w:tblCellMar>
            <w:top w:w="0" w:type="dxa"/>
            <w:left w:w="0" w:type="dxa"/>
            <w:bottom w:w="0" w:type="dxa"/>
            <w:right w:w="0" w:type="dxa"/>
          </w:tblCellMar>
        </w:tblPrEx>
        <w:trPr>
          <w:trHeight w:val="510" w:hRule="atLeast"/>
          <w:jc w:val="center"/>
        </w:trPr>
        <w:tc>
          <w:tcPr>
            <w:tcW w:w="2087" w:type="dxa"/>
            <w:tcBorders>
              <w:top w:val="single" w:color="auto" w:sz="4" w:space="0"/>
              <w:left w:val="single" w:color="auto" w:sz="4" w:space="0"/>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资本性支出</w:t>
            </w:r>
          </w:p>
        </w:tc>
        <w:tc>
          <w:tcPr>
            <w:tcW w:w="1276"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c>
          <w:tcPr>
            <w:tcW w:w="127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fldChar w:fldCharType="begin"/>
            </w:r>
            <w:r>
              <w:rPr>
                <w:rFonts w:hint="eastAsia" w:ascii="仿宋" w:hAnsi="仿宋" w:eastAsia="仿宋" w:cs="仿宋"/>
                <w:bCs/>
                <w:kern w:val="0"/>
                <w:sz w:val="24"/>
                <w:szCs w:val="24"/>
              </w:rPr>
              <w:instrText xml:space="preserve"> = sum(C3:C5) \* MERGEFORMAT </w:instrText>
            </w:r>
            <w:r>
              <w:rPr>
                <w:rFonts w:hint="eastAsia" w:ascii="仿宋" w:hAnsi="仿宋" w:eastAsia="仿宋" w:cs="仿宋"/>
                <w:bCs/>
                <w:kern w:val="0"/>
                <w:sz w:val="24"/>
                <w:szCs w:val="24"/>
              </w:rPr>
              <w:fldChar w:fldCharType="separate"/>
            </w:r>
            <w:r>
              <w:rPr>
                <w:rFonts w:hint="eastAsia" w:ascii="仿宋" w:hAnsi="仿宋" w:eastAsia="仿宋" w:cs="仿宋"/>
                <w:bCs/>
                <w:kern w:val="0"/>
                <w:sz w:val="24"/>
                <w:szCs w:val="24"/>
              </w:rPr>
              <w:fldChar w:fldCharType="end"/>
            </w:r>
          </w:p>
        </w:tc>
        <w:tc>
          <w:tcPr>
            <w:tcW w:w="1276"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49.46</w:t>
            </w:r>
          </w:p>
        </w:tc>
        <w:tc>
          <w:tcPr>
            <w:tcW w:w="127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ind w:firstLine="240" w:firstLineChars="100"/>
              <w:rPr>
                <w:rFonts w:hint="eastAsia" w:ascii="仿宋" w:hAnsi="仿宋" w:eastAsia="仿宋" w:cs="仿宋"/>
                <w:bCs/>
                <w:kern w:val="0"/>
                <w:sz w:val="24"/>
                <w:szCs w:val="24"/>
              </w:rPr>
            </w:pPr>
            <w:r>
              <w:rPr>
                <w:rFonts w:hint="eastAsia" w:ascii="仿宋" w:hAnsi="仿宋" w:eastAsia="仿宋" w:cs="仿宋"/>
                <w:bCs/>
                <w:kern w:val="0"/>
                <w:sz w:val="24"/>
                <w:szCs w:val="24"/>
              </w:rPr>
              <w:t>49.46</w:t>
            </w:r>
          </w:p>
        </w:tc>
        <w:tc>
          <w:tcPr>
            <w:tcW w:w="1326"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ind w:firstLine="376"/>
              <w:rPr>
                <w:rFonts w:hint="eastAsia" w:ascii="仿宋" w:hAnsi="仿宋" w:eastAsia="仿宋" w:cs="仿宋"/>
                <w:bCs/>
                <w:kern w:val="0"/>
                <w:sz w:val="24"/>
                <w:szCs w:val="24"/>
              </w:rPr>
            </w:pPr>
            <w:r>
              <w:rPr>
                <w:rFonts w:hint="eastAsia" w:ascii="仿宋" w:hAnsi="仿宋" w:eastAsia="仿宋" w:cs="仿宋"/>
                <w:bCs/>
                <w:kern w:val="0"/>
                <w:sz w:val="24"/>
                <w:szCs w:val="24"/>
              </w:rPr>
              <w:t>0</w:t>
            </w:r>
          </w:p>
        </w:tc>
      </w:tr>
    </w:tbl>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 w:hAnsi="仿宋" w:eastAsia="仿宋" w:cs="仿宋"/>
          <w:sz w:val="30"/>
          <w:szCs w:val="30"/>
        </w:rPr>
      </w:pPr>
    </w:p>
    <w:p>
      <w:pPr>
        <w:widowControl/>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（二）项目支出情况</w:t>
      </w:r>
    </w:p>
    <w:p>
      <w:pPr>
        <w:ind w:firstLine="2108" w:firstLineChars="700"/>
        <w:rPr>
          <w:rFonts w:hint="eastAsia" w:ascii="仿宋" w:hAnsi="仿宋" w:eastAsia="仿宋" w:cs="仿宋"/>
          <w:sz w:val="30"/>
          <w:szCs w:val="30"/>
        </w:rPr>
      </w:pPr>
      <w:r>
        <w:rPr>
          <w:rFonts w:hint="eastAsia" w:ascii="仿宋" w:hAnsi="仿宋" w:eastAsia="仿宋" w:cs="仿宋"/>
          <w:b/>
          <w:sz w:val="30"/>
          <w:szCs w:val="30"/>
        </w:rPr>
        <w:t>2021年度项目支出明细表（万元）</w:t>
      </w:r>
    </w:p>
    <w:tbl>
      <w:tblPr>
        <w:tblStyle w:val="3"/>
        <w:tblW w:w="8637" w:type="dxa"/>
        <w:jc w:val="center"/>
        <w:tblLayout w:type="fixed"/>
        <w:tblCellMar>
          <w:top w:w="0" w:type="dxa"/>
          <w:left w:w="0" w:type="dxa"/>
          <w:bottom w:w="0" w:type="dxa"/>
          <w:right w:w="0" w:type="dxa"/>
        </w:tblCellMar>
      </w:tblPr>
      <w:tblGrid>
        <w:gridCol w:w="2715"/>
        <w:gridCol w:w="1184"/>
        <w:gridCol w:w="1184"/>
        <w:gridCol w:w="1185"/>
        <w:gridCol w:w="1184"/>
        <w:gridCol w:w="1185"/>
      </w:tblGrid>
      <w:tr>
        <w:tblPrEx>
          <w:tblCellMar>
            <w:top w:w="0" w:type="dxa"/>
            <w:left w:w="0" w:type="dxa"/>
            <w:bottom w:w="0" w:type="dxa"/>
            <w:right w:w="0" w:type="dxa"/>
          </w:tblCellMar>
        </w:tblPrEx>
        <w:trPr>
          <w:trHeight w:val="510" w:hRule="atLeast"/>
          <w:jc w:val="center"/>
        </w:trPr>
        <w:tc>
          <w:tcPr>
            <w:tcW w:w="271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376"/>
              <w:jc w:val="center"/>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预算项目</w:t>
            </w:r>
          </w:p>
        </w:tc>
        <w:tc>
          <w:tcPr>
            <w:tcW w:w="118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年初结转</w:t>
            </w:r>
          </w:p>
        </w:tc>
        <w:tc>
          <w:tcPr>
            <w:tcW w:w="118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kern w:val="0"/>
                <w:sz w:val="24"/>
                <w:szCs w:val="24"/>
              </w:rPr>
            </w:pPr>
            <w:r>
              <w:rPr>
                <w:rFonts w:hint="eastAsia" w:ascii="仿宋" w:hAnsi="仿宋" w:eastAsia="仿宋" w:cs="仿宋"/>
                <w:bCs/>
                <w:kern w:val="0"/>
                <w:sz w:val="24"/>
                <w:szCs w:val="24"/>
              </w:rPr>
              <w:t>年初预算</w:t>
            </w:r>
          </w:p>
        </w:tc>
        <w:tc>
          <w:tcPr>
            <w:tcW w:w="118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预算调整</w:t>
            </w:r>
          </w:p>
        </w:tc>
        <w:tc>
          <w:tcPr>
            <w:tcW w:w="118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color w:val="222222"/>
                <w:kern w:val="0"/>
                <w:sz w:val="24"/>
                <w:szCs w:val="24"/>
              </w:rPr>
            </w:pPr>
            <w:r>
              <w:rPr>
                <w:rFonts w:hint="eastAsia" w:ascii="仿宋" w:hAnsi="仿宋" w:eastAsia="仿宋" w:cs="仿宋"/>
                <w:bCs/>
                <w:color w:val="222222"/>
                <w:kern w:val="0"/>
                <w:sz w:val="24"/>
                <w:szCs w:val="24"/>
              </w:rPr>
              <w:t>本年决算</w:t>
            </w:r>
          </w:p>
        </w:tc>
        <w:tc>
          <w:tcPr>
            <w:tcW w:w="118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年末结转</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000000" w:sz="8" w:space="0"/>
            </w:tcBorders>
            <w:noWrap w:val="0"/>
            <w:tcMar>
              <w:top w:w="0" w:type="dxa"/>
              <w:left w:w="108" w:type="dxa"/>
              <w:bottom w:w="0" w:type="dxa"/>
              <w:right w:w="108" w:type="dxa"/>
            </w:tcMar>
            <w:vAlign w:val="center"/>
          </w:tcPr>
          <w:p>
            <w:pPr>
              <w:widowControl/>
              <w:rPr>
                <w:rFonts w:hint="eastAsia" w:ascii="仿宋" w:hAnsi="仿宋" w:eastAsia="仿宋" w:cs="仿宋"/>
                <w:b/>
                <w:color w:val="222222"/>
                <w:kern w:val="0"/>
                <w:sz w:val="24"/>
                <w:szCs w:val="24"/>
              </w:rPr>
            </w:pPr>
            <w:r>
              <w:rPr>
                <w:rFonts w:hint="eastAsia" w:ascii="仿宋" w:hAnsi="仿宋" w:eastAsia="仿宋" w:cs="仿宋"/>
                <w:b/>
                <w:color w:val="222222"/>
                <w:kern w:val="0"/>
                <w:sz w:val="24"/>
                <w:szCs w:val="24"/>
              </w:rPr>
              <w:t>项目支出</w:t>
            </w:r>
          </w:p>
        </w:tc>
        <w:tc>
          <w:tcPr>
            <w:tcW w:w="118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jc w:val="center"/>
              <w:textAlignment w:val="center"/>
              <w:rPr>
                <w:rFonts w:hint="eastAsia" w:ascii="仿宋" w:hAnsi="仿宋" w:eastAsia="仿宋" w:cs="仿宋"/>
                <w:b/>
                <w:color w:val="222222"/>
                <w:kern w:val="0"/>
                <w:sz w:val="24"/>
                <w:szCs w:val="24"/>
              </w:rPr>
            </w:pPr>
            <w:r>
              <w:rPr>
                <w:rFonts w:hint="eastAsia" w:ascii="仿宋" w:hAnsi="仿宋" w:eastAsia="仿宋" w:cs="仿宋"/>
                <w:b/>
                <w:color w:val="222222"/>
                <w:kern w:val="0"/>
                <w:sz w:val="24"/>
                <w:szCs w:val="24"/>
                <w:lang w:bidi="ar"/>
              </w:rPr>
              <w:t>8339.45</w:t>
            </w:r>
          </w:p>
        </w:tc>
        <w:tc>
          <w:tcPr>
            <w:tcW w:w="118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90.00</w:t>
            </w:r>
          </w:p>
        </w:tc>
        <w:tc>
          <w:tcPr>
            <w:tcW w:w="118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5439.82</w:t>
            </w:r>
          </w:p>
        </w:tc>
        <w:tc>
          <w:tcPr>
            <w:tcW w:w="1184"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13869.27</w:t>
            </w:r>
          </w:p>
        </w:tc>
        <w:tc>
          <w:tcPr>
            <w:tcW w:w="1185" w:type="dxa"/>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eastAsia" w:ascii="仿宋" w:hAnsi="仿宋" w:eastAsia="仿宋" w:cs="仿宋"/>
                <w:b/>
                <w:kern w:val="0"/>
                <w:sz w:val="24"/>
                <w:szCs w:val="24"/>
              </w:rPr>
            </w:pPr>
            <w:r>
              <w:rPr>
                <w:rFonts w:hint="eastAsia" w:ascii="仿宋" w:hAnsi="仿宋" w:eastAsia="仿宋" w:cs="仿宋"/>
                <w:b/>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sz w:val="24"/>
                <w:szCs w:val="24"/>
              </w:rPr>
            </w:pPr>
            <w:r>
              <w:rPr>
                <w:rFonts w:hint="eastAsia" w:ascii="仿宋" w:hAnsi="仿宋" w:eastAsia="仿宋" w:cs="仿宋"/>
                <w:sz w:val="24"/>
                <w:szCs w:val="24"/>
              </w:rPr>
              <w:t>污水处理建设项目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376"/>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3168.00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3168.00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376"/>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sz w:val="24"/>
                <w:szCs w:val="24"/>
              </w:rPr>
            </w:pPr>
            <w:r>
              <w:rPr>
                <w:rFonts w:hint="eastAsia" w:ascii="仿宋" w:hAnsi="仿宋" w:eastAsia="仿宋" w:cs="仿宋"/>
                <w:sz w:val="24"/>
                <w:szCs w:val="24"/>
              </w:rPr>
              <w:t>棚户区改造项目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8289.45</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376"/>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sz w:val="24"/>
                <w:szCs w:val="24"/>
              </w:rPr>
            </w:pPr>
            <w:r>
              <w:rPr>
                <w:rFonts w:hint="eastAsia" w:ascii="仿宋" w:hAnsi="仿宋" w:eastAsia="仿宋" w:cs="仿宋"/>
                <w:color w:val="222222"/>
                <w:kern w:val="0"/>
                <w:sz w:val="24"/>
                <w:szCs w:val="24"/>
              </w:rPr>
              <w:t>978.00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9267.45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376"/>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color w:val="222222"/>
                <w:kern w:val="0"/>
                <w:sz w:val="24"/>
                <w:szCs w:val="24"/>
              </w:rPr>
            </w:pPr>
            <w:r>
              <w:rPr>
                <w:rFonts w:hint="eastAsia" w:ascii="仿宋" w:hAnsi="仿宋" w:eastAsia="仿宋" w:cs="仿宋"/>
                <w:sz w:val="24"/>
                <w:szCs w:val="24"/>
              </w:rPr>
              <w:t>农村危房改造项目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376"/>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 xml:space="preserve"> 429.00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429.00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376"/>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color w:val="222222"/>
                <w:kern w:val="0"/>
                <w:sz w:val="24"/>
                <w:szCs w:val="24"/>
              </w:rPr>
            </w:pPr>
            <w:r>
              <w:rPr>
                <w:rFonts w:hint="eastAsia" w:ascii="仿宋" w:hAnsi="仿宋" w:eastAsia="仿宋" w:cs="仿宋"/>
                <w:sz w:val="24"/>
                <w:szCs w:val="24"/>
              </w:rPr>
              <w:t>保障性住房租金补贴项目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376"/>
              <w:jc w:val="center"/>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kern w:val="0"/>
                <w:sz w:val="24"/>
                <w:szCs w:val="24"/>
              </w:rPr>
            </w:pPr>
            <w:r>
              <w:rPr>
                <w:rFonts w:hint="eastAsia" w:ascii="仿宋" w:hAnsi="仿宋" w:eastAsia="仿宋" w:cs="仿宋"/>
                <w:kern w:val="0"/>
                <w:sz w:val="24"/>
                <w:szCs w:val="24"/>
              </w:rPr>
              <w:t>207.77</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ind w:firstLine="376"/>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207.77</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ind w:firstLine="376"/>
              <w:rPr>
                <w:rFonts w:hint="eastAsia" w:ascii="仿宋" w:hAnsi="仿宋" w:eastAsia="仿宋" w:cs="仿宋"/>
                <w:color w:val="222222"/>
                <w:kern w:val="0"/>
                <w:sz w:val="24"/>
                <w:szCs w:val="24"/>
              </w:rPr>
            </w:pPr>
            <w:r>
              <w:rPr>
                <w:rFonts w:hint="eastAsia" w:ascii="仿宋" w:hAnsi="仿宋" w:eastAsia="仿宋" w:cs="仿宋"/>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老旧小区改造项目</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578.50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578.50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color w:val="222222"/>
                <w:kern w:val="0"/>
                <w:sz w:val="24"/>
                <w:szCs w:val="24"/>
              </w:rPr>
            </w:pPr>
            <w:r>
              <w:rPr>
                <w:rFonts w:hint="eastAsia" w:ascii="仿宋" w:hAnsi="仿宋" w:eastAsia="仿宋" w:cs="仿宋"/>
                <w:bCs/>
                <w:color w:val="222222"/>
                <w:kern w:val="0"/>
                <w:sz w:val="24"/>
                <w:szCs w:val="24"/>
              </w:rPr>
              <w:t>0</w:t>
            </w:r>
          </w:p>
        </w:tc>
      </w:tr>
      <w:tr>
        <w:tblPrEx>
          <w:tblCellMar>
            <w:top w:w="0" w:type="dxa"/>
            <w:left w:w="0" w:type="dxa"/>
            <w:bottom w:w="0" w:type="dxa"/>
            <w:right w:w="0" w:type="dxa"/>
          </w:tblCellMar>
        </w:tblPrEx>
        <w:trPr>
          <w:trHeight w:val="510" w:hRule="atLeast"/>
          <w:jc w:val="center"/>
        </w:trPr>
        <w:tc>
          <w:tcPr>
            <w:tcW w:w="2715"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其他专项</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50.00</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kern w:val="0"/>
                <w:sz w:val="24"/>
                <w:szCs w:val="24"/>
              </w:rPr>
            </w:pPr>
            <w:r>
              <w:rPr>
                <w:rFonts w:hint="eastAsia" w:ascii="仿宋" w:hAnsi="仿宋" w:eastAsia="仿宋" w:cs="仿宋"/>
                <w:bCs/>
                <w:kern w:val="0"/>
                <w:sz w:val="24"/>
                <w:szCs w:val="24"/>
              </w:rPr>
              <w:t>90.00</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78.55</w:t>
            </w:r>
          </w:p>
        </w:tc>
        <w:tc>
          <w:tcPr>
            <w:tcW w:w="118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218.55</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color w:val="222222"/>
                <w:kern w:val="0"/>
                <w:sz w:val="24"/>
                <w:szCs w:val="24"/>
              </w:rPr>
            </w:pPr>
            <w:r>
              <w:rPr>
                <w:rFonts w:hint="eastAsia" w:ascii="仿宋" w:hAnsi="仿宋" w:eastAsia="仿宋" w:cs="仿宋"/>
                <w:bCs/>
                <w:color w:val="222222"/>
                <w:kern w:val="0"/>
                <w:sz w:val="24"/>
                <w:szCs w:val="24"/>
              </w:rPr>
              <w:t>0</w:t>
            </w:r>
          </w:p>
        </w:tc>
      </w:tr>
    </w:tbl>
    <w:p>
      <w:pPr>
        <w:widowControl/>
        <w:ind w:firstLine="645"/>
        <w:jc w:val="left"/>
        <w:rPr>
          <w:rFonts w:hint="eastAsia" w:ascii="仿宋" w:hAnsi="仿宋" w:eastAsia="仿宋" w:cs="仿宋"/>
          <w:sz w:val="30"/>
          <w:szCs w:val="30"/>
        </w:rPr>
      </w:pPr>
      <w:r>
        <w:rPr>
          <w:rFonts w:hint="eastAsia" w:ascii="仿宋" w:hAnsi="仿宋" w:eastAsia="仿宋" w:cs="仿宋"/>
          <w:sz w:val="30"/>
          <w:szCs w:val="30"/>
        </w:rPr>
        <w:t>项目支出预算安排13869.27万元（年初结转8339.45万元，当年预算调整后收入5529.82万元）。主要包括用于污水处理建设、棚户区改造、农村危房改造、老旧小区改造等。</w:t>
      </w:r>
    </w:p>
    <w:p>
      <w:pPr>
        <w:pStyle w:val="5"/>
        <w:widowControl/>
        <w:ind w:left="640" w:firstLine="0" w:firstLineChars="0"/>
        <w:jc w:val="left"/>
        <w:rPr>
          <w:rFonts w:ascii="Times New Roman" w:hAnsi="Times New Roman" w:eastAsia="黑体" w:cs="黑体"/>
          <w:sz w:val="30"/>
          <w:szCs w:val="30"/>
        </w:rPr>
      </w:pPr>
      <w:r>
        <w:rPr>
          <w:rFonts w:hint="eastAsia" w:ascii="Times New Roman" w:hAnsi="Times New Roman" w:eastAsia="黑体" w:cs="黑体"/>
          <w:sz w:val="30"/>
          <w:szCs w:val="30"/>
        </w:rPr>
        <w:t>三、政府性基金预算支出情况</w:t>
      </w:r>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textAlignment w:val="auto"/>
        <w:rPr>
          <w:rFonts w:eastAsia="仿宋_GB2312"/>
          <w:sz w:val="32"/>
          <w:szCs w:val="32"/>
        </w:rPr>
      </w:pPr>
      <w:r>
        <w:rPr>
          <w:rFonts w:hint="eastAsia" w:ascii="仿宋" w:hAnsi="仿宋" w:eastAsia="仿宋" w:cs="仿宋"/>
          <w:sz w:val="30"/>
          <w:szCs w:val="30"/>
        </w:rPr>
        <w:t>2021年我单位政府性基金预算财政拨款收入397.70万元，其中：基本收入48.29万元、项目收入349.41万元；政府性基金预算财政拨款支出397.70万元，其中：基本支出48.29万元、项目支出349.41万元。</w:t>
      </w:r>
    </w:p>
    <w:p>
      <w:pPr>
        <w:pStyle w:val="5"/>
        <w:widowControl/>
        <w:ind w:left="640" w:firstLine="0" w:firstLineChars="0"/>
        <w:jc w:val="left"/>
        <w:rPr>
          <w:rFonts w:hint="eastAsia" w:ascii="Times New Roman" w:hAnsi="Times New Roman" w:eastAsia="黑体" w:cs="黑体"/>
          <w:sz w:val="30"/>
          <w:szCs w:val="30"/>
        </w:rPr>
      </w:pPr>
      <w:r>
        <w:rPr>
          <w:rFonts w:hint="eastAsia" w:ascii="Times New Roman" w:hAnsi="Times New Roman" w:eastAsia="黑体" w:cs="黑体"/>
          <w:sz w:val="30"/>
          <w:szCs w:val="30"/>
        </w:rPr>
        <w:t>四、国有资本经营预算支出情况</w:t>
      </w:r>
    </w:p>
    <w:p>
      <w:pPr>
        <w:pStyle w:val="5"/>
        <w:widowControl/>
        <w:ind w:left="640" w:firstLine="0" w:firstLineChars="0"/>
        <w:jc w:val="left"/>
        <w:rPr>
          <w:rFonts w:hint="eastAsia" w:ascii="仿宋" w:hAnsi="仿宋" w:eastAsia="仿宋" w:cs="仿宋"/>
          <w:sz w:val="30"/>
          <w:szCs w:val="30"/>
        </w:rPr>
      </w:pPr>
      <w:r>
        <w:rPr>
          <w:rFonts w:hint="eastAsia" w:ascii="仿宋" w:hAnsi="仿宋" w:eastAsia="仿宋" w:cs="仿宋"/>
          <w:sz w:val="30"/>
          <w:szCs w:val="30"/>
        </w:rPr>
        <w:t>无国有资本经营预算支出。</w:t>
      </w:r>
    </w:p>
    <w:p>
      <w:pPr>
        <w:pStyle w:val="5"/>
        <w:widowControl/>
        <w:ind w:left="640" w:firstLine="0" w:firstLineChars="0"/>
        <w:jc w:val="left"/>
        <w:rPr>
          <w:rFonts w:hint="eastAsia" w:ascii="Times New Roman" w:hAnsi="Times New Roman" w:eastAsia="黑体" w:cs="黑体"/>
          <w:sz w:val="30"/>
          <w:szCs w:val="30"/>
        </w:rPr>
      </w:pPr>
      <w:r>
        <w:rPr>
          <w:rFonts w:hint="eastAsia" w:ascii="Times New Roman" w:hAnsi="Times New Roman" w:eastAsia="黑体" w:cs="黑体"/>
          <w:sz w:val="30"/>
          <w:szCs w:val="30"/>
        </w:rPr>
        <w:t>五、社会保险基金预算支出情况</w:t>
      </w:r>
    </w:p>
    <w:p>
      <w:pPr>
        <w:pStyle w:val="5"/>
        <w:widowControl/>
        <w:ind w:left="640" w:firstLine="0" w:firstLineChars="0"/>
        <w:jc w:val="left"/>
        <w:rPr>
          <w:rFonts w:hint="eastAsia" w:ascii="仿宋" w:hAnsi="仿宋" w:eastAsia="仿宋" w:cs="仿宋"/>
          <w:sz w:val="30"/>
          <w:szCs w:val="30"/>
        </w:rPr>
      </w:pPr>
      <w:r>
        <w:rPr>
          <w:rFonts w:hint="eastAsia" w:ascii="仿宋" w:hAnsi="仿宋" w:eastAsia="仿宋" w:cs="仿宋"/>
          <w:sz w:val="30"/>
          <w:szCs w:val="30"/>
        </w:rPr>
        <w:t>无社会保险基金预算支出。</w:t>
      </w:r>
    </w:p>
    <w:p>
      <w:pPr>
        <w:pStyle w:val="5"/>
        <w:widowControl/>
        <w:ind w:left="640" w:firstLine="0" w:firstLineChars="0"/>
        <w:jc w:val="left"/>
        <w:rPr>
          <w:rFonts w:hint="eastAsia" w:ascii="Times New Roman" w:hAnsi="Times New Roman" w:eastAsia="黑体" w:cs="黑体"/>
          <w:sz w:val="30"/>
          <w:szCs w:val="30"/>
        </w:rPr>
      </w:pPr>
      <w:r>
        <w:rPr>
          <w:rFonts w:hint="eastAsia" w:ascii="Times New Roman" w:hAnsi="Times New Roman" w:eastAsia="黑体" w:cs="黑体"/>
          <w:sz w:val="30"/>
          <w:szCs w:val="30"/>
        </w:rPr>
        <w:t>六、部门整体支出绩效情况</w:t>
      </w:r>
    </w:p>
    <w:p>
      <w:pPr>
        <w:widowControl/>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（一）绩效评价组织实施情况</w:t>
      </w:r>
    </w:p>
    <w:p>
      <w:pPr>
        <w:pStyle w:val="5"/>
        <w:widowControl/>
        <w:ind w:left="640" w:firstLine="0" w:firstLineChars="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1.绩效评价目的</w:t>
      </w:r>
    </w:p>
    <w:p>
      <w:pPr>
        <w:pStyle w:val="5"/>
        <w:widowControl/>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本次绩效评价的目的是为了全面分析和综合评价我单位财政预算资金的使用管理情况，为切实提高财政资金使用效益，强化预算支出的责任和效率提供参考依据。</w:t>
      </w:r>
    </w:p>
    <w:p>
      <w:pPr>
        <w:pStyle w:val="5"/>
        <w:widowControl/>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2.绩效评价工作过程，主要包括前期准备、组织实施和分析评价等内容</w:t>
      </w:r>
    </w:p>
    <w:p>
      <w:pPr>
        <w:pStyle w:val="5"/>
        <w:widowControl/>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我们按照绩效评价规程要求，第一阶段为前期准备：由财务人员牵头，确定评价指标细则；第二阶段为自评：根据上一阶段任务布置，展开自评工作；第三阶段为定性终评，并出具评价报告：财务人员在自评的基础上，查阅相关文件资料和财务凭证，对收集资料进行定量定性分析， 综合评议后形成评价结论，出具绩效评价报告。</w:t>
      </w:r>
    </w:p>
    <w:p>
      <w:pPr>
        <w:widowControl/>
        <w:ind w:firstLine="301" w:firstLineChars="100"/>
        <w:jc w:val="left"/>
        <w:rPr>
          <w:rFonts w:hint="eastAsia" w:ascii="仿宋" w:hAnsi="仿宋" w:eastAsia="仿宋" w:cs="仿宋"/>
          <w:b/>
          <w:bCs/>
          <w:kern w:val="2"/>
          <w:sz w:val="30"/>
          <w:szCs w:val="30"/>
          <w:lang w:val="en-US" w:eastAsia="zh-CN" w:bidi="ar-SA"/>
        </w:rPr>
      </w:pPr>
      <w:r>
        <w:rPr>
          <w:rFonts w:hint="eastAsia" w:ascii="仿宋" w:hAnsi="仿宋" w:eastAsia="仿宋" w:cs="仿宋"/>
          <w:b/>
          <w:bCs/>
          <w:kern w:val="2"/>
          <w:sz w:val="30"/>
          <w:szCs w:val="30"/>
          <w:lang w:val="en-US" w:eastAsia="zh-CN" w:bidi="ar-SA"/>
        </w:rPr>
        <w:t>（二）绩效评价指标情况</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1</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投入指标20分</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目标设定得5分，其中：绩效合理性得2分；绩效指标明确性3分。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 xml:space="preserve"> 预算配置得15分，其中：在职人员控制率：年未实有人数64人/年未编制人数164人=100%，得5分；“三公经费”变动率“三公”经费决算0.62万元，比上年1.38万元减少0.76万元，减少55.07%，得5分；重点支出安排率得5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过程指标30分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预算执行得20分，其中：预算执行率得4分，预算调整率得2分，支付进度率得2分，结转结余率得2分，结转结余变动率得2分，公用经费控制率得2分，“三经费”控制率得2分。政度采购执行率得4分。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预算管理得5分，其中：管理制健全性得2分，资金使用合规性得1分，预决算信息公开性得1分，基础信息完善性得1分。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资产管理得5分，其中：管理制度健全性得2分，资产管理安全性得2分，固定资产利用率得1分。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3</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产出指标30分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职责履行得27分，其中：实际完成率得6分，是因项目执行时未达到预定的数量；完成及时率得3分，是因个别项目未按预定的时间完工；质量达标率得8分；重点工作办结率得10分。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4</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效果指标20分</w:t>
      </w:r>
    </w:p>
    <w:p>
      <w:pPr>
        <w:keepNext w:val="0"/>
        <w:keepLines w:val="0"/>
        <w:pageBreakBefore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履职效益得20分，其中：经济效益得5分，社会效益得5分，生态效益得5人，社会公众或服务对象满意度得5分。</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2021年我单位积极履职，强化管理，较好的完成了年度工作目标。根据部门整体支出绩效评价指标体系，我单位2021年自评得分为97分。</w:t>
      </w:r>
    </w:p>
    <w:p>
      <w:pPr>
        <w:pStyle w:val="6"/>
        <w:keepNext w:val="0"/>
        <w:keepLines w:val="0"/>
        <w:pageBreakBefore w:val="0"/>
        <w:widowControl/>
        <w:numPr>
          <w:ilvl w:val="0"/>
          <w:numId w:val="0"/>
        </w:numPr>
        <w:kinsoku/>
        <w:wordWrap/>
        <w:overflowPunct/>
        <w:topLinePunct w:val="0"/>
        <w:autoSpaceDE/>
        <w:autoSpaceDN/>
        <w:bidi w:val="0"/>
        <w:adjustRightInd/>
        <w:spacing w:line="600" w:lineRule="exact"/>
        <w:ind w:leftChars="200"/>
        <w:jc w:val="left"/>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lang w:eastAsia="zh-CN"/>
        </w:rPr>
        <w:t>（</w:t>
      </w:r>
      <w:r>
        <w:rPr>
          <w:rFonts w:hint="eastAsia" w:ascii="黑体" w:hAnsi="黑体" w:eastAsia="黑体" w:cs="黑体"/>
          <w:color w:val="000000"/>
          <w:sz w:val="30"/>
          <w:szCs w:val="30"/>
          <w:lang w:val="en-US" w:eastAsia="zh-CN"/>
        </w:rPr>
        <w:t>三）</w:t>
      </w:r>
      <w:r>
        <w:rPr>
          <w:rFonts w:hint="eastAsia" w:ascii="黑体" w:hAnsi="黑体" w:eastAsia="黑体" w:cs="黑体"/>
          <w:color w:val="000000"/>
          <w:sz w:val="30"/>
          <w:szCs w:val="30"/>
        </w:rPr>
        <w:t>绩效情况</w:t>
      </w:r>
    </w:p>
    <w:p>
      <w:pPr>
        <w:pStyle w:val="2"/>
        <w:keepNext w:val="0"/>
        <w:keepLines w:val="0"/>
        <w:pageBreakBefore w:val="0"/>
        <w:widowControl/>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1.实施乡村振兴战略，推动城乡协调发展</w:t>
      </w:r>
    </w:p>
    <w:p>
      <w:pPr>
        <w:pStyle w:val="2"/>
        <w:keepNext w:val="0"/>
        <w:keepLines w:val="0"/>
        <w:pageBreakBefore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坚持将乡村振兴作为第一要务，大力推进新型城镇化建设，着力解决城乡发展不平衡不充分的问题。围绕“九镇一乡”定位，有序布局生态、农业、城镇等功能空间，加快推进以人为核心的新型城镇化，加大基础设施建设力度，拓展以大带小、布局合理、功能互补、特色鲜明的新型城镇化发展格局，强化以工补农、以城带乡，实施城市更新行动，分类打造一批影响力大、辐射力强的文化名镇、旅游旺镇、生态美镇、产业强镇。持续整治农村人居环境，全面推进垃圾户分类、村收集、镇清运、区无害化处理模式。</w:t>
      </w:r>
    </w:p>
    <w:p>
      <w:pPr>
        <w:pStyle w:val="2"/>
        <w:keepNext w:val="0"/>
        <w:keepLines w:val="0"/>
        <w:pageBreakBefore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2.建立健全监管体制机制，维护房地产业平稳发展</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坚持“房住不炒”调控理念，全面落实房地产长效监管机制，完善政策协同、调控联动、监测预警、舆情引导、市场监管等机制，促进房地产市场平稳健康发展。成立房地产业联合监督检查小组，采取不定期检查方式，对“一房一价”“证书上墙”、预售许可、合同备案等加强监督管理，做好全区乡镇房地产项目预售资金监管，规范开发企业销售行为，防范化解区域房地产市场风险；严控问题楼盘发生，按照时间节点、“一楼一策”，积极配合区房地产办证信访突出问题化解专项行动领导小组做好问题楼盘化解工作；大力支持工业园区建设，借鉴江浙地区创新做法，推广我市首例工业地产（益阳万洋众创科技示范基地）开发试点项目成熟经验，确保工业地产项目顺利进入市场；强化物业小区合法组建业主委员会宣传引导，指导碧波豪苑二期等中心城区物业小区成立业主委员会；加大沧水铺、欧江岔、兰溪和衡龙桥等乡镇房地产开发力度，严格监督、热情服务，确保兰溪中心、盛益花庭、幸福家园和云龙名邸等项目平衡发展，为我区经济社会发展注入新动能。</w:t>
      </w:r>
    </w:p>
    <w:p>
      <w:pPr>
        <w:pStyle w:val="2"/>
        <w:keepNext w:val="0"/>
        <w:keepLines w:val="0"/>
        <w:pageBreakBefore w:val="0"/>
        <w:widowControl/>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lang w:eastAsia="zh-CN"/>
        </w:rPr>
        <w:t>解决住房突出矛盾，筑牢住房安全保障</w:t>
      </w:r>
    </w:p>
    <w:p>
      <w:pPr>
        <w:pStyle w:val="2"/>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抢抓中央投资和省级投资，稳步推进600户棚户区和28个老旧小区改造，突出抓好了益阳大道东片区、原益阳茶厂、区农科所等棚改项目。加快补齐租赁住房短板，构建以保障性租赁住房和共有产权住房为主体的住房保障体系，扩大保障性租赁住房供给，重点发展政策性租赁住房，积极稳妥做好惠民四期264套和清查清退公租房分配，发放租赁住房补贴390万元，保障户数2400户5100人，解决好特殊困难群体住房问题。整顿公共租赁市场秩序，加大对转租、转借、转卖、恶意欠租等违法违规行为的精准监管和查处力度，规范市场行为。</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jc w:val="both"/>
        <w:textAlignment w:val="auto"/>
        <w:rPr>
          <w:rFonts w:hint="eastAsia" w:ascii="仿宋" w:hAnsi="仿宋" w:eastAsia="仿宋" w:cs="仿宋"/>
          <w:color w:val="000000"/>
          <w:kern w:val="2"/>
          <w:sz w:val="30"/>
          <w:szCs w:val="30"/>
          <w:lang w:eastAsia="zh-CN"/>
        </w:rPr>
      </w:pPr>
      <w:r>
        <w:rPr>
          <w:rFonts w:hint="eastAsia" w:ascii="仿宋" w:hAnsi="仿宋" w:eastAsia="仿宋" w:cs="仿宋"/>
          <w:color w:val="000000"/>
          <w:kern w:val="2"/>
          <w:sz w:val="30"/>
          <w:szCs w:val="30"/>
          <w:lang w:val="en-US" w:eastAsia="zh-CN"/>
        </w:rPr>
        <w:t>4.</w:t>
      </w:r>
      <w:r>
        <w:rPr>
          <w:rFonts w:hint="eastAsia" w:ascii="仿宋" w:hAnsi="仿宋" w:eastAsia="仿宋" w:cs="仿宋"/>
          <w:color w:val="000000"/>
          <w:kern w:val="2"/>
          <w:sz w:val="30"/>
          <w:szCs w:val="30"/>
          <w:lang w:eastAsia="zh-CN"/>
        </w:rPr>
        <w:t>强力推进污染防治，加强生态环境治理</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kern w:val="2"/>
          <w:sz w:val="30"/>
          <w:szCs w:val="30"/>
          <w:lang w:eastAsia="zh-CN"/>
        </w:rPr>
      </w:pPr>
      <w:r>
        <w:rPr>
          <w:rFonts w:hint="eastAsia" w:ascii="仿宋" w:hAnsi="仿宋" w:eastAsia="仿宋" w:cs="仿宋"/>
          <w:color w:val="000000"/>
          <w:kern w:val="2"/>
          <w:sz w:val="30"/>
          <w:szCs w:val="30"/>
          <w:lang w:eastAsia="zh-CN"/>
        </w:rPr>
        <w:t>深入贯彻落实习近平生态文明建设思想，完成10个乡镇污水处理厂配套管网及入户管网铺设，进一步提高全区乡镇污水处理率；因地制宜，制定乡镇污水处理费征收细则，确保建成的污水处理厂充分发挥处理效益，进一步提升污水处理负荷率，杜绝污水厂“晒太阳”。巩固南干渠、牛蛟港渠黑臭水体整治成果，协助市住建局做好中心城区雨污分流和拦污截污工作，加强沿线居民生活污水和生产废水整治，确保南干渠、牛蛟港渠水体生态稳定向好。健全完善村庄黑臭水体整治长效机制，明确管护主体，强化日常维护，杜绝污水直排偷排导致水体返黑返臭，改善镇村人居环境。继续加强建筑工地扬尘污染治理，守住大气污染防治红线。</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kern w:val="2"/>
          <w:sz w:val="30"/>
          <w:szCs w:val="30"/>
          <w:lang w:val="en-US" w:eastAsia="zh-CN"/>
        </w:rPr>
      </w:pPr>
      <w:r>
        <w:rPr>
          <w:rFonts w:hint="eastAsia" w:ascii="仿宋" w:hAnsi="仿宋" w:eastAsia="仿宋" w:cs="仿宋"/>
          <w:color w:val="000000"/>
          <w:kern w:val="2"/>
          <w:sz w:val="30"/>
          <w:szCs w:val="30"/>
          <w:lang w:val="en-US" w:eastAsia="zh-CN"/>
        </w:rPr>
        <w:t>5.实施乡村建设行动，提升村民建房水平</w:t>
      </w:r>
    </w:p>
    <w:p>
      <w:pPr>
        <w:pStyle w:val="7"/>
        <w:keepNext w:val="0"/>
        <w:keepLines w:val="0"/>
        <w:pageBreakBefore w:val="0"/>
        <w:widowControl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kern w:val="2"/>
          <w:sz w:val="30"/>
          <w:szCs w:val="30"/>
          <w:lang w:eastAsia="zh-CN"/>
        </w:rPr>
      </w:pPr>
      <w:r>
        <w:rPr>
          <w:rFonts w:hint="eastAsia" w:ascii="仿宋" w:hAnsi="仿宋" w:eastAsia="仿宋" w:cs="仿宋"/>
          <w:color w:val="000000"/>
          <w:kern w:val="2"/>
          <w:sz w:val="30"/>
          <w:szCs w:val="30"/>
          <w:lang w:eastAsia="zh-CN"/>
        </w:rPr>
        <w:t>贯彻落实《益阳市农村村民住房建设管理条例》，加强对农村村民建房行为的规范管理，出台村镇建设政策并指导实施到位，引导村民向集中居住区集中。全面开展乡村建设评价工作，推广装配式钢结构新型农房建设方式，提升农房现代化水平。继续实施农村危房改造，改造380户。加大空心房整治力度，探索建立农村低收入家庭基本住房安全保障机制。持续推进农村房屋安全隐患排查和整治行动，建立健全农房建设标准和建设管理制度，全面消除房屋安全隐患。</w:t>
      </w:r>
    </w:p>
    <w:p>
      <w:pPr>
        <w:pStyle w:val="2"/>
        <w:keepNext w:val="0"/>
        <w:keepLines w:val="0"/>
        <w:pageBreakBefore w:val="0"/>
        <w:kinsoku/>
        <w:wordWrap/>
        <w:overflowPunct/>
        <w:topLinePunct w:val="0"/>
        <w:autoSpaceDE/>
        <w:autoSpaceDN/>
        <w:bidi w:val="0"/>
        <w:adjustRightInd/>
        <w:spacing w:line="600" w:lineRule="exact"/>
        <w:ind w:firstLine="600" w:firstLineChars="200"/>
        <w:jc w:val="both"/>
        <w:textAlignment w:val="auto"/>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6.狠抓行业领域管理，夯实安全生产责任</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健全完善招投标监管体制机制，大力推广电子招投标和远程异地评标，维护招投标领域公平公正公开。坚决贯彻落实区委、区政府关于安全生产工作的决策部署，落实安全生产责任制，把建设工程质量安全摆在更加重要的位置，守住工程质量安全生产底线。打破“重建轻管”的藩篱，坚持“多措并举、建管并重”，形成以工程质量安全为核心的建设项目市场监管长效机制。深入实施绿色建筑创建行动，稳步推进建筑工程标准化设计、工厂化生产、装配化施工、一体化装修、信息化管理，不断提高装配式建筑、绿色建筑在新建建筑中的比重。</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7</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稳步发展公用事业，提高居民生活质量</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落实省委省政府“气化湖南”战略，对标“十四五规划”居民用气率达到98％以上要求，促进全区乡镇管道燃气行业健康、有序、快速发展。指导泉交河镇、八字哨镇、岳家桥镇瓶装液化气站和泉交河镇分输阀室等气站室建设，做好诚信站、普济站搬迁和提质改造工作。扎实做好中心城区背街小巷和街头绿地等城市公共基础设施的维护维修，及时消除人民群众心坎上的烦心事。</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8</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rPr>
        <w:t>持续推进改革创新，提质提效审批服务</w:t>
      </w:r>
    </w:p>
    <w:p>
      <w:pPr>
        <w:keepNext w:val="0"/>
        <w:keepLines w:val="0"/>
        <w:pageBreakBefore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color w:val="000000"/>
          <w:sz w:val="30"/>
          <w:szCs w:val="30"/>
        </w:rPr>
      </w:pPr>
      <w:r>
        <w:rPr>
          <w:rFonts w:hint="eastAsia" w:ascii="仿宋" w:hAnsi="仿宋" w:eastAsia="仿宋" w:cs="仿宋"/>
          <w:color w:val="000000"/>
          <w:sz w:val="30"/>
          <w:szCs w:val="30"/>
        </w:rPr>
        <w:t>扎实开展营商环境优化年活动，全面推进工程建设项目审批制度改革，持续深化建筑业“放管服”改革，进一步健全完善住房和城乡建设领域法规标准体系，激发市场主体活力。全面推行行政审批“三集中三到位”，提高行政服务效能，打造优质高效政务服务环境、宽松有序经营发展环境、公平公正市场竞争环境。坚持把项目建设、立项争资和招商引资作为推动发展的第一动力，全力引项目、增投资、提效能，立项争资超4亿元，招商引资超5000万元。积极跟进监管项目工程进度，开展“一企一策”精准帮扶，指导企业完善报建、施工许可办理和竣工验收等资料，只服务、不索取，“一路绿灯”为企业，做实做优惠企减负工作，提升营商环境指数，助力企业“轻装上阵”。</w:t>
      </w:r>
    </w:p>
    <w:p>
      <w:pPr>
        <w:pStyle w:val="5"/>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七、存在的问题及原因分析</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主要存在项目完成率及及时完成率成在不足，是因施工过程存在各种问题，需要时间进行处理。</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人员严重缺编与工作任务繁重的矛盾日益突出。</w:t>
      </w:r>
    </w:p>
    <w:p>
      <w:pPr>
        <w:pStyle w:val="5"/>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八、下一步改进措施</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加强项目的管理及时沟通减少施工过程中发生问题。</w:t>
      </w:r>
    </w:p>
    <w:p>
      <w:pPr>
        <w:pStyle w:val="5"/>
        <w:keepNext w:val="0"/>
        <w:keepLines w:val="0"/>
        <w:pageBreakBefore w:val="0"/>
        <w:widowControl/>
        <w:kinsoku/>
        <w:wordWrap/>
        <w:overflowPunct/>
        <w:topLinePunct w:val="0"/>
        <w:autoSpaceDE/>
        <w:autoSpaceDN/>
        <w:bidi w:val="0"/>
        <w:adjustRightInd/>
        <w:snapToGrid/>
        <w:spacing w:line="600" w:lineRule="exact"/>
        <w:ind w:left="0" w:leftChars="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九、其他需要说明的情况</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无其他需要说明的情况。</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附件：</w:t>
      </w:r>
      <w:r>
        <w:rPr>
          <w:rFonts w:hint="eastAsia" w:ascii="仿宋" w:hAnsi="仿宋" w:eastAsia="仿宋" w:cs="仿宋"/>
          <w:sz w:val="30"/>
          <w:szCs w:val="30"/>
        </w:rPr>
        <w:t>2021年度部门整体支出绩效自评指标计分表</w:t>
      </w: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600" w:lineRule="exact"/>
        <w:ind w:firstLine="600" w:firstLineChars="200"/>
        <w:jc w:val="left"/>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600" w:lineRule="exact"/>
        <w:ind w:right="640"/>
        <w:jc w:val="both"/>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adjustRightInd/>
        <w:spacing w:line="600" w:lineRule="exact"/>
        <w:ind w:right="640" w:firstLine="600" w:firstLineChars="200"/>
        <w:jc w:val="right"/>
        <w:textAlignment w:val="auto"/>
        <w:rPr>
          <w:rFonts w:hint="eastAsia" w:ascii="仿宋" w:hAnsi="仿宋" w:eastAsia="仿宋" w:cs="仿宋"/>
          <w:sz w:val="30"/>
          <w:szCs w:val="30"/>
        </w:rPr>
      </w:pPr>
    </w:p>
    <w:p>
      <w:pPr>
        <w:spacing w:before="156" w:beforeLines="50" w:after="156" w:afterLines="50"/>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0"/>
        <w:gridCol w:w="684"/>
        <w:gridCol w:w="913"/>
        <w:gridCol w:w="684"/>
        <w:gridCol w:w="2877"/>
        <w:gridCol w:w="3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blHeader/>
          <w:jc w:val="center"/>
        </w:trPr>
        <w:tc>
          <w:tcPr>
            <w:tcW w:w="307" w:type="pct"/>
            <w:noWrap w:val="0"/>
            <w:tcMar>
              <w:top w:w="10" w:type="dxa"/>
              <w:left w:w="10" w:type="dxa"/>
              <w:bottom w:w="0" w:type="dxa"/>
              <w:right w:w="10" w:type="dxa"/>
            </w:tcMar>
            <w:vAlign w:val="center"/>
          </w:tcPr>
          <w:p>
            <w:pPr>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noWrap w:val="0"/>
            <w:tcMar>
              <w:top w:w="10" w:type="dxa"/>
              <w:left w:w="10" w:type="dxa"/>
              <w:bottom w:w="0" w:type="dxa"/>
              <w:right w:w="10" w:type="dxa"/>
            </w:tcMar>
            <w:vAlign w:val="center"/>
          </w:tcPr>
          <w:p>
            <w:pPr>
              <w:ind w:right="-174" w:rightChars="-83"/>
              <w:jc w:val="center"/>
              <w:rPr>
                <w:rFonts w:ascii="宋体" w:cs="宋体"/>
                <w:b/>
                <w:bCs/>
              </w:rPr>
            </w:pPr>
            <w:r>
              <w:rPr>
                <w:rFonts w:hint="eastAsia" w:ascii="宋体" w:hAnsi="宋体" w:cs="宋体"/>
                <w:b/>
                <w:bCs/>
              </w:rPr>
              <w:t>二级</w:t>
            </w:r>
          </w:p>
          <w:p>
            <w:pPr>
              <w:ind w:right="-174" w:rightChars="-83"/>
              <w:jc w:val="center"/>
              <w:rPr>
                <w:rFonts w:ascii="宋体" w:cs="宋体"/>
                <w:b/>
                <w:bCs/>
              </w:rPr>
            </w:pPr>
            <w:r>
              <w:rPr>
                <w:rFonts w:hint="eastAsia" w:ascii="宋体" w:hAnsi="宋体" w:cs="宋体"/>
                <w:b/>
                <w:bCs/>
              </w:rPr>
              <w:t>指标</w:t>
            </w:r>
          </w:p>
        </w:tc>
        <w:tc>
          <w:tcPr>
            <w:tcW w:w="500" w:type="pct"/>
            <w:noWrap w:val="0"/>
            <w:tcMar>
              <w:top w:w="10" w:type="dxa"/>
              <w:left w:w="10" w:type="dxa"/>
              <w:bottom w:w="0" w:type="dxa"/>
              <w:right w:w="10" w:type="dxa"/>
            </w:tcMar>
            <w:vAlign w:val="center"/>
          </w:tcPr>
          <w:p>
            <w:pPr>
              <w:jc w:val="center"/>
              <w:rPr>
                <w:rFonts w:ascii="宋体" w:cs="宋体"/>
                <w:b/>
                <w:bCs/>
              </w:rPr>
            </w:pPr>
            <w:r>
              <w:rPr>
                <w:rFonts w:hint="eastAsia" w:ascii="宋体" w:hAnsi="宋体" w:cs="宋体"/>
                <w:b/>
                <w:bCs/>
              </w:rPr>
              <w:t>三级</w:t>
            </w:r>
          </w:p>
          <w:p>
            <w:pPr>
              <w:jc w:val="center"/>
              <w:rPr>
                <w:rFonts w:ascii="宋体" w:cs="宋体"/>
                <w:b/>
                <w:bCs/>
              </w:rPr>
            </w:pPr>
            <w:r>
              <w:rPr>
                <w:rFonts w:hint="eastAsia" w:ascii="宋体" w:hAnsi="宋体" w:cs="宋体"/>
                <w:b/>
                <w:bCs/>
              </w:rPr>
              <w:t>指标</w:t>
            </w:r>
          </w:p>
        </w:tc>
        <w:tc>
          <w:tcPr>
            <w:tcW w:w="375" w:type="pct"/>
            <w:noWrap w:val="0"/>
            <w:vAlign w:val="center"/>
          </w:tcPr>
          <w:p>
            <w:pPr>
              <w:ind w:left="105" w:leftChars="50" w:right="105" w:rightChars="50"/>
              <w:jc w:val="center"/>
              <w:rPr>
                <w:rFonts w:ascii="宋体" w:cs="宋体"/>
                <w:b/>
                <w:bCs/>
              </w:rPr>
            </w:pPr>
            <w:r>
              <w:rPr>
                <w:rFonts w:hint="eastAsia" w:ascii="宋体" w:hAnsi="宋体" w:cs="宋体"/>
                <w:b/>
                <w:bCs/>
              </w:rPr>
              <w:t>自评分</w:t>
            </w:r>
          </w:p>
        </w:tc>
        <w:tc>
          <w:tcPr>
            <w:tcW w:w="1576" w:type="pct"/>
            <w:noWrap w:val="0"/>
            <w:tcMar>
              <w:top w:w="10" w:type="dxa"/>
              <w:left w:w="10" w:type="dxa"/>
              <w:bottom w:w="0" w:type="dxa"/>
              <w:right w:w="10" w:type="dxa"/>
            </w:tcMar>
            <w:vAlign w:val="center"/>
          </w:tcPr>
          <w:p>
            <w:pPr>
              <w:ind w:left="105" w:leftChars="50" w:right="105" w:rightChars="50"/>
              <w:jc w:val="center"/>
              <w:rPr>
                <w:rFonts w:ascii="宋体" w:cs="宋体"/>
                <w:b/>
                <w:bCs/>
              </w:rPr>
            </w:pPr>
            <w:r>
              <w:rPr>
                <w:rFonts w:hint="eastAsia" w:ascii="宋体" w:hAnsi="宋体" w:cs="宋体"/>
                <w:b/>
                <w:bCs/>
              </w:rPr>
              <w:t>指标解释</w:t>
            </w:r>
          </w:p>
        </w:tc>
        <w:tc>
          <w:tcPr>
            <w:tcW w:w="1867" w:type="pct"/>
            <w:noWrap w:val="0"/>
            <w:tcMar>
              <w:top w:w="10" w:type="dxa"/>
              <w:left w:w="10" w:type="dxa"/>
              <w:bottom w:w="0" w:type="dxa"/>
              <w:right w:w="10" w:type="dxa"/>
            </w:tcMar>
            <w:vAlign w:val="center"/>
          </w:tcPr>
          <w:p>
            <w:pPr>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绩效目标</w:t>
            </w:r>
          </w:p>
          <w:p>
            <w:pPr>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绩效指标</w:t>
            </w:r>
          </w:p>
          <w:p>
            <w:pPr>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noWrap w:val="0"/>
            <w:vAlign w:val="center"/>
          </w:tcPr>
          <w:p>
            <w:pPr>
              <w:rPr>
                <w:rFonts w:ascii="宋体" w:cs="宋体"/>
              </w:rPr>
            </w:pP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在职人员</w:t>
            </w:r>
          </w:p>
          <w:p>
            <w:pPr>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“三公经费”</w:t>
            </w:r>
          </w:p>
          <w:p>
            <w:pPr>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重点支出</w:t>
            </w:r>
          </w:p>
          <w:p>
            <w:pPr>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重点预算支出：部门年度预算安排的，与本部门履职和发展密切相关、具有明显社会和经济影响、党委政府关心或社会比较关注的预算支出支出总额。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预算</w:t>
            </w:r>
          </w:p>
          <w:p>
            <w:pPr>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预算</w:t>
            </w:r>
          </w:p>
          <w:p>
            <w:pPr>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支付</w:t>
            </w:r>
          </w:p>
          <w:p>
            <w:pPr>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jc w:val="center"/>
              <w:rPr>
                <w:rFonts w:ascii="宋体" w:cs="宋体"/>
              </w:rPr>
            </w:pPr>
          </w:p>
        </w:tc>
        <w:tc>
          <w:tcPr>
            <w:tcW w:w="375" w:type="pct"/>
            <w:vMerge w:val="continue"/>
            <w:noWrap w:val="0"/>
            <w:tcMar>
              <w:top w:w="10" w:type="dxa"/>
              <w:left w:w="10" w:type="dxa"/>
              <w:bottom w:w="0" w:type="dxa"/>
              <w:right w:w="10" w:type="dxa"/>
            </w:tcMar>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结转</w:t>
            </w:r>
          </w:p>
          <w:p>
            <w:pPr>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结转结余</w:t>
            </w:r>
          </w:p>
          <w:p>
            <w:pPr>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公用经费</w:t>
            </w:r>
          </w:p>
          <w:p>
            <w:pPr>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政府采购</w:t>
            </w:r>
          </w:p>
          <w:p>
            <w:pPr>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4</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noWrap w:val="0"/>
            <w:tcMar>
              <w:top w:w="10" w:type="dxa"/>
              <w:left w:w="10" w:type="dxa"/>
              <w:bottom w:w="0" w:type="dxa"/>
              <w:right w:w="10" w:type="dxa"/>
            </w:tcMar>
            <w:vAlign w:val="center"/>
          </w:tcPr>
          <w:p>
            <w:pPr>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noWrap w:val="0"/>
            <w:vAlign w:val="center"/>
          </w:tcPr>
          <w:p>
            <w:pPr>
              <w:jc w:val="center"/>
              <w:rPr>
                <w:rFonts w:ascii="宋体" w:cs="宋体"/>
              </w:rPr>
            </w:pPr>
            <w:r>
              <w:rPr>
                <w:rFonts w:hint="eastAsia" w:ascii="宋体" w:hAnsi="宋体" w:cs="宋体"/>
              </w:rPr>
              <w:t>过</w:t>
            </w:r>
          </w:p>
          <w:p>
            <w:pPr>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jc w:val="center"/>
              <w:rPr>
                <w:rFonts w:ascii="宋体" w:cs="宋体"/>
              </w:rPr>
            </w:pPr>
            <w:r>
              <w:rPr>
                <w:rFonts w:hint="eastAsia" w:ascii="宋体" w:hAnsi="宋体" w:cs="宋体"/>
              </w:rPr>
              <w:t>）</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管理制度</w:t>
            </w:r>
          </w:p>
          <w:p>
            <w:pPr>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资金使用</w:t>
            </w:r>
          </w:p>
          <w:p>
            <w:pPr>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预决算信</w:t>
            </w:r>
          </w:p>
          <w:p>
            <w:pPr>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基础信息</w:t>
            </w:r>
          </w:p>
          <w:p>
            <w:pPr>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jc w:val="center"/>
              <w:rPr>
                <w:rFonts w:ascii="宋体" w:cs="宋体"/>
              </w:rPr>
            </w:pP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管理制度</w:t>
            </w:r>
          </w:p>
          <w:p>
            <w:pPr>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noWrap w:val="0"/>
            <w:vAlign w:val="center"/>
          </w:tcPr>
          <w:p>
            <w:pPr>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资产管理</w:t>
            </w:r>
          </w:p>
          <w:p>
            <w:pPr>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noWrap w:val="0"/>
            <w:vAlign w:val="top"/>
          </w:tcPr>
          <w:p>
            <w:pPr>
              <w:tabs>
                <w:tab w:val="left" w:pos="761"/>
                <w:tab w:val="left" w:pos="2604"/>
              </w:tabs>
              <w:ind w:left="105" w:leftChars="50" w:right="105" w:rightChars="50" w:firstLine="96" w:firstLineChars="46"/>
              <w:rPr>
                <w:rFonts w:ascii="宋体" w:cs="宋体"/>
              </w:rPr>
            </w:pPr>
            <w:r>
              <w:rPr>
                <w:rFonts w:hint="eastAsia" w:ascii="宋体" w:cs="宋体"/>
              </w:rPr>
              <w:t>2</w:t>
            </w:r>
          </w:p>
        </w:tc>
        <w:tc>
          <w:tcPr>
            <w:tcW w:w="1576" w:type="pct"/>
            <w:noWrap w:val="0"/>
            <w:tcMar>
              <w:top w:w="10" w:type="dxa"/>
              <w:left w:w="10" w:type="dxa"/>
              <w:bottom w:w="0" w:type="dxa"/>
              <w:right w:w="10" w:type="dxa"/>
            </w:tcMar>
            <w:vAlign w:val="center"/>
          </w:tcPr>
          <w:p>
            <w:pPr>
              <w:tabs>
                <w:tab w:val="left" w:pos="761"/>
                <w:tab w:val="left" w:pos="2604"/>
              </w:tabs>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固定资产</w:t>
            </w:r>
          </w:p>
          <w:p>
            <w:pPr>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1</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实际</w:t>
            </w:r>
          </w:p>
          <w:p>
            <w:pPr>
              <w:jc w:val="center"/>
              <w:rPr>
                <w:rFonts w:ascii="宋体" w:hAnsi="宋体" w:cs="宋体"/>
              </w:rPr>
            </w:pPr>
            <w:r>
              <w:rPr>
                <w:rFonts w:hint="eastAsia" w:ascii="宋体" w:hAnsi="宋体" w:cs="宋体"/>
              </w:rPr>
              <w:t>完成率</w:t>
            </w:r>
          </w:p>
          <w:p>
            <w:pPr>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6</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noWrap w:val="0"/>
            <w:textDirection w:val="tbRlV"/>
            <w:vAlign w:val="center"/>
          </w:tcPr>
          <w:p>
            <w:pPr>
              <w:ind w:left="113"/>
              <w:jc w:val="center"/>
              <w:rPr>
                <w:rFonts w:ascii="宋体" w:cs="宋体"/>
              </w:rPr>
            </w:pPr>
          </w:p>
        </w:tc>
        <w:tc>
          <w:tcPr>
            <w:tcW w:w="375" w:type="pct"/>
            <w:vMerge w:val="continue"/>
            <w:noWrap w:val="0"/>
            <w:vAlign w:val="center"/>
          </w:tcPr>
          <w:p>
            <w:pPr>
              <w:jc w:val="cente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完成</w:t>
            </w:r>
          </w:p>
          <w:p>
            <w:pPr>
              <w:jc w:val="center"/>
              <w:rPr>
                <w:rFonts w:ascii="宋体" w:hAnsi="宋体" w:cs="宋体"/>
              </w:rPr>
            </w:pPr>
            <w:r>
              <w:rPr>
                <w:rFonts w:hint="eastAsia" w:ascii="宋体" w:hAnsi="宋体" w:cs="宋体"/>
              </w:rPr>
              <w:t>及时率</w:t>
            </w:r>
          </w:p>
          <w:p>
            <w:pPr>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3</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质量</w:t>
            </w:r>
          </w:p>
          <w:p>
            <w:pPr>
              <w:jc w:val="center"/>
              <w:rPr>
                <w:rFonts w:ascii="宋体" w:hAnsi="宋体" w:cs="宋体"/>
              </w:rPr>
            </w:pPr>
            <w:r>
              <w:rPr>
                <w:rFonts w:hint="eastAsia" w:ascii="宋体" w:hAnsi="宋体" w:cs="宋体"/>
              </w:rPr>
              <w:t>达标率</w:t>
            </w:r>
          </w:p>
          <w:p>
            <w:pPr>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8</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重点工作</w:t>
            </w:r>
          </w:p>
          <w:p>
            <w:pPr>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1</w:t>
            </w:r>
            <w:r>
              <w:rPr>
                <w:rFonts w:ascii="宋体" w:cs="宋体"/>
              </w:rPr>
              <w:t>0</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noWrap w:val="0"/>
            <w:tcMar>
              <w:top w:w="10" w:type="dxa"/>
              <w:left w:w="10" w:type="dxa"/>
              <w:bottom w:w="0" w:type="dxa"/>
              <w:right w:w="10" w:type="dxa"/>
            </w:tcMar>
            <w:vAlign w:val="center"/>
          </w:tcPr>
          <w:p>
            <w:pPr>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noWrap w:val="0"/>
            <w:vAlign w:val="center"/>
          </w:tcPr>
          <w:p>
            <w:pPr>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noWrap w:val="0"/>
            <w:vAlign w:val="center"/>
          </w:tcPr>
          <w:p>
            <w:pPr>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noWrap w:val="0"/>
            <w:vAlign w:val="center"/>
          </w:tcPr>
          <w:p>
            <w:pPr>
              <w:rPr>
                <w:rFonts w:ascii="宋体" w:cs="宋体"/>
              </w:rPr>
            </w:pPr>
          </w:p>
        </w:tc>
        <w:tc>
          <w:tcPr>
            <w:tcW w:w="375" w:type="pct"/>
            <w:vMerge w:val="continue"/>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r>
              <w:rPr>
                <w:rFonts w:hint="eastAsia" w:ascii="宋体" w:hAnsi="宋体" w:cs="宋体"/>
              </w:rPr>
              <w:t>社会公众</w:t>
            </w:r>
          </w:p>
          <w:p>
            <w:pPr>
              <w:jc w:val="center"/>
              <w:rPr>
                <w:rFonts w:ascii="宋体" w:cs="宋体"/>
              </w:rPr>
            </w:pPr>
            <w:r>
              <w:rPr>
                <w:rFonts w:hint="eastAsia" w:ascii="宋体" w:hAnsi="宋体" w:cs="宋体"/>
              </w:rPr>
              <w:t>或服务对</w:t>
            </w:r>
          </w:p>
          <w:p>
            <w:pPr>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5</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noWrap w:val="0"/>
            <w:vAlign w:val="center"/>
          </w:tcPr>
          <w:p>
            <w:pPr>
              <w:rPr>
                <w:rFonts w:ascii="宋体" w:cs="宋体"/>
              </w:rPr>
            </w:pPr>
            <w:r>
              <w:rPr>
                <w:rFonts w:hint="eastAsia" w:ascii="宋体" w:hAnsi="宋体" w:cs="宋体"/>
              </w:rPr>
              <w:t>总分</w:t>
            </w:r>
          </w:p>
        </w:tc>
        <w:tc>
          <w:tcPr>
            <w:tcW w:w="375" w:type="pct"/>
            <w:noWrap w:val="0"/>
            <w:vAlign w:val="center"/>
          </w:tcPr>
          <w:p>
            <w:pPr>
              <w:rPr>
                <w:rFonts w:ascii="宋体" w:cs="宋体"/>
              </w:rPr>
            </w:pPr>
          </w:p>
        </w:tc>
        <w:tc>
          <w:tcPr>
            <w:tcW w:w="500" w:type="pct"/>
            <w:noWrap w:val="0"/>
            <w:tcMar>
              <w:top w:w="10" w:type="dxa"/>
              <w:left w:w="10" w:type="dxa"/>
              <w:bottom w:w="0" w:type="dxa"/>
              <w:right w:w="10" w:type="dxa"/>
            </w:tcMar>
            <w:vAlign w:val="center"/>
          </w:tcPr>
          <w:p>
            <w:pPr>
              <w:jc w:val="center"/>
              <w:rPr>
                <w:rFonts w:ascii="宋体" w:cs="宋体"/>
              </w:rPr>
            </w:pPr>
          </w:p>
        </w:tc>
        <w:tc>
          <w:tcPr>
            <w:tcW w:w="375" w:type="pct"/>
            <w:noWrap w:val="0"/>
            <w:vAlign w:val="top"/>
          </w:tcPr>
          <w:p>
            <w:pPr>
              <w:tabs>
                <w:tab w:val="left" w:pos="2604"/>
              </w:tabs>
              <w:ind w:left="105" w:leftChars="50" w:right="105" w:rightChars="50" w:firstLine="96" w:firstLineChars="46"/>
              <w:rPr>
                <w:rFonts w:ascii="宋体" w:cs="宋体"/>
              </w:rPr>
            </w:pPr>
            <w:r>
              <w:rPr>
                <w:rFonts w:hint="eastAsia" w:ascii="宋体" w:cs="宋体"/>
              </w:rPr>
              <w:t>9</w:t>
            </w:r>
            <w:r>
              <w:rPr>
                <w:rFonts w:ascii="宋体" w:cs="宋体"/>
              </w:rPr>
              <w:t>7</w:t>
            </w:r>
          </w:p>
        </w:tc>
        <w:tc>
          <w:tcPr>
            <w:tcW w:w="1576" w:type="pct"/>
            <w:noWrap w:val="0"/>
            <w:tcMar>
              <w:top w:w="10" w:type="dxa"/>
              <w:left w:w="10" w:type="dxa"/>
              <w:bottom w:w="0" w:type="dxa"/>
              <w:right w:w="10" w:type="dxa"/>
            </w:tcMar>
            <w:vAlign w:val="center"/>
          </w:tcPr>
          <w:p>
            <w:pPr>
              <w:tabs>
                <w:tab w:val="left" w:pos="2604"/>
              </w:tabs>
              <w:ind w:left="105" w:leftChars="50" w:right="105" w:rightChars="50" w:firstLine="96" w:firstLineChars="46"/>
              <w:rPr>
                <w:rFonts w:ascii="宋体" w:cs="宋体"/>
              </w:rPr>
            </w:pPr>
          </w:p>
        </w:tc>
        <w:tc>
          <w:tcPr>
            <w:tcW w:w="1867" w:type="pct"/>
            <w:noWrap w:val="0"/>
            <w:tcMar>
              <w:top w:w="10" w:type="dxa"/>
              <w:left w:w="10" w:type="dxa"/>
              <w:bottom w:w="0" w:type="dxa"/>
              <w:right w:w="10" w:type="dxa"/>
            </w:tcMar>
            <w:vAlign w:val="center"/>
          </w:tcPr>
          <w:p>
            <w:pPr>
              <w:ind w:left="105" w:leftChars="50" w:right="105" w:rightChars="50"/>
              <w:rPr>
                <w:rFonts w:ascii="宋体" w:cs="宋体"/>
              </w:rPr>
            </w:pPr>
          </w:p>
        </w:tc>
      </w:tr>
    </w:tbl>
    <w:p/>
    <w:p>
      <w:pPr>
        <w:widowControl/>
        <w:ind w:firstLine="645"/>
        <w:jc w:val="left"/>
        <w:rPr>
          <w:rFonts w:eastAsia="黑体" w:cs="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pPr>
        <w:widowControl/>
        <w:ind w:firstLine="645"/>
        <w:jc w:val="left"/>
        <w:rPr>
          <w:rFonts w:eastAsia="黑体"/>
          <w:sz w:val="32"/>
          <w:szCs w:val="32"/>
        </w:rPr>
      </w:pPr>
    </w:p>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31005D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99"/>
    <w:pPr>
      <w:widowControl/>
      <w:jc w:val="left"/>
    </w:pPr>
    <w:rPr>
      <w:rFonts w:ascii="宋体" w:hAnsi="Courier New" w:eastAsia="宋体" w:cs="宋体"/>
      <w:kern w:val="0"/>
      <w:sz w:val="20"/>
      <w:szCs w:val="21"/>
      <w:lang w:eastAsia="en-US"/>
    </w:rPr>
  </w:style>
  <w:style w:type="paragraph" w:customStyle="1" w:styleId="5">
    <w:name w:val="列出段落2"/>
    <w:basedOn w:val="1"/>
    <w:qFormat/>
    <w:uiPriority w:val="99"/>
    <w:pPr>
      <w:ind w:firstLine="420" w:firstLineChars="200"/>
    </w:pPr>
    <w:rPr>
      <w:rFonts w:ascii="等线" w:hAnsi="等线" w:eastAsia="等线" w:cs="等线"/>
      <w:szCs w:val="21"/>
    </w:rPr>
  </w:style>
  <w:style w:type="paragraph" w:styleId="6">
    <w:name w:val="List Paragraph"/>
    <w:basedOn w:val="1"/>
    <w:qFormat/>
    <w:uiPriority w:val="34"/>
    <w:pPr>
      <w:ind w:firstLine="420" w:firstLineChars="200"/>
    </w:pPr>
  </w:style>
  <w:style w:type="paragraph" w:customStyle="1" w:styleId="7">
    <w:name w:val="TOC1"/>
    <w:basedOn w:val="1"/>
    <w:next w:val="1"/>
    <w:qFormat/>
    <w:uiPriority w:val="99"/>
    <w:pPr>
      <w:widowControl/>
      <w:jc w:val="left"/>
    </w:pPr>
    <w:rPr>
      <w:rFonts w:ascii="Calibri" w:hAnsi="Calibri" w:eastAsia="宋体" w:cs="Times New Roman"/>
      <w:kern w:val="0"/>
      <w:sz w:val="32"/>
      <w:szCs w:val="3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2023-06-19T05:28:49Z</dcterms:created>
  <dc:creator>admin-3</dc:creator>
  <cp:lastModifiedBy>admin-3</cp:lastModifiedBy>
  <dcterms:modified xsi:type="dcterms:W3CDTF">2023-06-19T05:34:49Z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2A3B5288B4BD4AFEA31B4F02B368BA00_12</vt:lpwstr>
  </property>
</Properties>
</file>