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720" w:firstLineChars="200"/>
        <w:jc w:val="center"/>
        <w:textAlignment w:val="auto"/>
        <w:rPr>
          <w:rFonts w:hint="eastAsia" w:ascii="黑体" w:hAnsi="黑体" w:eastAsia="黑体" w:cs="黑体"/>
          <w:b w:val="0"/>
          <w:bCs w:val="0"/>
          <w:color w:val="auto"/>
          <w:sz w:val="36"/>
          <w:szCs w:val="36"/>
          <w:shd w:val="clear" w:color="auto" w:fill="FFFFFF"/>
        </w:rPr>
      </w:pPr>
      <w:r>
        <w:rPr>
          <w:rFonts w:hint="eastAsia" w:ascii="黑体" w:hAnsi="黑体" w:eastAsia="黑体" w:cs="黑体"/>
          <w:b w:val="0"/>
          <w:bCs w:val="0"/>
          <w:color w:val="auto"/>
          <w:sz w:val="36"/>
          <w:szCs w:val="36"/>
          <w:shd w:val="clear" w:color="auto" w:fill="FFFFFF"/>
          <w:lang w:eastAsia="zh-CN"/>
        </w:rPr>
        <w:t>共青团益阳市赫山区委</w:t>
      </w:r>
      <w:r>
        <w:rPr>
          <w:rFonts w:hint="eastAsia" w:ascii="黑体" w:hAnsi="黑体" w:eastAsia="黑体" w:cs="黑体"/>
          <w:b w:val="0"/>
          <w:bCs w:val="0"/>
          <w:color w:val="auto"/>
          <w:sz w:val="36"/>
          <w:szCs w:val="36"/>
          <w:shd w:val="clear" w:color="auto" w:fill="FFFFFF"/>
        </w:rPr>
        <w:t>20</w:t>
      </w:r>
      <w:r>
        <w:rPr>
          <w:rFonts w:hint="eastAsia" w:ascii="黑体" w:hAnsi="黑体" w:eastAsia="黑体" w:cs="黑体"/>
          <w:b w:val="0"/>
          <w:bCs w:val="0"/>
          <w:color w:val="auto"/>
          <w:sz w:val="36"/>
          <w:szCs w:val="36"/>
          <w:shd w:val="clear" w:color="auto" w:fill="FFFFFF"/>
          <w:lang w:val="en-US" w:eastAsia="zh-CN"/>
        </w:rPr>
        <w:t>21</w:t>
      </w:r>
      <w:r>
        <w:rPr>
          <w:rFonts w:hint="eastAsia" w:ascii="黑体" w:hAnsi="黑体" w:eastAsia="黑体" w:cs="黑体"/>
          <w:b w:val="0"/>
          <w:bCs w:val="0"/>
          <w:color w:val="auto"/>
          <w:sz w:val="36"/>
          <w:szCs w:val="36"/>
          <w:shd w:val="clear" w:color="auto" w:fill="FFFFFF"/>
        </w:rPr>
        <w:t>年度部门整体支出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720" w:firstLineChars="200"/>
        <w:jc w:val="center"/>
        <w:textAlignment w:val="auto"/>
        <w:rPr>
          <w:rFonts w:hint="eastAsia" w:ascii="黑体" w:hAnsi="黑体" w:eastAsia="黑体" w:cs="黑体"/>
          <w:b w:val="0"/>
          <w:bCs w:val="0"/>
          <w:color w:val="auto"/>
          <w:sz w:val="36"/>
          <w:szCs w:val="36"/>
          <w:shd w:val="clear" w:color="auto" w:fill="FFFFFF"/>
        </w:rPr>
      </w:pPr>
      <w:r>
        <w:rPr>
          <w:rFonts w:hint="eastAsia" w:ascii="黑体" w:hAnsi="黑体" w:eastAsia="黑体" w:cs="黑体"/>
          <w:b w:val="0"/>
          <w:bCs w:val="0"/>
          <w:color w:val="auto"/>
          <w:sz w:val="36"/>
          <w:szCs w:val="36"/>
          <w:shd w:val="clear" w:color="auto" w:fill="FFFFFF"/>
        </w:rPr>
        <w:t>绩效评价报告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color w:val="auto"/>
          <w:sz w:val="30"/>
          <w:szCs w:val="30"/>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根据</w:t>
      </w:r>
      <w:r>
        <w:rPr>
          <w:rFonts w:hint="eastAsia" w:ascii="仿宋" w:hAnsi="仿宋" w:eastAsia="仿宋" w:cs="仿宋"/>
          <w:color w:val="auto"/>
          <w:sz w:val="30"/>
          <w:szCs w:val="30"/>
          <w:lang w:val="en-US" w:eastAsia="zh-CN"/>
        </w:rPr>
        <w:t>益赫财绩</w:t>
      </w:r>
      <w:r>
        <w:rPr>
          <w:rFonts w:hint="eastAsia" w:ascii="仿宋" w:hAnsi="仿宋" w:eastAsia="仿宋" w:cs="仿宋"/>
          <w:color w:val="auto"/>
          <w:sz w:val="30"/>
          <w:szCs w:val="30"/>
        </w:rPr>
        <w:t>《益阳市赫山区</w:t>
      </w:r>
      <w:r>
        <w:rPr>
          <w:rFonts w:hint="eastAsia" w:ascii="仿宋" w:hAnsi="仿宋" w:eastAsia="仿宋" w:cs="仿宋"/>
          <w:color w:val="auto"/>
          <w:sz w:val="30"/>
          <w:szCs w:val="30"/>
          <w:lang w:val="en-US" w:eastAsia="zh-CN"/>
        </w:rPr>
        <w:t>财政局关于做好2021年度预算绩效自评工作的通知</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〔2022〕1号</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文件精神，</w:t>
      </w:r>
      <w:r>
        <w:rPr>
          <w:rFonts w:hint="eastAsia" w:ascii="仿宋" w:hAnsi="仿宋" w:eastAsia="仿宋" w:cs="仿宋"/>
          <w:color w:val="auto"/>
          <w:sz w:val="30"/>
          <w:szCs w:val="30"/>
        </w:rPr>
        <w:t>我</w:t>
      </w:r>
      <w:r>
        <w:rPr>
          <w:rFonts w:hint="eastAsia" w:ascii="仿宋" w:hAnsi="仿宋" w:eastAsia="仿宋" w:cs="仿宋"/>
          <w:color w:val="auto"/>
          <w:sz w:val="30"/>
          <w:szCs w:val="30"/>
          <w:lang w:val="en-US" w:eastAsia="zh-CN"/>
        </w:rPr>
        <w:t>委</w:t>
      </w:r>
      <w:r>
        <w:rPr>
          <w:rFonts w:hint="eastAsia" w:ascii="仿宋" w:hAnsi="仿宋" w:eastAsia="仿宋" w:cs="仿宋"/>
          <w:color w:val="auto"/>
          <w:sz w:val="30"/>
          <w:szCs w:val="30"/>
        </w:rPr>
        <w:t>从预算配置、预算执行、预算管理、职责履行、履职效益等五方面入手，对照《部门整体支出绩效评价指标表》，认真负责、客观公正地开展20</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年度部门整体支出绩效自评工作，现将相关情况报告如下：</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firstLine="602" w:firstLineChars="200"/>
        <w:textAlignment w:val="auto"/>
      </w:pPr>
      <w:r>
        <w:rPr>
          <w:rFonts w:hint="eastAsia" w:ascii="黑体" w:hAnsi="黑体" w:eastAsia="黑体" w:cs="黑体"/>
          <w:b/>
          <w:bCs/>
          <w:color w:val="auto"/>
          <w:sz w:val="30"/>
          <w:szCs w:val="30"/>
        </w:rPr>
        <w:t>部门</w:t>
      </w:r>
      <w:r>
        <w:rPr>
          <w:rFonts w:hint="eastAsia" w:ascii="黑体" w:hAnsi="黑体" w:eastAsia="黑体" w:cs="黑体"/>
          <w:b/>
          <w:bCs/>
          <w:color w:val="auto"/>
          <w:sz w:val="30"/>
          <w:szCs w:val="30"/>
          <w:lang w:val="en-US" w:eastAsia="zh-CN"/>
        </w:rPr>
        <w:t>基本</w:t>
      </w:r>
      <w:r>
        <w:rPr>
          <w:rFonts w:hint="eastAsia" w:ascii="黑体" w:hAnsi="黑体" w:eastAsia="黑体" w:cs="黑体"/>
          <w:b/>
          <w:bCs/>
          <w:color w:val="auto"/>
          <w:sz w:val="30"/>
          <w:szCs w:val="30"/>
        </w:rPr>
        <w:t>情况</w:t>
      </w:r>
    </w:p>
    <w:p>
      <w:pPr>
        <w:pStyle w:val="7"/>
        <w:pageBreakBefore w:val="0"/>
        <w:numPr>
          <w:ilvl w:val="0"/>
          <w:numId w:val="0"/>
        </w:numPr>
        <w:kinsoku/>
        <w:wordWrap/>
        <w:overflowPunct/>
        <w:topLinePunct w:val="0"/>
        <w:bidi w:val="0"/>
        <w:snapToGrid/>
        <w:spacing w:line="600" w:lineRule="exact"/>
        <w:ind w:leftChars="0" w:firstLine="420" w:firstLineChars="200"/>
        <w:jc w:val="left"/>
        <w:textAlignment w:val="auto"/>
        <w:rPr>
          <w:rFonts w:hint="eastAsia" w:ascii="黑体" w:hAnsi="黑体" w:eastAsia="黑体" w:cs="黑体"/>
          <w:color w:val="auto"/>
          <w:sz w:val="30"/>
          <w:szCs w:val="30"/>
        </w:rPr>
      </w:pPr>
      <w:r>
        <w:rPr>
          <w:rFonts w:hint="eastAsia"/>
          <w:lang w:val="en-US" w:eastAsia="zh-CN"/>
        </w:rPr>
        <w:t xml:space="preserve">   （</w:t>
      </w:r>
      <w:r>
        <w:rPr>
          <w:rFonts w:hint="eastAsia" w:ascii="黑体" w:hAnsi="黑体" w:eastAsia="黑体" w:cs="黑体"/>
          <w:color w:val="auto"/>
          <w:sz w:val="30"/>
          <w:szCs w:val="30"/>
          <w:lang w:eastAsia="zh-CN"/>
        </w:rPr>
        <w:t>一）</w:t>
      </w:r>
      <w:r>
        <w:rPr>
          <w:rFonts w:hint="eastAsia" w:ascii="黑体" w:hAnsi="黑体" w:eastAsia="黑体" w:cs="黑体"/>
          <w:color w:val="auto"/>
          <w:sz w:val="30"/>
          <w:szCs w:val="30"/>
        </w:rPr>
        <w:t>部门职责</w:t>
      </w:r>
    </w:p>
    <w:p>
      <w:pPr>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贯彻执行《中国共产主义青年团章程》，在全</w:t>
      </w:r>
      <w:r>
        <w:rPr>
          <w:rFonts w:hint="eastAsia" w:ascii="仿宋" w:hAnsi="仿宋" w:eastAsia="仿宋" w:cs="仿宋"/>
          <w:color w:val="auto"/>
          <w:sz w:val="30"/>
          <w:szCs w:val="30"/>
          <w:lang w:val="en-US" w:eastAsia="zh-CN"/>
        </w:rPr>
        <w:t>区</w:t>
      </w:r>
      <w:r>
        <w:rPr>
          <w:rFonts w:hint="eastAsia" w:ascii="仿宋" w:hAnsi="仿宋" w:eastAsia="仿宋" w:cs="仿宋"/>
          <w:color w:val="auto"/>
          <w:sz w:val="30"/>
          <w:szCs w:val="30"/>
        </w:rPr>
        <w:t>团的代表大会闭会期间，执行代表大会的决议、领导全</w:t>
      </w:r>
      <w:r>
        <w:rPr>
          <w:rFonts w:hint="eastAsia" w:ascii="仿宋" w:hAnsi="仿宋" w:eastAsia="仿宋" w:cs="仿宋"/>
          <w:color w:val="auto"/>
          <w:sz w:val="30"/>
          <w:szCs w:val="30"/>
          <w:lang w:val="en-US" w:eastAsia="zh-CN"/>
        </w:rPr>
        <w:t>区</w:t>
      </w:r>
      <w:r>
        <w:rPr>
          <w:rFonts w:hint="eastAsia" w:ascii="仿宋" w:hAnsi="仿宋" w:eastAsia="仿宋" w:cs="仿宋"/>
          <w:color w:val="auto"/>
          <w:sz w:val="30"/>
          <w:szCs w:val="30"/>
        </w:rPr>
        <w:t>团的工作</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受</w:t>
      </w:r>
      <w:r>
        <w:rPr>
          <w:rFonts w:hint="eastAsia" w:ascii="仿宋" w:hAnsi="仿宋" w:eastAsia="仿宋" w:cs="仿宋"/>
          <w:color w:val="auto"/>
          <w:sz w:val="30"/>
          <w:szCs w:val="30"/>
          <w:lang w:val="en-US" w:eastAsia="zh-CN"/>
        </w:rPr>
        <w:t>区</w:t>
      </w:r>
      <w:r>
        <w:rPr>
          <w:rFonts w:hint="eastAsia" w:ascii="仿宋" w:hAnsi="仿宋" w:eastAsia="仿宋" w:cs="仿宋"/>
          <w:color w:val="auto"/>
          <w:sz w:val="30"/>
          <w:szCs w:val="30"/>
        </w:rPr>
        <w:t>委的委托领导全</w:t>
      </w:r>
      <w:r>
        <w:rPr>
          <w:rFonts w:hint="eastAsia" w:ascii="仿宋" w:hAnsi="仿宋" w:eastAsia="仿宋" w:cs="仿宋"/>
          <w:color w:val="auto"/>
          <w:sz w:val="30"/>
          <w:szCs w:val="30"/>
          <w:lang w:val="en-US" w:eastAsia="zh-CN"/>
        </w:rPr>
        <w:t>区</w:t>
      </w:r>
      <w:r>
        <w:rPr>
          <w:rFonts w:hint="eastAsia" w:ascii="仿宋" w:hAnsi="仿宋" w:eastAsia="仿宋" w:cs="仿宋"/>
          <w:color w:val="auto"/>
          <w:sz w:val="30"/>
          <w:szCs w:val="30"/>
        </w:rPr>
        <w:t>少先队工作</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指导赫山区青年联合会开展工作</w:t>
      </w:r>
      <w:r>
        <w:rPr>
          <w:rFonts w:hint="eastAsia" w:ascii="仿宋" w:hAnsi="仿宋" w:eastAsia="仿宋" w:cs="仿宋"/>
          <w:color w:val="auto"/>
          <w:sz w:val="30"/>
          <w:szCs w:val="30"/>
          <w:lang w:eastAsia="zh-CN"/>
        </w:rPr>
        <w:t>。</w:t>
      </w:r>
    </w:p>
    <w:p>
      <w:pPr>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教育和引导团员青年高举中国特色社会主义伟大旗帜，</w:t>
      </w:r>
      <w:r>
        <w:rPr>
          <w:rFonts w:hint="eastAsia" w:ascii="仿宋" w:hAnsi="仿宋" w:eastAsia="仿宋" w:cs="仿宋"/>
          <w:color w:val="auto"/>
          <w:sz w:val="30"/>
          <w:szCs w:val="30"/>
          <w:lang w:val="en-US" w:eastAsia="zh-CN"/>
        </w:rPr>
        <w:t>贯</w:t>
      </w:r>
      <w:r>
        <w:rPr>
          <w:rFonts w:hint="eastAsia" w:ascii="仿宋" w:hAnsi="仿宋" w:eastAsia="仿宋" w:cs="仿宋"/>
          <w:color w:val="auto"/>
          <w:sz w:val="30"/>
          <w:szCs w:val="30"/>
        </w:rPr>
        <w:t>彻落实党的基本路线、方针、政策和决策部署。</w:t>
      </w:r>
    </w:p>
    <w:p>
      <w:pPr>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高举爱国主义旗帜，维护和发展各族各界青年的团结友爱，推动本</w:t>
      </w:r>
      <w:r>
        <w:rPr>
          <w:rFonts w:hint="eastAsia" w:ascii="仿宋" w:hAnsi="仿宋" w:eastAsia="仿宋" w:cs="仿宋"/>
          <w:color w:val="auto"/>
          <w:sz w:val="30"/>
          <w:szCs w:val="30"/>
          <w:lang w:val="en-US" w:eastAsia="zh-CN"/>
        </w:rPr>
        <w:t>区</w:t>
      </w:r>
      <w:r>
        <w:rPr>
          <w:rFonts w:hint="eastAsia" w:ascii="仿宋" w:hAnsi="仿宋" w:eastAsia="仿宋" w:cs="仿宋"/>
          <w:color w:val="auto"/>
          <w:sz w:val="30"/>
          <w:szCs w:val="30"/>
        </w:rPr>
        <w:t>青少年对外交流和合作。　　</w:t>
      </w:r>
    </w:p>
    <w:p>
      <w:pPr>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坚持党建带团建，把党的要求贯彻落实到团的建设</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提高团的建设科学化水平，巩固团建工作基础，扩大团的有效覆盖，加强对相关社会组织的联系、服务和引导，完善青年组织体系，充分发挥党联系青年的桥梁和纽带作用。</w:t>
      </w:r>
    </w:p>
    <w:p>
      <w:pPr>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5、围绕区委、区政府中心工作，</w:t>
      </w:r>
      <w:r>
        <w:rPr>
          <w:rFonts w:hint="eastAsia" w:ascii="仿宋" w:hAnsi="仿宋" w:eastAsia="仿宋" w:cs="仿宋"/>
          <w:color w:val="auto"/>
          <w:sz w:val="30"/>
          <w:szCs w:val="30"/>
        </w:rPr>
        <w:t>适应全</w:t>
      </w:r>
      <w:r>
        <w:rPr>
          <w:rFonts w:hint="eastAsia" w:ascii="仿宋" w:hAnsi="仿宋" w:eastAsia="仿宋" w:cs="仿宋"/>
          <w:color w:val="auto"/>
          <w:sz w:val="30"/>
          <w:szCs w:val="30"/>
          <w:lang w:val="en-US" w:eastAsia="zh-CN"/>
        </w:rPr>
        <w:t>区</w:t>
      </w:r>
      <w:r>
        <w:rPr>
          <w:rFonts w:hint="eastAsia" w:ascii="仿宋" w:hAnsi="仿宋" w:eastAsia="仿宋" w:cs="仿宋"/>
          <w:color w:val="auto"/>
          <w:sz w:val="30"/>
          <w:szCs w:val="30"/>
        </w:rPr>
        <w:t>经济、政治、文化、社会、生态建设的需要</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组织开展形式多样、适合青年特点的活动</w:t>
      </w:r>
    </w:p>
    <w:p>
      <w:pPr>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关心青少年的工作、学习和生活，围绕党政所需、青少年所急、共青团所能，切实服务青少年</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参与有关全区性青少年</w:t>
      </w:r>
      <w:r>
        <w:rPr>
          <w:rFonts w:hint="eastAsia" w:ascii="仿宋" w:hAnsi="仿宋" w:eastAsia="仿宋" w:cs="仿宋"/>
          <w:color w:val="auto"/>
          <w:sz w:val="30"/>
          <w:szCs w:val="30"/>
          <w:lang w:eastAsia="zh-CN"/>
        </w:rPr>
        <w:t>文件</w:t>
      </w:r>
      <w:r>
        <w:rPr>
          <w:rFonts w:hint="eastAsia" w:ascii="仿宋" w:hAnsi="仿宋" w:eastAsia="仿宋" w:cs="仿宋"/>
          <w:color w:val="auto"/>
          <w:sz w:val="30"/>
          <w:szCs w:val="30"/>
        </w:rPr>
        <w:t>的起草、实施、监督等工作</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积极保护青少年合法权益，有效预防青少年违法犯</w:t>
      </w:r>
      <w:r>
        <w:rPr>
          <w:rFonts w:hint="eastAsia" w:ascii="仿宋" w:hAnsi="仿宋" w:eastAsia="仿宋" w:cs="仿宋"/>
          <w:color w:val="auto"/>
          <w:sz w:val="30"/>
          <w:szCs w:val="30"/>
          <w:lang w:val="en-US" w:eastAsia="zh-CN"/>
        </w:rPr>
        <w:t>罪；</w:t>
      </w:r>
      <w:r>
        <w:rPr>
          <w:rFonts w:hint="eastAsia" w:ascii="仿宋" w:hAnsi="仿宋" w:eastAsia="仿宋" w:cs="仿宋"/>
          <w:color w:val="auto"/>
          <w:sz w:val="30"/>
          <w:szCs w:val="30"/>
        </w:rPr>
        <w:t>承担区预防青少年违法犯罪工作领导小组办公室的日常工作。</w:t>
      </w:r>
    </w:p>
    <w:p>
      <w:pPr>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加强网上共青团建设，综合运用互联网新技术实现对青少年的有效服务、联系和凝聚，加强对青少年的网上宣传教育。</w:t>
      </w:r>
    </w:p>
    <w:p>
      <w:pPr>
        <w:pageBreakBefore w:val="0"/>
        <w:widowControl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调查研究青少年生存发展和青少年工作</w:t>
      </w:r>
      <w:r>
        <w:rPr>
          <w:rFonts w:hint="eastAsia" w:ascii="仿宋" w:hAnsi="仿宋" w:eastAsia="仿宋" w:cs="仿宋"/>
          <w:color w:val="auto"/>
          <w:sz w:val="30"/>
          <w:szCs w:val="30"/>
          <w:lang w:eastAsia="zh-CN"/>
        </w:rPr>
        <w:t>现</w:t>
      </w:r>
      <w:r>
        <w:rPr>
          <w:rFonts w:hint="eastAsia" w:ascii="仿宋" w:hAnsi="仿宋" w:eastAsia="仿宋" w:cs="仿宋"/>
          <w:color w:val="auto"/>
          <w:sz w:val="30"/>
          <w:szCs w:val="30"/>
        </w:rPr>
        <w:t>状，向</w:t>
      </w:r>
      <w:r>
        <w:rPr>
          <w:rFonts w:hint="eastAsia" w:ascii="仿宋" w:hAnsi="仿宋" w:eastAsia="仿宋" w:cs="仿宋"/>
          <w:color w:val="auto"/>
          <w:sz w:val="30"/>
          <w:szCs w:val="30"/>
          <w:lang w:val="en-US" w:eastAsia="zh-CN"/>
        </w:rPr>
        <w:t>区</w:t>
      </w:r>
      <w:r>
        <w:rPr>
          <w:rFonts w:hint="eastAsia" w:ascii="仿宋" w:hAnsi="仿宋" w:eastAsia="仿宋" w:cs="仿宋"/>
          <w:color w:val="auto"/>
          <w:sz w:val="30"/>
          <w:szCs w:val="30"/>
        </w:rPr>
        <w:t>委、</w:t>
      </w:r>
      <w:r>
        <w:rPr>
          <w:rFonts w:hint="eastAsia" w:ascii="仿宋" w:hAnsi="仿宋" w:eastAsia="仿宋" w:cs="仿宋"/>
          <w:color w:val="auto"/>
          <w:sz w:val="30"/>
          <w:szCs w:val="30"/>
          <w:lang w:val="en-US" w:eastAsia="zh-CN"/>
        </w:rPr>
        <w:t>区</w:t>
      </w:r>
      <w:r>
        <w:rPr>
          <w:rFonts w:hint="eastAsia" w:ascii="仿宋" w:hAnsi="仿宋" w:eastAsia="仿宋" w:cs="仿宋"/>
          <w:color w:val="auto"/>
          <w:sz w:val="30"/>
          <w:szCs w:val="30"/>
        </w:rPr>
        <w:t>政府反映青少年的意见和要求，协助</w:t>
      </w:r>
      <w:r>
        <w:rPr>
          <w:rFonts w:hint="eastAsia" w:ascii="仿宋" w:hAnsi="仿宋" w:eastAsia="仿宋" w:cs="仿宋"/>
          <w:color w:val="auto"/>
          <w:sz w:val="30"/>
          <w:szCs w:val="30"/>
          <w:lang w:val="en-US" w:eastAsia="zh-CN"/>
        </w:rPr>
        <w:t>区</w:t>
      </w:r>
      <w:r>
        <w:rPr>
          <w:rFonts w:hint="eastAsia" w:ascii="仿宋" w:hAnsi="仿宋" w:eastAsia="仿宋" w:cs="仿宋"/>
          <w:color w:val="auto"/>
          <w:sz w:val="30"/>
          <w:szCs w:val="30"/>
        </w:rPr>
        <w:t>政府管理青少年事务，积极参与社会主义协商民主建设。</w:t>
      </w:r>
    </w:p>
    <w:p>
      <w:pPr>
        <w:pageBreakBefore w:val="0"/>
        <w:widowControl w:val="0"/>
        <w:kinsoku/>
        <w:wordWrap/>
        <w:overflowPunct/>
        <w:topLinePunct w:val="0"/>
        <w:bidi w:val="0"/>
        <w:snapToGrid/>
        <w:spacing w:line="600" w:lineRule="exact"/>
        <w:ind w:firstLine="600" w:firstLineChars="200"/>
        <w:textAlignment w:val="auto"/>
        <w:rPr>
          <w:rFonts w:hint="default" w:eastAsiaTheme="minorEastAsia"/>
          <w:lang w:val="en-US" w:eastAsia="zh-CN"/>
        </w:rPr>
      </w:pP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加强全</w:t>
      </w:r>
      <w:r>
        <w:rPr>
          <w:rFonts w:hint="eastAsia" w:ascii="仿宋" w:hAnsi="仿宋" w:eastAsia="仿宋" w:cs="仿宋"/>
          <w:color w:val="auto"/>
          <w:sz w:val="30"/>
          <w:szCs w:val="30"/>
          <w:lang w:val="en-US" w:eastAsia="zh-CN"/>
        </w:rPr>
        <w:t>区</w:t>
      </w:r>
      <w:r>
        <w:rPr>
          <w:rFonts w:hint="eastAsia" w:ascii="仿宋" w:hAnsi="仿宋" w:eastAsia="仿宋" w:cs="仿宋"/>
          <w:color w:val="auto"/>
          <w:sz w:val="30"/>
          <w:szCs w:val="30"/>
        </w:rPr>
        <w:t>团干部队伍建设，推动选好配强各级团的领导班子</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落实从严治团，强化团员和团</w:t>
      </w:r>
      <w:r>
        <w:rPr>
          <w:rFonts w:hint="eastAsia" w:ascii="仿宋" w:hAnsi="仿宋" w:eastAsia="仿宋" w:cs="仿宋"/>
          <w:color w:val="auto"/>
          <w:sz w:val="30"/>
          <w:szCs w:val="30"/>
          <w:lang w:val="en-US" w:eastAsia="zh-CN"/>
        </w:rPr>
        <w:t>干</w:t>
      </w:r>
      <w:r>
        <w:rPr>
          <w:rFonts w:hint="eastAsia" w:ascii="仿宋" w:hAnsi="仿宋" w:eastAsia="仿宋" w:cs="仿宋"/>
          <w:color w:val="auto"/>
          <w:sz w:val="30"/>
          <w:szCs w:val="30"/>
        </w:rPr>
        <w:t>部教育管理，严格团干部考核监督</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协助党组织管理、选拔和培训共青团干部；指导全区共青团组织协助有关部门开展青年人力资源开发工作。</w:t>
      </w:r>
      <w:r>
        <w:rPr>
          <w:rFonts w:hint="eastAsia" w:ascii="仿宋" w:hAnsi="仿宋" w:eastAsia="仿宋" w:cs="仿宋"/>
          <w:color w:val="auto"/>
          <w:sz w:val="30"/>
          <w:szCs w:val="30"/>
          <w:lang w:val="en-US" w:eastAsia="zh-CN"/>
        </w:rPr>
        <w:t xml:space="preserve">  </w:t>
      </w:r>
    </w:p>
    <w:p>
      <w:pPr>
        <w:pageBreakBefore w:val="0"/>
        <w:widowControl/>
        <w:kinsoku/>
        <w:wordWrap/>
        <w:overflowPunct/>
        <w:topLinePunct w:val="0"/>
        <w:bidi w:val="0"/>
        <w:snapToGrid/>
        <w:spacing w:line="600" w:lineRule="exact"/>
        <w:ind w:firstLine="602" w:firstLineChars="200"/>
        <w:jc w:val="left"/>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 （</w:t>
      </w:r>
      <w:r>
        <w:rPr>
          <w:rFonts w:hint="eastAsia" w:ascii="仿宋" w:hAnsi="仿宋" w:eastAsia="仿宋" w:cs="仿宋"/>
          <w:b/>
          <w:bCs/>
          <w:color w:val="auto"/>
          <w:sz w:val="30"/>
          <w:szCs w:val="30"/>
          <w:lang w:eastAsia="zh-CN"/>
        </w:rPr>
        <w:t>二</w:t>
      </w:r>
      <w:r>
        <w:rPr>
          <w:rFonts w:hint="eastAsia" w:ascii="仿宋" w:hAnsi="仿宋" w:eastAsia="仿宋" w:cs="仿宋"/>
          <w:b/>
          <w:bCs/>
          <w:color w:val="auto"/>
          <w:sz w:val="30"/>
          <w:szCs w:val="30"/>
        </w:rPr>
        <w:t>）机构设置</w:t>
      </w:r>
    </w:p>
    <w:p>
      <w:pPr>
        <w:pageBreakBefore w:val="0"/>
        <w:widowControl/>
        <w:kinsoku/>
        <w:wordWrap/>
        <w:overflowPunct/>
        <w:topLinePunct w:val="0"/>
        <w:bidi w:val="0"/>
        <w:snapToGrid/>
        <w:spacing w:line="600" w:lineRule="exact"/>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共青团赫山区委系行政独立预算单位，共有</w:t>
      </w:r>
      <w:r>
        <w:rPr>
          <w:rFonts w:hint="eastAsia" w:ascii="仿宋" w:hAnsi="仿宋" w:eastAsia="仿宋" w:cs="仿宋"/>
          <w:color w:val="auto"/>
          <w:sz w:val="30"/>
          <w:szCs w:val="30"/>
          <w:lang w:eastAsia="zh-CN"/>
        </w:rPr>
        <w:t>一个内设</w:t>
      </w:r>
      <w:r>
        <w:rPr>
          <w:rFonts w:hint="eastAsia" w:ascii="仿宋" w:hAnsi="仿宋" w:eastAsia="仿宋" w:cs="仿宋"/>
          <w:color w:val="auto"/>
          <w:sz w:val="30"/>
          <w:szCs w:val="30"/>
        </w:rPr>
        <w:t>科室：</w:t>
      </w:r>
      <w:r>
        <w:rPr>
          <w:rFonts w:hint="eastAsia" w:ascii="仿宋" w:hAnsi="仿宋" w:eastAsia="仿宋" w:cs="仿宋"/>
          <w:color w:val="auto"/>
          <w:sz w:val="30"/>
          <w:szCs w:val="30"/>
          <w:lang w:val="en-US" w:eastAsia="zh-CN"/>
        </w:rPr>
        <w:t>综合部</w:t>
      </w:r>
      <w:r>
        <w:rPr>
          <w:rFonts w:hint="eastAsia" w:ascii="仿宋" w:hAnsi="仿宋" w:eastAsia="仿宋" w:cs="仿宋"/>
          <w:color w:val="auto"/>
          <w:sz w:val="30"/>
          <w:szCs w:val="30"/>
          <w:lang w:eastAsia="zh-CN"/>
        </w:rPr>
        <w:t>和一个二级机构</w:t>
      </w:r>
      <w:r>
        <w:rPr>
          <w:rFonts w:hint="eastAsia" w:ascii="仿宋" w:hAnsi="仿宋" w:eastAsia="仿宋" w:cs="仿宋"/>
          <w:color w:val="auto"/>
          <w:sz w:val="30"/>
          <w:szCs w:val="30"/>
        </w:rPr>
        <w:t>益阳市赫山区青年志愿服务工作指导中心。</w:t>
      </w:r>
    </w:p>
    <w:p>
      <w:pPr>
        <w:pageBreakBefore w:val="0"/>
        <w:widowControl/>
        <w:kinsoku/>
        <w:wordWrap/>
        <w:overflowPunct/>
        <w:topLinePunct w:val="0"/>
        <w:bidi w:val="0"/>
        <w:snapToGrid/>
        <w:spacing w:line="600" w:lineRule="exact"/>
        <w:ind w:firstLine="602" w:firstLineChars="200"/>
        <w:jc w:val="left"/>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（三）人员编制情况</w:t>
      </w:r>
    </w:p>
    <w:p>
      <w:pPr>
        <w:pageBreakBefore w:val="0"/>
        <w:widowControl/>
        <w:kinsoku/>
        <w:wordWrap/>
        <w:overflowPunct/>
        <w:topLinePunct w:val="0"/>
        <w:bidi w:val="0"/>
        <w:snapToGrid/>
        <w:spacing w:line="600" w:lineRule="exact"/>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共青团赫山区委</w:t>
      </w:r>
      <w:r>
        <w:rPr>
          <w:rFonts w:hint="eastAsia" w:ascii="仿宋" w:hAnsi="仿宋" w:eastAsia="仿宋" w:cs="仿宋"/>
          <w:color w:val="auto"/>
          <w:sz w:val="30"/>
          <w:szCs w:val="30"/>
          <w:lang w:val="en-US" w:eastAsia="zh-CN"/>
        </w:rPr>
        <w:t>核定行政编制数4名，事业编制数2名，2021年在编在岗行政人员4人，事业编制人员2名，无退休人员。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二、一般公共预算支出情况</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基本支出</w:t>
      </w:r>
      <w:r>
        <w:rPr>
          <w:rFonts w:hint="eastAsia" w:ascii="仿宋" w:hAnsi="仿宋" w:eastAsia="仿宋" w:cs="仿宋"/>
          <w:b/>
          <w:bCs/>
          <w:sz w:val="30"/>
          <w:szCs w:val="30"/>
          <w:lang w:val="en-US" w:eastAsia="zh-CN"/>
        </w:rPr>
        <w:t>情况</w:t>
      </w:r>
    </w:p>
    <w:p>
      <w:pPr>
        <w:pStyle w:val="8"/>
        <w:pageBreakBefore w:val="0"/>
        <w:kinsoku/>
        <w:wordWrap/>
        <w:overflowPunct/>
        <w:topLinePunct w:val="0"/>
        <w:bidi w:val="0"/>
        <w:snapToGrid/>
        <w:spacing w:line="600" w:lineRule="exact"/>
        <w:ind w:firstLine="600" w:firstLineChars="200"/>
        <w:textAlignment w:val="auto"/>
        <w:rPr>
          <w:rFonts w:hint="eastAsia"/>
        </w:rPr>
      </w:pPr>
      <w:r>
        <w:rPr>
          <w:rFonts w:hint="eastAsia" w:ascii="仿宋" w:hAnsi="仿宋" w:eastAsia="仿宋" w:cs="仿宋"/>
          <w:i w:val="0"/>
          <w:caps w:val="0"/>
          <w:color w:val="333333"/>
          <w:spacing w:val="0"/>
          <w:kern w:val="0"/>
          <w:sz w:val="30"/>
          <w:szCs w:val="30"/>
          <w:shd w:val="clear" w:fill="FFFFFF"/>
          <w:lang w:val="en-US" w:eastAsia="zh-CN" w:bidi="ar"/>
        </w:rPr>
        <w:t>基本支出是指为保障单位机构正常运转、完成日常工作任务而发生的各项支出，</w:t>
      </w:r>
      <w:r>
        <w:rPr>
          <w:rFonts w:hint="eastAsia" w:ascii="仿宋" w:hAnsi="仿宋" w:eastAsia="仿宋" w:cs="仿宋"/>
          <w:sz w:val="30"/>
          <w:szCs w:val="30"/>
        </w:rPr>
        <w:t>包括用于基本工资、津贴补贴等人员经费以及办公费、印刷费、水电费、办公设备购置等日常公用经费。2021年</w:t>
      </w:r>
      <w:r>
        <w:rPr>
          <w:rFonts w:hint="eastAsia" w:ascii="仿宋" w:hAnsi="仿宋" w:eastAsia="仿宋" w:cs="仿宋"/>
          <w:sz w:val="30"/>
          <w:szCs w:val="30"/>
          <w:lang w:val="en-US" w:eastAsia="zh-CN"/>
        </w:rPr>
        <w:t>基本</w:t>
      </w:r>
      <w:r>
        <w:rPr>
          <w:rFonts w:hint="eastAsia" w:ascii="仿宋" w:hAnsi="仿宋" w:eastAsia="仿宋" w:cs="仿宋"/>
          <w:sz w:val="30"/>
          <w:szCs w:val="30"/>
        </w:rPr>
        <w:t>支出为</w:t>
      </w:r>
      <w:r>
        <w:rPr>
          <w:rFonts w:hint="eastAsia" w:ascii="仿宋" w:hAnsi="仿宋" w:eastAsia="仿宋" w:cs="仿宋"/>
          <w:sz w:val="30"/>
          <w:szCs w:val="30"/>
          <w:lang w:val="en-US" w:eastAsia="zh-CN"/>
        </w:rPr>
        <w:t>131.83</w:t>
      </w:r>
      <w:r>
        <w:rPr>
          <w:rFonts w:hint="eastAsia" w:ascii="仿宋" w:hAnsi="仿宋" w:eastAsia="仿宋" w:cs="仿宋"/>
          <w:sz w:val="30"/>
          <w:szCs w:val="30"/>
        </w:rPr>
        <w:t>万元，</w:t>
      </w:r>
      <w:r>
        <w:rPr>
          <w:rFonts w:hint="eastAsia" w:ascii="仿宋" w:hAnsi="仿宋" w:eastAsia="仿宋" w:cs="仿宋"/>
          <w:i w:val="0"/>
          <w:caps w:val="0"/>
          <w:color w:val="333333"/>
          <w:spacing w:val="0"/>
          <w:kern w:val="0"/>
          <w:sz w:val="30"/>
          <w:szCs w:val="30"/>
          <w:shd w:val="clear" w:fill="FFFFFF"/>
          <w:lang w:val="en-US" w:eastAsia="zh-CN" w:bidi="ar"/>
        </w:rPr>
        <w:t>较上年增加8.23万元，增加6.67%，其中人员经费支出90.64万元，占基本支出的68.75%，较上年增加0.89 %，主要是由于原因:人员调资，增加人员经费；公用经费支出支出41.18万元,占基本支出的 31.25%,较上年增加1.9%，基本持平。</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02" w:firstLineChars="20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项目支出</w:t>
      </w:r>
      <w:r>
        <w:rPr>
          <w:rFonts w:hint="eastAsia" w:ascii="仿宋" w:hAnsi="仿宋" w:eastAsia="仿宋" w:cs="仿宋"/>
          <w:b/>
          <w:bCs/>
          <w:sz w:val="30"/>
          <w:szCs w:val="30"/>
          <w:lang w:val="en-US" w:eastAsia="zh-CN"/>
        </w:rPr>
        <w:t>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i w:val="0"/>
          <w:caps w:val="0"/>
          <w:color w:val="333333"/>
          <w:spacing w:val="0"/>
          <w:kern w:val="0"/>
          <w:sz w:val="30"/>
          <w:szCs w:val="30"/>
          <w:shd w:val="clear" w:fill="FFFFFF"/>
          <w:lang w:val="en-US" w:eastAsia="zh-CN" w:bidi="ar"/>
        </w:rPr>
        <w:t>项目支出是指单位为完成特定行政工作任务或事业发展目标而发生的支出。2021年项目支出25.15万元。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三、政府性基金预算支出情况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sz w:val="30"/>
          <w:szCs w:val="30"/>
        </w:rPr>
        <w:t>2021年本单位无政府性基金预算支出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四、国有资本经营预算支出情况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sz w:val="30"/>
          <w:szCs w:val="30"/>
        </w:rPr>
        <w:t>2021年本单位无</w:t>
      </w:r>
      <w:r>
        <w:rPr>
          <w:rFonts w:hint="eastAsia" w:ascii="仿宋" w:hAnsi="仿宋" w:eastAsia="仿宋" w:cs="仿宋"/>
          <w:color w:val="auto"/>
          <w:kern w:val="0"/>
          <w:sz w:val="30"/>
          <w:szCs w:val="30"/>
          <w:lang w:val="en-US" w:eastAsia="zh-CN" w:bidi="ar-SA"/>
        </w:rPr>
        <w:t>国有资本经营</w:t>
      </w:r>
      <w:r>
        <w:rPr>
          <w:rFonts w:hint="eastAsia" w:ascii="仿宋" w:hAnsi="仿宋" w:eastAsia="仿宋" w:cs="仿宋"/>
          <w:color w:val="auto"/>
          <w:sz w:val="30"/>
          <w:szCs w:val="30"/>
        </w:rPr>
        <w:t>预算支出</w:t>
      </w:r>
      <w:bookmarkStart w:id="0" w:name="_GoBack"/>
      <w:bookmarkEnd w:id="0"/>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五、社会保险基金预算支出情况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sz w:val="30"/>
          <w:szCs w:val="30"/>
        </w:rPr>
        <w:t>2021年本单位无</w:t>
      </w:r>
      <w:r>
        <w:rPr>
          <w:rFonts w:hint="eastAsia" w:ascii="仿宋" w:hAnsi="仿宋" w:eastAsia="仿宋" w:cs="仿宋"/>
          <w:color w:val="auto"/>
          <w:sz w:val="30"/>
          <w:szCs w:val="30"/>
          <w:lang w:val="en-US" w:eastAsia="zh-CN"/>
        </w:rPr>
        <w:t>社会保险</w:t>
      </w:r>
      <w:r>
        <w:rPr>
          <w:rFonts w:hint="eastAsia" w:ascii="仿宋" w:hAnsi="仿宋" w:eastAsia="仿宋" w:cs="仿宋"/>
          <w:color w:val="auto"/>
          <w:kern w:val="0"/>
          <w:sz w:val="30"/>
          <w:szCs w:val="30"/>
          <w:lang w:val="en-US" w:eastAsia="zh-CN" w:bidi="ar-SA"/>
        </w:rPr>
        <w:t>经营</w:t>
      </w:r>
      <w:r>
        <w:rPr>
          <w:rFonts w:hint="eastAsia" w:ascii="仿宋" w:hAnsi="仿宋" w:eastAsia="仿宋" w:cs="仿宋"/>
          <w:color w:val="auto"/>
          <w:sz w:val="30"/>
          <w:szCs w:val="30"/>
        </w:rPr>
        <w:t>预算支出</w:t>
      </w:r>
      <w:r>
        <w:rPr>
          <w:rFonts w:hint="eastAsia" w:ascii="仿宋" w:hAnsi="仿宋" w:eastAsia="仿宋" w:cs="仿宋"/>
          <w:color w:val="auto"/>
          <w:sz w:val="30"/>
          <w:szCs w:val="30"/>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2" w:firstLineChars="200"/>
        <w:textAlignment w:val="auto"/>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六、部门整体支出绩效情况</w:t>
      </w:r>
    </w:p>
    <w:p>
      <w:pPr>
        <w:pageBreakBefore w:val="0"/>
        <w:widowControl/>
        <w:kinsoku/>
        <w:wordWrap/>
        <w:overflowPunct/>
        <w:topLinePunct w:val="0"/>
        <w:bidi w:val="0"/>
        <w:snapToGrid/>
        <w:spacing w:line="600" w:lineRule="exact"/>
        <w:ind w:firstLine="602" w:firstLineChars="200"/>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一</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预算绩效目标情况</w:t>
      </w:r>
    </w:p>
    <w:p>
      <w:pPr>
        <w:pageBreakBefore w:val="0"/>
        <w:widowControl/>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2021年共青团赫山区委整体支出绩效目标 </w:t>
      </w:r>
      <w:r>
        <w:rPr>
          <w:rFonts w:hint="eastAsia" w:ascii="仿宋" w:hAnsi="仿宋" w:eastAsia="仿宋" w:cs="仿宋"/>
          <w:color w:val="auto"/>
          <w:sz w:val="30"/>
          <w:szCs w:val="30"/>
          <w:lang w:val="en-US" w:eastAsia="zh-CN"/>
        </w:rPr>
        <w:t>156.98</w:t>
      </w:r>
      <w:r>
        <w:rPr>
          <w:rFonts w:hint="eastAsia" w:ascii="仿宋" w:hAnsi="仿宋" w:eastAsia="仿宋" w:cs="仿宋"/>
          <w:color w:val="auto"/>
          <w:sz w:val="30"/>
          <w:szCs w:val="30"/>
        </w:rPr>
        <w:t xml:space="preserve">万元，其中：基本支出 </w:t>
      </w:r>
      <w:r>
        <w:rPr>
          <w:rFonts w:hint="eastAsia" w:ascii="仿宋" w:hAnsi="仿宋" w:eastAsia="仿宋" w:cs="仿宋"/>
          <w:color w:val="auto"/>
          <w:sz w:val="30"/>
          <w:szCs w:val="30"/>
          <w:lang w:val="en-US" w:eastAsia="zh-CN"/>
        </w:rPr>
        <w:t>131.83</w:t>
      </w:r>
      <w:r>
        <w:rPr>
          <w:rFonts w:hint="eastAsia" w:ascii="仿宋" w:hAnsi="仿宋" w:eastAsia="仿宋" w:cs="仿宋"/>
          <w:color w:val="auto"/>
          <w:sz w:val="30"/>
          <w:szCs w:val="30"/>
        </w:rPr>
        <w:t>万元，项目支出</w:t>
      </w:r>
      <w:r>
        <w:rPr>
          <w:rFonts w:hint="eastAsia" w:ascii="仿宋" w:hAnsi="仿宋" w:eastAsia="仿宋" w:cs="仿宋"/>
          <w:color w:val="auto"/>
          <w:sz w:val="30"/>
          <w:szCs w:val="30"/>
          <w:lang w:val="en-US" w:eastAsia="zh-CN"/>
        </w:rPr>
        <w:t>25.15</w:t>
      </w:r>
      <w:r>
        <w:rPr>
          <w:rFonts w:hint="eastAsia" w:ascii="仿宋" w:hAnsi="仿宋" w:eastAsia="仿宋" w:cs="仿宋"/>
          <w:color w:val="auto"/>
          <w:sz w:val="30"/>
          <w:szCs w:val="30"/>
        </w:rPr>
        <w:t>万元。全部实行整体绩效目标管理，涉及一般公共预算当年拨款</w:t>
      </w:r>
      <w:r>
        <w:rPr>
          <w:rFonts w:hint="eastAsia" w:ascii="仿宋" w:hAnsi="仿宋" w:eastAsia="仿宋" w:cs="仿宋"/>
          <w:color w:val="auto"/>
          <w:sz w:val="30"/>
          <w:szCs w:val="30"/>
          <w:lang w:val="en-US" w:eastAsia="zh-CN"/>
        </w:rPr>
        <w:t>131.83</w:t>
      </w:r>
      <w:r>
        <w:rPr>
          <w:rFonts w:hint="eastAsia" w:ascii="仿宋" w:hAnsi="仿宋" w:eastAsia="仿宋" w:cs="仿宋"/>
          <w:color w:val="auto"/>
          <w:sz w:val="30"/>
          <w:szCs w:val="30"/>
        </w:rPr>
        <w:t>万元。</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auto"/>
          <w:kern w:val="0"/>
          <w:sz w:val="30"/>
          <w:szCs w:val="30"/>
          <w:lang w:val="en-US" w:eastAsia="zh-CN" w:bidi="ar-SA"/>
        </w:rPr>
      </w:pPr>
      <w:r>
        <w:rPr>
          <w:rFonts w:hint="eastAsia" w:ascii="仿宋" w:hAnsi="仿宋" w:eastAsia="仿宋" w:cs="仿宋"/>
          <w:b/>
          <w:bCs/>
          <w:color w:val="auto"/>
          <w:kern w:val="0"/>
          <w:sz w:val="30"/>
          <w:szCs w:val="30"/>
          <w:lang w:val="en-US" w:eastAsia="zh-CN" w:bidi="ar-SA"/>
        </w:rPr>
        <w:t>（二）部门整体支出绩效目标完成情况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预决算公开：根据区财政局的统一部署及相关要求，我委已在赫山信息网站上进行了预（决）算公开。</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存量资金管理：我委已实行国库集中支付管理。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资产管理：制定了《共青团益阳市赫山区委固定资产管理制度》，建立了固定资产台帐，指定专人管理，及时登记，科学使用，实现了“一物一卡一条码”。固定资产的调出、处置、报废、报损严格执行国家有关规定的审批程序办理。</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“三公”经费控制：2021年，我委“三公”经费支出0.5万元，其中：无公务用车运行维护费，公务接待费0.5万元，无出国出境费。</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内部控制制度建设：我委制定了《共青团益阳市赫山区委机关管理制度》、《财务管理制度》、《共青团益阳市赫山区委政府采购制度》、《共青团益阳市赫山区委资产管理制度》等一系列内部控制制度，相关制度合法合规、完整，并得到有效执行。</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绩效目标完成情况：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1.不断深化青少年思想政治引领，在全区共青团系统开展“七个一”系列活动；</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2.推动全国《中长期青年发展规划（2016—2025年）》试点建设纵深实施；</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3.坚定不移深化改革，不断强化团的基层建设；</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4.深入推进湖南共青团关爱青少年身心健康“十个一”工作。</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w:t>
      </w:r>
      <w:r>
        <w:rPr>
          <w:rFonts w:hint="eastAsia" w:ascii="仿宋" w:hAnsi="仿宋" w:eastAsia="仿宋" w:cs="仿宋"/>
          <w:b/>
          <w:bCs/>
          <w:color w:val="auto"/>
          <w:kern w:val="0"/>
          <w:sz w:val="30"/>
          <w:szCs w:val="30"/>
          <w:lang w:val="en-US" w:eastAsia="zh-CN"/>
        </w:rPr>
        <w:t>三</w:t>
      </w:r>
      <w:r>
        <w:rPr>
          <w:rFonts w:hint="eastAsia" w:ascii="仿宋" w:hAnsi="仿宋" w:eastAsia="仿宋" w:cs="仿宋"/>
          <w:b/>
          <w:bCs/>
          <w:color w:val="auto"/>
          <w:kern w:val="0"/>
          <w:sz w:val="30"/>
          <w:szCs w:val="30"/>
        </w:rPr>
        <w:t>）部门整体支出实施情况分析</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rPr>
        <w:t>我</w:t>
      </w:r>
      <w:r>
        <w:rPr>
          <w:rFonts w:hint="eastAsia" w:ascii="仿宋" w:hAnsi="仿宋" w:eastAsia="仿宋" w:cs="仿宋"/>
          <w:color w:val="auto"/>
          <w:kern w:val="0"/>
          <w:sz w:val="30"/>
          <w:szCs w:val="30"/>
          <w:lang w:val="en-US" w:eastAsia="zh-CN"/>
        </w:rPr>
        <w:t>委</w:t>
      </w:r>
      <w:r>
        <w:rPr>
          <w:rFonts w:hint="eastAsia" w:ascii="仿宋" w:hAnsi="仿宋" w:eastAsia="仿宋" w:cs="仿宋"/>
          <w:color w:val="auto"/>
          <w:kern w:val="0"/>
          <w:sz w:val="30"/>
          <w:szCs w:val="30"/>
        </w:rPr>
        <w:t>在部门整体支出中，严格按照年初预算安排，</w:t>
      </w:r>
      <w:r>
        <w:rPr>
          <w:rFonts w:hint="eastAsia" w:ascii="仿宋" w:hAnsi="仿宋" w:eastAsia="仿宋" w:cs="仿宋"/>
          <w:b w:val="0"/>
          <w:i w:val="0"/>
          <w:caps w:val="0"/>
          <w:color w:val="auto"/>
          <w:spacing w:val="0"/>
          <w:sz w:val="30"/>
          <w:szCs w:val="30"/>
          <w:highlight w:val="none"/>
          <w:shd w:val="clear" w:color="auto" w:fill="FFFFFF"/>
          <w:lang w:val="en-US" w:eastAsia="zh-CN"/>
        </w:rPr>
        <w:t>坚持“无预算，不支出；有预算，严格按预算支出”的原则，以及“细化预算和提前编制预算”原则，</w:t>
      </w:r>
      <w:r>
        <w:rPr>
          <w:rFonts w:hint="eastAsia" w:ascii="仿宋" w:hAnsi="仿宋" w:eastAsia="仿宋" w:cs="仿宋"/>
          <w:color w:val="auto"/>
          <w:kern w:val="0"/>
          <w:sz w:val="30"/>
          <w:szCs w:val="30"/>
        </w:rPr>
        <w:t>严格遵守资金管理制度，强化监督，专款专用，确保各项资金及时到位，无截留、挪用等现象。健全和完善管理制度，加强基本支出管理。严格审批程序，严格执行国家规定的开支范围及开支标准，量入为出，坚持联</w:t>
      </w:r>
      <w:r>
        <w:rPr>
          <w:rFonts w:hint="eastAsia" w:ascii="仿宋" w:hAnsi="仿宋" w:eastAsia="仿宋" w:cs="仿宋"/>
          <w:color w:val="auto"/>
          <w:kern w:val="0"/>
          <w:sz w:val="30"/>
          <w:szCs w:val="30"/>
          <w:lang w:val="en-US" w:eastAsia="zh-CN"/>
        </w:rPr>
        <w:t>审</w:t>
      </w:r>
      <w:r>
        <w:rPr>
          <w:rFonts w:hint="eastAsia" w:ascii="仿宋" w:hAnsi="仿宋" w:eastAsia="仿宋" w:cs="仿宋"/>
          <w:color w:val="auto"/>
          <w:kern w:val="0"/>
          <w:sz w:val="30"/>
          <w:szCs w:val="30"/>
        </w:rPr>
        <w:t>会</w:t>
      </w:r>
      <w:r>
        <w:rPr>
          <w:rFonts w:hint="eastAsia" w:ascii="仿宋" w:hAnsi="仿宋" w:eastAsia="仿宋" w:cs="仿宋"/>
          <w:color w:val="auto"/>
          <w:kern w:val="0"/>
          <w:sz w:val="30"/>
          <w:szCs w:val="30"/>
          <w:lang w:val="en-US" w:eastAsia="zh-CN"/>
        </w:rPr>
        <w:t>签</w:t>
      </w:r>
      <w:r>
        <w:rPr>
          <w:rFonts w:hint="eastAsia" w:ascii="仿宋" w:hAnsi="仿宋" w:eastAsia="仿宋" w:cs="仿宋"/>
          <w:color w:val="auto"/>
          <w:kern w:val="0"/>
          <w:sz w:val="30"/>
          <w:szCs w:val="30"/>
        </w:rPr>
        <w:t>制度。严格报账程序，实行国库集中支付制度，严格完善相关资料手续、审核审批程序，保证了各项资金使用的合理合规，充分发挥了各项资金的</w:t>
      </w:r>
      <w:r>
        <w:rPr>
          <w:rFonts w:hint="eastAsia" w:ascii="仿宋" w:hAnsi="仿宋" w:eastAsia="仿宋" w:cs="仿宋"/>
          <w:color w:val="auto"/>
          <w:kern w:val="0"/>
          <w:sz w:val="30"/>
          <w:szCs w:val="30"/>
          <w:lang w:val="en-US" w:eastAsia="zh-CN"/>
        </w:rPr>
        <w:t>使用</w:t>
      </w:r>
      <w:r>
        <w:rPr>
          <w:rFonts w:hint="eastAsia" w:ascii="仿宋" w:hAnsi="仿宋" w:eastAsia="仿宋" w:cs="仿宋"/>
          <w:color w:val="auto"/>
          <w:kern w:val="0"/>
          <w:sz w:val="30"/>
          <w:szCs w:val="30"/>
        </w:rPr>
        <w:t>效益。</w:t>
      </w:r>
      <w:r>
        <w:rPr>
          <w:rFonts w:hint="eastAsia" w:ascii="仿宋" w:hAnsi="仿宋" w:eastAsia="仿宋" w:cs="仿宋"/>
          <w:color w:val="auto"/>
          <w:kern w:val="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lang w:eastAsia="zh-CN"/>
        </w:rPr>
        <w:t>（</w:t>
      </w:r>
      <w:r>
        <w:rPr>
          <w:rFonts w:hint="eastAsia" w:ascii="仿宋" w:hAnsi="仿宋" w:eastAsia="仿宋" w:cs="仿宋"/>
          <w:b/>
          <w:bCs/>
          <w:color w:val="auto"/>
          <w:kern w:val="0"/>
          <w:sz w:val="30"/>
          <w:szCs w:val="30"/>
          <w:lang w:val="en-US" w:eastAsia="zh-CN"/>
        </w:rPr>
        <w:t>四</w:t>
      </w:r>
      <w:r>
        <w:rPr>
          <w:rFonts w:hint="eastAsia" w:ascii="仿宋" w:hAnsi="仿宋" w:eastAsia="仿宋" w:cs="仿宋"/>
          <w:b/>
          <w:bCs/>
          <w:color w:val="auto"/>
          <w:kern w:val="0"/>
          <w:sz w:val="30"/>
          <w:szCs w:val="30"/>
          <w:lang w:eastAsia="zh-CN"/>
        </w:rPr>
        <w:t>）绩效评价工作情况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rPr>
        <w:t>绩效评价目的</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本次绩效评价的目的是为了全面分析和综合评价我</w:t>
      </w:r>
      <w:r>
        <w:rPr>
          <w:rFonts w:hint="eastAsia" w:ascii="仿宋" w:hAnsi="仿宋" w:eastAsia="仿宋" w:cs="仿宋"/>
          <w:color w:val="auto"/>
          <w:kern w:val="0"/>
          <w:sz w:val="30"/>
          <w:szCs w:val="30"/>
          <w:lang w:val="en-US" w:eastAsia="zh-CN"/>
        </w:rPr>
        <w:t>委</w:t>
      </w:r>
      <w:r>
        <w:rPr>
          <w:rFonts w:hint="eastAsia" w:ascii="仿宋" w:hAnsi="仿宋" w:eastAsia="仿宋" w:cs="仿宋"/>
          <w:color w:val="auto"/>
          <w:kern w:val="0"/>
          <w:sz w:val="30"/>
          <w:szCs w:val="30"/>
        </w:rPr>
        <w:t>本级财政预算资金的使用管理情况，为切实提高财政资金使用效益，强化预算支出的责任和效率提供参考依据。</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绩效评价工作过程</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前期准备。按照绩效自评工作要求，成立以</w:t>
      </w:r>
      <w:r>
        <w:rPr>
          <w:rFonts w:hint="eastAsia" w:ascii="仿宋" w:hAnsi="仿宋" w:eastAsia="仿宋" w:cs="仿宋"/>
          <w:color w:val="auto"/>
          <w:kern w:val="0"/>
          <w:sz w:val="30"/>
          <w:szCs w:val="30"/>
          <w:lang w:eastAsia="zh-CN"/>
        </w:rPr>
        <w:t>区团委书记</w:t>
      </w:r>
      <w:r>
        <w:rPr>
          <w:rFonts w:hint="eastAsia" w:ascii="仿宋" w:hAnsi="仿宋" w:eastAsia="仿宋" w:cs="仿宋"/>
          <w:color w:val="auto"/>
          <w:kern w:val="0"/>
          <w:sz w:val="30"/>
          <w:szCs w:val="30"/>
          <w:lang w:val="en-US" w:eastAsia="zh-CN"/>
        </w:rPr>
        <w:t>喻哲丹</w:t>
      </w:r>
      <w:r>
        <w:rPr>
          <w:rFonts w:hint="eastAsia" w:ascii="仿宋" w:hAnsi="仿宋" w:eastAsia="仿宋" w:cs="仿宋"/>
          <w:color w:val="auto"/>
          <w:kern w:val="0"/>
          <w:sz w:val="30"/>
          <w:szCs w:val="30"/>
        </w:rPr>
        <w:t>为组长的绩效评价工作小组，对相关的国家法律法规进行了认真学习，掌握政策，根据部门整体收支情况制定了部门整体支出绩效评价实施方案。</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组织实施。采用核查法核查20</w:t>
      </w:r>
      <w:r>
        <w:rPr>
          <w:rFonts w:hint="eastAsia" w:ascii="仿宋" w:hAnsi="仿宋" w:eastAsia="仿宋" w:cs="仿宋"/>
          <w:color w:val="auto"/>
          <w:kern w:val="0"/>
          <w:sz w:val="30"/>
          <w:szCs w:val="30"/>
          <w:lang w:val="en-US" w:eastAsia="zh-CN"/>
        </w:rPr>
        <w:t>21</w:t>
      </w:r>
      <w:r>
        <w:rPr>
          <w:rFonts w:hint="eastAsia" w:ascii="仿宋" w:hAnsi="仿宋" w:eastAsia="仿宋" w:cs="仿宋"/>
          <w:color w:val="auto"/>
          <w:kern w:val="0"/>
          <w:sz w:val="30"/>
          <w:szCs w:val="30"/>
        </w:rPr>
        <w:t>年同级财政预算批复执行及部门整体支出情况，着重核查了“三公”经费及资产管理、内部控制制度等情况。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分析评价。对评价过程中收集资料进行归纳，汇总分析，依据设定的部门整体支出绩效评价指标体系进行了评分，形成了综合性书面报告。</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lang w:val="en-US" w:eastAsia="zh-CN"/>
        </w:rPr>
        <w:t>（五）</w:t>
      </w:r>
      <w:r>
        <w:rPr>
          <w:rFonts w:hint="eastAsia" w:ascii="仿宋" w:hAnsi="仿宋" w:eastAsia="仿宋" w:cs="仿宋"/>
          <w:b/>
          <w:bCs/>
          <w:color w:val="auto"/>
          <w:kern w:val="0"/>
          <w:sz w:val="30"/>
          <w:szCs w:val="30"/>
          <w:lang w:eastAsia="zh-CN"/>
        </w:rPr>
        <w:t>主要绩效及评价结论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rPr>
        <w:t>经济性分析</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本年预算配置控制较好。财政供养人员控制在预算编制以内，编制内在职人员控制率为100%；“三公”经费支出总额小，低于年初预算。</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预算执行方面。支出总额控制在预算总额以内，所有支出严格依照相关财务管理规定执行，特别重视量财办事、量力而行，严格控制标准、注重节约，少花钱办好事，各项支出都在合理范围内。</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预算管理方面。我</w:t>
      </w:r>
      <w:r>
        <w:rPr>
          <w:rFonts w:hint="eastAsia" w:ascii="仿宋" w:hAnsi="仿宋" w:eastAsia="仿宋" w:cs="仿宋"/>
          <w:color w:val="auto"/>
          <w:kern w:val="0"/>
          <w:sz w:val="30"/>
          <w:szCs w:val="30"/>
          <w:lang w:val="en-US" w:eastAsia="zh-CN"/>
        </w:rPr>
        <w:t>委</w:t>
      </w:r>
      <w:r>
        <w:rPr>
          <w:rFonts w:hint="eastAsia" w:ascii="仿宋" w:hAnsi="仿宋" w:eastAsia="仿宋" w:cs="仿宋"/>
          <w:color w:val="auto"/>
          <w:kern w:val="0"/>
          <w:sz w:val="30"/>
          <w:szCs w:val="30"/>
        </w:rPr>
        <w:t>制定了切实有效的内部管理制度和经费支出控制方案，有较强的内控风险管理意识、各项经费支出得到了有效控制。</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效率性分析</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2021年，团区委在区委、团市委的坚强领导下，坚持以习近平新时代中国特色社会主义思想为指导，深入贯彻党的十九大和十九届二中、三中、四中、五中、六中全会精神，深入贯彻习近平总书记关于青少年和共青团工作论述，特别是对湖南重要讲话重要指示批示精神，团结带领广大团员青年在决战新冠疫情、决胜全面小康中展现了青春风采、彰显了青年担当、凸显了青年作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rPr>
        <w:t>效益性分析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2021年</w:t>
      </w:r>
      <w:r>
        <w:rPr>
          <w:rFonts w:hint="eastAsia" w:ascii="仿宋" w:hAnsi="仿宋" w:eastAsia="仿宋" w:cs="仿宋"/>
          <w:color w:val="auto"/>
          <w:sz w:val="30"/>
          <w:szCs w:val="30"/>
          <w:lang w:eastAsia="zh-CN"/>
        </w:rPr>
        <w:t>，</w:t>
      </w:r>
      <w:r>
        <w:rPr>
          <w:rFonts w:hint="eastAsia" w:ascii="仿宋" w:hAnsi="仿宋" w:eastAsia="仿宋" w:cs="仿宋"/>
          <w:b w:val="0"/>
          <w:bCs w:val="0"/>
          <w:color w:val="auto"/>
          <w:kern w:val="2"/>
          <w:sz w:val="30"/>
          <w:szCs w:val="30"/>
          <w:lang w:val="en-US" w:eastAsia="zh-CN" w:bidi="ar-SA"/>
        </w:rPr>
        <w:t>区委常委会等会议专题研究全区共青团、少先队工作3次；向区委、政府提交报告5份；区委书记、区长等区级领导专题批示4次；追加工作经费16万元；承办市级以上活动4场；与其他部门联合行文18件；建立以区委副书记为第一召集人，涵盖区直部门、乡镇（街道、园区）等36个成员单位的区级青年发展工作联席会议，</w:t>
      </w:r>
      <w:r>
        <w:rPr>
          <w:rFonts w:hint="eastAsia" w:ascii="仿宋" w:hAnsi="仿宋" w:eastAsia="仿宋" w:cs="仿宋"/>
          <w:b w:val="0"/>
          <w:bCs w:val="0"/>
          <w:color w:val="auto"/>
          <w:sz w:val="30"/>
          <w:szCs w:val="30"/>
          <w:lang w:val="en-US" w:eastAsia="zh-CN"/>
        </w:rPr>
        <w:t>从工作上大力支持、资源上优先投入、力量上重点保障，千方百计为共青团、少先队工作创造有利条件。</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4.</w:t>
      </w:r>
      <w:r>
        <w:rPr>
          <w:rFonts w:hint="eastAsia" w:ascii="仿宋" w:hAnsi="仿宋" w:eastAsia="仿宋" w:cs="仿宋"/>
          <w:color w:val="auto"/>
          <w:kern w:val="0"/>
          <w:sz w:val="30"/>
          <w:szCs w:val="30"/>
        </w:rPr>
        <w:t>评价结论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一是预算执行到位。严格执行《预算法》和各项财经纪律，机关管理制度健全，财务管理规范，预算编制合理;</w:t>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二是资金监管到位。</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color w:val="auto"/>
          <w:kern w:val="0"/>
          <w:sz w:val="30"/>
          <w:szCs w:val="30"/>
          <w:lang w:val="en-US" w:eastAsia="zh-CN"/>
        </w:rPr>
      </w:pPr>
      <w:r>
        <w:rPr>
          <w:rFonts w:hint="eastAsia" w:ascii="黑体" w:hAnsi="黑体" w:eastAsia="黑体" w:cs="黑体"/>
          <w:b w:val="0"/>
          <w:bCs/>
          <w:color w:val="auto"/>
          <w:kern w:val="0"/>
          <w:sz w:val="30"/>
          <w:szCs w:val="30"/>
          <w:lang w:val="en-US" w:eastAsia="zh-CN"/>
        </w:rPr>
        <w:t>七</w:t>
      </w:r>
      <w:r>
        <w:rPr>
          <w:rFonts w:hint="eastAsia" w:ascii="黑体" w:hAnsi="黑体" w:eastAsia="黑体" w:cs="黑体"/>
          <w:b w:val="0"/>
          <w:bCs/>
          <w:color w:val="auto"/>
          <w:kern w:val="0"/>
          <w:sz w:val="30"/>
          <w:szCs w:val="30"/>
        </w:rPr>
        <w:t>、存在的问题</w:t>
      </w:r>
      <w:r>
        <w:rPr>
          <w:rFonts w:hint="eastAsia" w:ascii="黑体" w:hAnsi="黑体" w:eastAsia="黑体" w:cs="黑体"/>
          <w:b w:val="0"/>
          <w:bCs/>
          <w:color w:val="auto"/>
          <w:kern w:val="0"/>
          <w:sz w:val="30"/>
          <w:szCs w:val="30"/>
          <w:lang w:val="en-US" w:eastAsia="zh-CN"/>
        </w:rPr>
        <w:t>及原因分析</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因部分工作不可预见</w:t>
      </w:r>
      <w:r>
        <w:rPr>
          <w:rFonts w:hint="eastAsia" w:ascii="仿宋" w:hAnsi="仿宋" w:eastAsia="仿宋" w:cs="仿宋"/>
          <w:color w:val="auto"/>
          <w:kern w:val="0"/>
          <w:sz w:val="30"/>
          <w:szCs w:val="30"/>
          <w:lang w:val="en-US" w:eastAsia="zh-CN"/>
        </w:rPr>
        <w:t>性，有些支出</w:t>
      </w:r>
      <w:r>
        <w:rPr>
          <w:rFonts w:hint="eastAsia" w:ascii="仿宋" w:hAnsi="仿宋" w:eastAsia="仿宋" w:cs="仿宋"/>
          <w:color w:val="auto"/>
          <w:kern w:val="0"/>
          <w:sz w:val="30"/>
          <w:szCs w:val="30"/>
        </w:rPr>
        <w:t>无法纳入预算，导致预算执行存在偏差。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color w:val="auto"/>
          <w:kern w:val="0"/>
          <w:sz w:val="30"/>
          <w:szCs w:val="30"/>
          <w:lang w:val="en-US" w:eastAsia="zh-CN"/>
        </w:rPr>
      </w:pPr>
      <w:r>
        <w:rPr>
          <w:rFonts w:hint="eastAsia" w:ascii="黑体" w:hAnsi="黑体" w:eastAsia="黑体" w:cs="黑体"/>
          <w:b w:val="0"/>
          <w:bCs/>
          <w:color w:val="auto"/>
          <w:kern w:val="0"/>
          <w:sz w:val="30"/>
          <w:szCs w:val="30"/>
          <w:lang w:val="en-US" w:eastAsia="zh-CN"/>
        </w:rPr>
        <w:t>八、下一步改进措施</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提高认识，突出重点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1．提高对预算绩效管理的认识，充分理解财政绩效评价指标体系，注重绩效目标、评价指标的关联性，依据部门职责和年度工作重点，更加科学合理地确定部门绩效目标和评价目标。</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lang w:val="en-US" w:eastAsia="zh-CN"/>
        </w:rPr>
        <w:t>2．强化全过程预算绩效管理理念，强化部门项目选择与部门职责的相关性。按财政管理要求进一步建立完善项目库和内部项目选择机制，完善项目管理制度，实施项目事加强领导</w:t>
      </w:r>
      <w:r>
        <w:rPr>
          <w:rFonts w:hint="eastAsia" w:ascii="仿宋" w:hAnsi="仿宋" w:eastAsia="仿宋" w:cs="仿宋"/>
          <w:color w:val="auto"/>
          <w:kern w:val="0"/>
          <w:sz w:val="30"/>
          <w:szCs w:val="30"/>
        </w:rPr>
        <w:t>重视</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合理设定</w:t>
      </w:r>
      <w:r>
        <w:rPr>
          <w:rFonts w:hint="eastAsia" w:ascii="仿宋" w:hAnsi="仿宋" w:eastAsia="仿宋" w:cs="仿宋"/>
          <w:color w:val="auto"/>
          <w:kern w:val="0"/>
          <w:sz w:val="30"/>
          <w:szCs w:val="30"/>
        </w:rPr>
        <w:t>绩效目标</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强化</w:t>
      </w:r>
      <w:r>
        <w:rPr>
          <w:rFonts w:hint="eastAsia" w:ascii="仿宋" w:hAnsi="仿宋" w:eastAsia="仿宋" w:cs="仿宋"/>
          <w:color w:val="auto"/>
          <w:kern w:val="0"/>
          <w:sz w:val="30"/>
          <w:szCs w:val="30"/>
        </w:rPr>
        <w:t>管理措施</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科学编制</w:t>
      </w:r>
      <w:r>
        <w:rPr>
          <w:rFonts w:hint="eastAsia" w:ascii="仿宋" w:hAnsi="仿宋" w:eastAsia="仿宋" w:cs="仿宋"/>
          <w:color w:val="auto"/>
          <w:kern w:val="0"/>
          <w:sz w:val="30"/>
          <w:szCs w:val="30"/>
        </w:rPr>
        <w:t>预算,</w:t>
      </w:r>
      <w:r>
        <w:rPr>
          <w:rFonts w:hint="eastAsia" w:ascii="仿宋" w:hAnsi="仿宋" w:eastAsia="仿宋" w:cs="仿宋"/>
          <w:color w:val="auto"/>
          <w:kern w:val="0"/>
          <w:sz w:val="30"/>
          <w:szCs w:val="30"/>
          <w:lang w:val="en-US" w:eastAsia="zh-CN"/>
        </w:rPr>
        <w:t>认真组织</w:t>
      </w:r>
      <w:r>
        <w:rPr>
          <w:rFonts w:hint="eastAsia" w:ascii="仿宋" w:hAnsi="仿宋" w:eastAsia="仿宋" w:cs="仿宋"/>
          <w:color w:val="auto"/>
          <w:kern w:val="0"/>
          <w:sz w:val="30"/>
          <w:szCs w:val="30"/>
        </w:rPr>
        <w:t>绩效考评</w:t>
      </w:r>
      <w:r>
        <w:rPr>
          <w:rFonts w:hint="eastAsia" w:ascii="仿宋" w:hAnsi="仿宋" w:eastAsia="仿宋" w:cs="仿宋"/>
          <w:color w:val="auto"/>
          <w:kern w:val="0"/>
          <w:sz w:val="30"/>
          <w:szCs w:val="30"/>
          <w:lang w:eastAsia="zh-CN"/>
        </w:rPr>
        <w:t>。</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（二）强化管理，规范行为</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1．强化部门预算约束，细化预算编制，严格预算执行，合理制定项目方案和计划，减少预算执行中的项目预算调整和结余，平衡好预算执行进度，提高财政资金使用效率和效益。</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2．加强预算项目事前、事中、事后管控，做到事前有评估、事中有监控、事后有评价，并且按预期绩效目标完成程度考核项目实施效果。</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hint="eastAsia" w:ascii="仿宋" w:hAnsi="仿宋" w:eastAsia="仿宋" w:cs="仿宋"/>
          <w:b/>
          <w:bCs/>
          <w:color w:val="auto"/>
          <w:kern w:val="0"/>
          <w:sz w:val="30"/>
          <w:szCs w:val="30"/>
          <w:lang w:val="en-US" w:eastAsia="zh-CN"/>
        </w:rPr>
      </w:pPr>
      <w:r>
        <w:rPr>
          <w:rFonts w:hint="eastAsia" w:ascii="仿宋" w:hAnsi="仿宋" w:eastAsia="仿宋" w:cs="仿宋"/>
          <w:b/>
          <w:bCs/>
          <w:color w:val="auto"/>
          <w:kern w:val="0"/>
          <w:sz w:val="30"/>
          <w:szCs w:val="30"/>
          <w:lang w:val="en-US" w:eastAsia="zh-CN"/>
        </w:rPr>
        <w:t>（三）科学考核，注重实效</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1．建立科学合理的项目预算效果考核机制，依据预设的绩效数量、质量指标全面衡量预算实施效果，既重“绩”，更重“效”。</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2．注重服务对象满意度调查工作，根据部门职责明确服务对象、确定调查范围，采取适当方式全面收集服务对象满意度资料，反映部门服务效果。</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3．注重考核的全面性和客观性，对预设指标之外的项目效果同样纳入考核评价报告。</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总之，部门整体绩效考评是一项系统性、全局性的工作，需要领导重视，全员参与，科学考核，注重实效。只有这样，才能不断增强绩效考评的客观性和科学性，切实促进财政资金科学管理和实际绩效水平不断提高。</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color w:val="auto"/>
          <w:kern w:val="0"/>
          <w:sz w:val="30"/>
          <w:szCs w:val="30"/>
        </w:rPr>
      </w:pPr>
      <w:r>
        <w:rPr>
          <w:rFonts w:hint="eastAsia" w:ascii="黑体" w:hAnsi="黑体" w:eastAsia="黑体" w:cs="黑体"/>
          <w:b w:val="0"/>
          <w:bCs/>
          <w:color w:val="auto"/>
          <w:kern w:val="0"/>
          <w:sz w:val="30"/>
          <w:szCs w:val="30"/>
          <w:lang w:val="en-US" w:eastAsia="zh-CN"/>
        </w:rPr>
        <w:t>九、其他需要说明的情况</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科学合理编制预算，严格执行预算。要按照《预算法》及其实施条例的相关规定，参考上一年的预算执行情况和年度的收支预测、部门重点工作等科学编制预算，避免年中大幅追加以及超预算。同时严格预算执行，提高资金使用效率。</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附件：</w:t>
      </w:r>
      <w:r>
        <w:rPr>
          <w:rFonts w:hint="eastAsia" w:ascii="仿宋" w:hAnsi="仿宋" w:eastAsia="仿宋" w:cs="仿宋"/>
          <w:color w:val="auto"/>
          <w:kern w:val="0"/>
          <w:sz w:val="30"/>
          <w:szCs w:val="30"/>
        </w:rPr>
        <w:t>202</w:t>
      </w:r>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rPr>
        <w:t>年度部门整体支出绩效自评指标计分表</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lang w:val="en-US" w:eastAsia="zh-CN"/>
        </w:rPr>
      </w:pP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kern w:val="0"/>
          <w:sz w:val="30"/>
          <w:szCs w:val="30"/>
        </w:rPr>
      </w:pP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color w:val="auto"/>
          <w:sz w:val="30"/>
          <w:szCs w:val="30"/>
          <w:lang w:val="en-US"/>
        </w:rPr>
      </w:pPr>
      <w:r>
        <w:rPr>
          <w:rFonts w:hint="eastAsia" w:ascii="仿宋" w:hAnsi="仿宋" w:eastAsia="仿宋" w:cs="仿宋"/>
          <w:color w:val="auto"/>
          <w:kern w:val="0"/>
          <w:sz w:val="30"/>
          <w:szCs w:val="30"/>
          <w:lang w:val="en-US" w:eastAsia="zh-CN"/>
        </w:rPr>
        <w:t xml:space="preserve">                          </w:t>
      </w:r>
    </w:p>
    <w:p>
      <w:pPr>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auto"/>
          <w:sz w:val="30"/>
          <w:szCs w:val="30"/>
        </w:rPr>
      </w:pPr>
    </w:p>
    <w:p>
      <w:pPr>
        <w:pageBreakBefore w:val="0"/>
        <w:kinsoku/>
        <w:wordWrap/>
        <w:overflowPunct/>
        <w:topLinePunct w:val="0"/>
        <w:bidi w:val="0"/>
        <w:snapToGrid/>
        <w:spacing w:beforeLines="50" w:afterLines="50" w:line="600" w:lineRule="exact"/>
        <w:ind w:firstLine="600" w:firstLineChars="200"/>
        <w:jc w:val="center"/>
        <w:textAlignment w:val="auto"/>
        <w:rPr>
          <w:rFonts w:hint="eastAsia" w:ascii="仿宋" w:hAnsi="仿宋" w:eastAsia="仿宋" w:cs="仿宋"/>
          <w:color w:val="auto"/>
          <w:sz w:val="30"/>
          <w:szCs w:val="30"/>
        </w:rPr>
      </w:pPr>
    </w:p>
    <w:p>
      <w:pPr>
        <w:pageBreakBefore w:val="0"/>
        <w:kinsoku/>
        <w:wordWrap/>
        <w:overflowPunct/>
        <w:topLinePunct w:val="0"/>
        <w:bidi w:val="0"/>
        <w:snapToGrid/>
        <w:spacing w:beforeLines="50" w:afterLines="50" w:line="600" w:lineRule="exact"/>
        <w:ind w:firstLine="600" w:firstLineChars="200"/>
        <w:jc w:val="center"/>
        <w:textAlignment w:val="auto"/>
        <w:rPr>
          <w:rFonts w:hint="eastAsia" w:ascii="仿宋" w:hAnsi="仿宋" w:eastAsia="仿宋" w:cs="仿宋"/>
          <w:color w:val="auto"/>
          <w:sz w:val="30"/>
          <w:szCs w:val="30"/>
        </w:rPr>
      </w:pPr>
    </w:p>
    <w:p>
      <w:pPr>
        <w:pStyle w:val="2"/>
        <w:rPr>
          <w:rFonts w:hint="eastAsia" w:ascii="仿宋" w:hAnsi="仿宋" w:eastAsia="仿宋" w:cs="仿宋"/>
          <w:color w:val="auto"/>
          <w:sz w:val="30"/>
          <w:szCs w:val="30"/>
        </w:rPr>
      </w:pPr>
    </w:p>
    <w:p>
      <w:pPr>
        <w:rPr>
          <w:rFonts w:hint="eastAsia" w:ascii="仿宋" w:hAnsi="仿宋" w:eastAsia="仿宋" w:cs="仿宋"/>
          <w:color w:val="auto"/>
          <w:sz w:val="30"/>
          <w:szCs w:val="30"/>
        </w:rPr>
      </w:pPr>
    </w:p>
    <w:p>
      <w:pPr>
        <w:pStyle w:val="2"/>
        <w:rPr>
          <w:rFonts w:hint="eastAsia" w:ascii="仿宋" w:hAnsi="仿宋" w:eastAsia="仿宋" w:cs="仿宋"/>
          <w:color w:val="auto"/>
          <w:sz w:val="30"/>
          <w:szCs w:val="30"/>
        </w:rPr>
      </w:pPr>
    </w:p>
    <w:p>
      <w:pPr>
        <w:rPr>
          <w:rFonts w:hint="eastAsia"/>
        </w:rPr>
      </w:pPr>
    </w:p>
    <w:p>
      <w:pPr>
        <w:pageBreakBefore w:val="0"/>
        <w:kinsoku/>
        <w:wordWrap/>
        <w:overflowPunct/>
        <w:topLinePunct w:val="0"/>
        <w:bidi w:val="0"/>
        <w:snapToGrid/>
        <w:spacing w:beforeLines="50" w:afterLines="50" w:line="600" w:lineRule="exact"/>
        <w:jc w:val="center"/>
        <w:textAlignment w:val="auto"/>
        <w:rPr>
          <w:rFonts w:hint="eastAsia" w:ascii="仿宋" w:hAnsi="仿宋" w:eastAsia="仿宋" w:cs="仿宋"/>
          <w:color w:val="auto"/>
          <w:sz w:val="30"/>
          <w:szCs w:val="30"/>
        </w:rPr>
      </w:pPr>
      <w:r>
        <w:rPr>
          <w:rFonts w:hint="eastAsia" w:ascii="黑体" w:hAnsi="黑体" w:eastAsia="黑体" w:cs="黑体"/>
          <w:color w:val="auto"/>
          <w:sz w:val="30"/>
          <w:szCs w:val="30"/>
        </w:rPr>
        <w:t>202</w:t>
      </w:r>
      <w:r>
        <w:rPr>
          <w:rFonts w:hint="eastAsia" w:ascii="黑体" w:hAnsi="黑体" w:eastAsia="黑体" w:cs="黑体"/>
          <w:color w:val="auto"/>
          <w:sz w:val="30"/>
          <w:szCs w:val="30"/>
          <w:lang w:val="en-US" w:eastAsia="zh-CN"/>
        </w:rPr>
        <w:t>1</w:t>
      </w:r>
      <w:r>
        <w:rPr>
          <w:rFonts w:hint="eastAsia" w:ascii="黑体" w:hAnsi="黑体" w:eastAsia="黑体" w:cs="黑体"/>
          <w:color w:val="auto"/>
          <w:sz w:val="30"/>
          <w:szCs w:val="30"/>
        </w:rPr>
        <w:t>年度部门整体支出绩效自评指标计分表</w:t>
      </w:r>
    </w:p>
    <w:p>
      <w:pPr>
        <w:spacing w:line="240" w:lineRule="exact"/>
        <w:ind w:right="105" w:rightChars="50"/>
        <w:jc w:val="both"/>
        <w:rPr>
          <w:rFonts w:hint="default" w:ascii="宋体" w:hAnsi="宋体" w:cs="宋体"/>
          <w:b/>
          <w:bCs/>
          <w:color w:val="auto"/>
          <w:lang w:val="en-US" w:eastAsia="zh-CN"/>
        </w:rPr>
      </w:pPr>
      <w:r>
        <w:rPr>
          <w:rFonts w:hint="eastAsia" w:ascii="宋体" w:hAnsi="宋体" w:cs="宋体"/>
          <w:b/>
          <w:bCs/>
          <w:color w:val="auto"/>
          <w:lang w:val="en-US" w:eastAsia="zh-CN"/>
        </w:rPr>
        <w:t>单位：赫山共青团益阳市赫山区委                                  自评分：97分</w:t>
      </w:r>
    </w:p>
    <w:tbl>
      <w:tblPr>
        <w:tblStyle w:val="5"/>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
        <w:gridCol w:w="710"/>
        <w:gridCol w:w="946"/>
        <w:gridCol w:w="710"/>
        <w:gridCol w:w="298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581" w:type="dxa"/>
            <w:tcMar>
              <w:top w:w="10" w:type="dxa"/>
              <w:left w:w="10" w:type="dxa"/>
              <w:bottom w:w="0" w:type="dxa"/>
              <w:right w:w="10" w:type="dxa"/>
            </w:tcMar>
            <w:vAlign w:val="center"/>
          </w:tcPr>
          <w:p>
            <w:pPr>
              <w:spacing w:line="240" w:lineRule="exact"/>
              <w:jc w:val="center"/>
              <w:rPr>
                <w:rFonts w:hint="eastAsia" w:ascii="宋体" w:hAnsi="宋体" w:eastAsia="宋体" w:cs="宋体"/>
                <w:b/>
                <w:bCs/>
                <w:color w:val="auto"/>
                <w:lang w:eastAsia="zh-CN"/>
              </w:rPr>
            </w:pPr>
            <w:r>
              <w:rPr>
                <w:rFonts w:hint="eastAsia" w:ascii="宋体" w:hAnsi="宋体" w:cs="宋体"/>
                <w:b/>
                <w:bCs/>
                <w:color w:val="auto"/>
              </w:rPr>
              <w:t>一级</w:t>
            </w:r>
          </w:p>
          <w:p>
            <w:pPr>
              <w:spacing w:line="240" w:lineRule="exact"/>
              <w:jc w:val="center"/>
              <w:rPr>
                <w:rFonts w:ascii="宋体" w:cs="宋体"/>
                <w:b/>
                <w:bCs/>
                <w:color w:val="auto"/>
              </w:rPr>
            </w:pPr>
            <w:r>
              <w:rPr>
                <w:rFonts w:hint="eastAsia" w:ascii="宋体" w:hAnsi="宋体" w:cs="宋体"/>
                <w:b/>
                <w:bCs/>
                <w:color w:val="auto"/>
              </w:rPr>
              <w:t>指标</w:t>
            </w:r>
          </w:p>
        </w:tc>
        <w:tc>
          <w:tcPr>
            <w:tcW w:w="710" w:type="dxa"/>
            <w:tcMar>
              <w:top w:w="10" w:type="dxa"/>
              <w:left w:w="10" w:type="dxa"/>
              <w:bottom w:w="0" w:type="dxa"/>
              <w:right w:w="10" w:type="dxa"/>
            </w:tcMar>
            <w:vAlign w:val="center"/>
          </w:tcPr>
          <w:p>
            <w:pPr>
              <w:spacing w:line="240" w:lineRule="exact"/>
              <w:ind w:right="-174" w:rightChars="-83"/>
              <w:jc w:val="center"/>
              <w:rPr>
                <w:rFonts w:ascii="宋体" w:cs="宋体"/>
                <w:b/>
                <w:bCs/>
                <w:color w:val="auto"/>
              </w:rPr>
            </w:pPr>
            <w:r>
              <w:rPr>
                <w:rFonts w:hint="eastAsia" w:ascii="宋体" w:hAnsi="宋体" w:cs="宋体"/>
                <w:b/>
                <w:bCs/>
                <w:color w:val="auto"/>
              </w:rPr>
              <w:t>二级</w:t>
            </w:r>
          </w:p>
          <w:p>
            <w:pPr>
              <w:spacing w:line="240" w:lineRule="exact"/>
              <w:ind w:right="-174" w:rightChars="-83"/>
              <w:jc w:val="center"/>
              <w:rPr>
                <w:rFonts w:ascii="宋体" w:cs="宋体"/>
                <w:b/>
                <w:bCs/>
                <w:color w:val="auto"/>
              </w:rPr>
            </w:pPr>
            <w:r>
              <w:rPr>
                <w:rFonts w:hint="eastAsia" w:ascii="宋体" w:hAnsi="宋体" w:cs="宋体"/>
                <w:b/>
                <w:bCs/>
                <w:color w:val="auto"/>
              </w:rPr>
              <w:t>指标</w:t>
            </w:r>
          </w:p>
        </w:tc>
        <w:tc>
          <w:tcPr>
            <w:tcW w:w="946" w:type="dxa"/>
            <w:tcMar>
              <w:top w:w="10" w:type="dxa"/>
              <w:left w:w="10" w:type="dxa"/>
              <w:bottom w:w="0" w:type="dxa"/>
              <w:right w:w="10" w:type="dxa"/>
            </w:tcMar>
            <w:vAlign w:val="center"/>
          </w:tcPr>
          <w:p>
            <w:pPr>
              <w:spacing w:line="240" w:lineRule="exact"/>
              <w:jc w:val="center"/>
              <w:rPr>
                <w:rFonts w:ascii="宋体" w:cs="宋体"/>
                <w:b/>
                <w:bCs/>
                <w:color w:val="auto"/>
              </w:rPr>
            </w:pPr>
            <w:r>
              <w:rPr>
                <w:rFonts w:hint="eastAsia" w:ascii="宋体" w:hAnsi="宋体" w:cs="宋体"/>
                <w:b/>
                <w:bCs/>
                <w:color w:val="auto"/>
              </w:rPr>
              <w:t>三级</w:t>
            </w:r>
          </w:p>
          <w:p>
            <w:pPr>
              <w:spacing w:line="240" w:lineRule="exact"/>
              <w:jc w:val="center"/>
              <w:rPr>
                <w:rFonts w:ascii="宋体" w:cs="宋体"/>
                <w:b/>
                <w:bCs/>
                <w:color w:val="auto"/>
              </w:rPr>
            </w:pPr>
            <w:r>
              <w:rPr>
                <w:rFonts w:hint="eastAsia" w:ascii="宋体" w:hAnsi="宋体" w:cs="宋体"/>
                <w:b/>
                <w:bCs/>
                <w:color w:val="auto"/>
              </w:rPr>
              <w:t>指标</w:t>
            </w:r>
          </w:p>
        </w:tc>
        <w:tc>
          <w:tcPr>
            <w:tcW w:w="710" w:type="dxa"/>
            <w:vAlign w:val="center"/>
          </w:tcPr>
          <w:p>
            <w:pPr>
              <w:spacing w:line="240" w:lineRule="exact"/>
              <w:ind w:left="105" w:leftChars="50" w:right="105" w:rightChars="50"/>
              <w:jc w:val="center"/>
              <w:rPr>
                <w:rFonts w:ascii="宋体" w:cs="宋体"/>
                <w:b/>
                <w:bCs/>
                <w:color w:val="auto"/>
              </w:rPr>
            </w:pPr>
            <w:r>
              <w:rPr>
                <w:rFonts w:hint="eastAsia" w:ascii="宋体" w:hAnsi="宋体" w:cs="宋体"/>
                <w:b/>
                <w:bCs/>
                <w:color w:val="auto"/>
              </w:rPr>
              <w:t>自评分</w:t>
            </w:r>
          </w:p>
        </w:tc>
        <w:tc>
          <w:tcPr>
            <w:tcW w:w="2983" w:type="dxa"/>
            <w:tcMar>
              <w:top w:w="10" w:type="dxa"/>
              <w:left w:w="10" w:type="dxa"/>
              <w:bottom w:w="0" w:type="dxa"/>
              <w:right w:w="10" w:type="dxa"/>
            </w:tcMar>
            <w:vAlign w:val="center"/>
          </w:tcPr>
          <w:p>
            <w:pPr>
              <w:spacing w:line="240" w:lineRule="exact"/>
              <w:ind w:left="105" w:leftChars="50" w:right="105" w:rightChars="50"/>
              <w:jc w:val="center"/>
              <w:rPr>
                <w:rFonts w:ascii="宋体" w:cs="宋体"/>
                <w:b/>
                <w:bCs/>
                <w:color w:val="auto"/>
              </w:rPr>
            </w:pPr>
            <w:r>
              <w:rPr>
                <w:rFonts w:hint="eastAsia" w:ascii="宋体" w:hAnsi="宋体" w:cs="宋体"/>
                <w:b/>
                <w:bCs/>
                <w:color w:val="auto"/>
              </w:rPr>
              <w:t>指标解释</w:t>
            </w:r>
          </w:p>
        </w:tc>
        <w:tc>
          <w:tcPr>
            <w:tcW w:w="3533" w:type="dxa"/>
            <w:tcMar>
              <w:top w:w="10" w:type="dxa"/>
              <w:left w:w="10" w:type="dxa"/>
              <w:bottom w:w="0" w:type="dxa"/>
              <w:right w:w="10" w:type="dxa"/>
            </w:tcMar>
            <w:vAlign w:val="center"/>
          </w:tcPr>
          <w:p>
            <w:pPr>
              <w:spacing w:line="240" w:lineRule="exact"/>
              <w:ind w:left="105" w:leftChars="50" w:right="105" w:rightChars="50"/>
              <w:jc w:val="center"/>
              <w:rPr>
                <w:rFonts w:ascii="宋体" w:cs="宋体"/>
                <w:b/>
                <w:bCs/>
                <w:color w:val="auto"/>
              </w:rPr>
            </w:pPr>
            <w:r>
              <w:rPr>
                <w:rFonts w:hint="eastAsia" w:ascii="宋体" w:hAnsi="宋体" w:cs="宋体"/>
                <w:b/>
                <w:bCs/>
                <w:color w:val="auto"/>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581" w:type="dxa"/>
            <w:vMerge w:val="restart"/>
            <w:noWrap/>
            <w:tcMar>
              <w:top w:w="10" w:type="dxa"/>
              <w:left w:w="10" w:type="dxa"/>
              <w:bottom w:w="0" w:type="dxa"/>
              <w:right w:w="10" w:type="dxa"/>
            </w:tcMar>
            <w:textDirection w:val="tbRlV"/>
            <w:vAlign w:val="center"/>
          </w:tcPr>
          <w:p>
            <w:pPr>
              <w:spacing w:line="240" w:lineRule="exact"/>
              <w:jc w:val="center"/>
              <w:rPr>
                <w:rFonts w:ascii="宋体" w:cs="宋体"/>
                <w:color w:val="auto"/>
              </w:rPr>
            </w:pPr>
            <w:r>
              <w:rPr>
                <w:rFonts w:hint="eastAsia" w:ascii="宋体" w:hAnsi="宋体" w:cs="宋体"/>
                <w:color w:val="auto"/>
              </w:rPr>
              <w:t>投</w:t>
            </w:r>
            <w:r>
              <w:rPr>
                <w:rFonts w:ascii="宋体" w:hAnsi="宋体" w:cs="宋体"/>
                <w:color w:val="auto"/>
              </w:rPr>
              <w:t xml:space="preserve">   </w:t>
            </w:r>
            <w:r>
              <w:rPr>
                <w:rFonts w:hint="eastAsia" w:ascii="宋体" w:hAnsi="宋体" w:cs="宋体"/>
                <w:color w:val="auto"/>
              </w:rPr>
              <w:t>入（</w:t>
            </w:r>
            <w:r>
              <w:rPr>
                <w:rFonts w:ascii="宋体" w:hAnsi="宋体" w:cs="宋体"/>
                <w:color w:val="auto"/>
              </w:rPr>
              <w:t>20</w:t>
            </w:r>
            <w:r>
              <w:rPr>
                <w:rFonts w:hint="eastAsia" w:ascii="宋体" w:hAnsi="宋体" w:cs="宋体"/>
                <w:color w:val="auto"/>
              </w:rPr>
              <w:t>分）</w:t>
            </w:r>
          </w:p>
        </w:tc>
        <w:tc>
          <w:tcPr>
            <w:tcW w:w="710" w:type="dxa"/>
            <w:vMerge w:val="restart"/>
            <w:tcMar>
              <w:top w:w="10" w:type="dxa"/>
              <w:left w:w="10" w:type="dxa"/>
              <w:bottom w:w="0" w:type="dxa"/>
              <w:right w:w="10" w:type="dxa"/>
            </w:tcMar>
            <w:vAlign w:val="center"/>
          </w:tcPr>
          <w:p>
            <w:pPr>
              <w:spacing w:line="240" w:lineRule="exact"/>
              <w:jc w:val="center"/>
              <w:rPr>
                <w:rFonts w:hint="eastAsia" w:ascii="宋体" w:hAnsi="宋体" w:eastAsia="宋体" w:cs="宋体"/>
                <w:color w:val="auto"/>
                <w:lang w:eastAsia="zh-CN"/>
              </w:rPr>
            </w:pPr>
            <w:r>
              <w:rPr>
                <w:rFonts w:hint="eastAsia" w:ascii="宋体" w:hAnsi="宋体" w:cs="宋体"/>
                <w:color w:val="auto"/>
              </w:rPr>
              <w:t>目标</w:t>
            </w:r>
          </w:p>
          <w:p>
            <w:pPr>
              <w:spacing w:line="240" w:lineRule="exact"/>
              <w:jc w:val="center"/>
              <w:rPr>
                <w:rFonts w:ascii="宋体" w:cs="宋体"/>
                <w:color w:val="auto"/>
              </w:rPr>
            </w:pPr>
            <w:r>
              <w:rPr>
                <w:rFonts w:hint="eastAsia" w:ascii="宋体" w:hAnsi="宋体" w:cs="宋体"/>
                <w:color w:val="auto"/>
              </w:rPr>
              <w:t>设定（</w:t>
            </w:r>
            <w:r>
              <w:rPr>
                <w:rFonts w:ascii="宋体" w:hAnsi="宋体" w:cs="宋体"/>
                <w:color w:val="auto"/>
              </w:rPr>
              <w:t>5</w:t>
            </w:r>
            <w:r>
              <w:rPr>
                <w:rFonts w:hint="eastAsia" w:ascii="宋体" w:hAnsi="宋体" w:cs="宋体"/>
                <w:color w:val="auto"/>
              </w:rPr>
              <w:t>分）</w:t>
            </w: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绩效目标</w:t>
            </w:r>
          </w:p>
          <w:p>
            <w:pPr>
              <w:spacing w:line="240" w:lineRule="exact"/>
              <w:jc w:val="center"/>
              <w:rPr>
                <w:rFonts w:ascii="宋体" w:cs="宋体"/>
                <w:color w:val="auto"/>
              </w:rPr>
            </w:pPr>
            <w:r>
              <w:rPr>
                <w:rFonts w:hint="eastAsia" w:ascii="宋体" w:hAnsi="宋体" w:cs="宋体"/>
                <w:color w:val="auto"/>
              </w:rPr>
              <w:t>合理性（</w:t>
            </w:r>
            <w:r>
              <w:rPr>
                <w:rFonts w:ascii="宋体" w:hAnsi="宋体" w:cs="宋体"/>
                <w:color w:val="auto"/>
              </w:rPr>
              <w:t>2</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p>
          <w:p>
            <w:pPr>
              <w:tabs>
                <w:tab w:val="left" w:pos="2604"/>
              </w:tabs>
              <w:spacing w:line="240" w:lineRule="exact"/>
              <w:ind w:left="105" w:leftChars="50" w:right="105" w:rightChars="50" w:firstLine="96" w:firstLineChars="46"/>
              <w:rPr>
                <w:rFonts w:hint="default" w:ascii="宋体" w:eastAsia="宋体" w:cs="宋体"/>
                <w:color w:val="auto"/>
                <w:lang w:val="en-US" w:eastAsia="zh-CN"/>
              </w:rPr>
            </w:pPr>
            <w:r>
              <w:rPr>
                <w:rFonts w:hint="eastAsia" w:ascii="宋体" w:cs="宋体"/>
                <w:color w:val="auto"/>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部门所设立的整体绩效目标依据是否充分，是否符合客观实际，用以反映和考核部门整体绩效目标与部门履职、年度工作任务的相符性情况。</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评价要点：</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①是否符合国家法律法规、国民经济和社会发展总体规划；</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②是否符合部门“三定”方案确定的职责；</w:t>
            </w:r>
          </w:p>
          <w:p>
            <w:pPr>
              <w:spacing w:line="240" w:lineRule="exact"/>
              <w:ind w:left="105" w:leftChars="50" w:right="105" w:rightChars="50"/>
              <w:rPr>
                <w:rFonts w:ascii="宋体" w:cs="宋体"/>
                <w:color w:val="auto"/>
              </w:rPr>
            </w:pPr>
            <w:r>
              <w:rPr>
                <w:rFonts w:hint="eastAsia" w:ascii="宋体" w:hAnsi="宋体" w:cs="宋体"/>
                <w:color w:val="auto"/>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581" w:type="dxa"/>
            <w:vMerge w:val="continue"/>
            <w:vAlign w:val="center"/>
          </w:tcPr>
          <w:p>
            <w:pPr>
              <w:spacing w:line="240" w:lineRule="exact"/>
              <w:rPr>
                <w:rFonts w:ascii="宋体" w:cs="宋体"/>
                <w:color w:val="auto"/>
              </w:rPr>
            </w:pPr>
          </w:p>
        </w:tc>
        <w:tc>
          <w:tcPr>
            <w:tcW w:w="710" w:type="dxa"/>
            <w:vMerge w:val="continue"/>
            <w:vAlign w:val="center"/>
          </w:tcPr>
          <w:p>
            <w:pPr>
              <w:spacing w:line="240" w:lineRule="exact"/>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绩效指标</w:t>
            </w:r>
          </w:p>
          <w:p>
            <w:pPr>
              <w:spacing w:line="240" w:lineRule="exact"/>
              <w:jc w:val="center"/>
              <w:rPr>
                <w:rFonts w:ascii="宋体" w:cs="宋体"/>
                <w:color w:val="auto"/>
              </w:rPr>
            </w:pPr>
            <w:r>
              <w:rPr>
                <w:rFonts w:hint="eastAsia" w:ascii="宋体" w:hAnsi="宋体" w:cs="宋体"/>
                <w:color w:val="auto"/>
              </w:rPr>
              <w:t>明确性（</w:t>
            </w:r>
            <w:r>
              <w:rPr>
                <w:rFonts w:ascii="宋体" w:hAnsi="宋体" w:cs="宋体"/>
                <w:color w:val="auto"/>
              </w:rPr>
              <w:t>3</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3</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部门依据整体绩效目标所设定的绩效指标是否清晰、细化、可衡量，用以反映和考核部门整体绩效目标的明细化情况。</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评价要点：</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①是否将部门整体的绩效目标细化分解为具体的工作任务；</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②是否通过清晰、可衡量的指标值予以体现。</w:t>
            </w:r>
            <w:r>
              <w:rPr>
                <w:rFonts w:ascii="宋体" w:hAnsi="宋体" w:cs="宋体"/>
                <w:color w:val="auto"/>
              </w:rPr>
              <w:t xml:space="preserve">    </w:t>
            </w:r>
            <w:r>
              <w:rPr>
                <w:rFonts w:hint="eastAsia" w:ascii="宋体" w:hAnsi="宋体" w:cs="宋体"/>
                <w:color w:val="auto"/>
              </w:rPr>
              <w:t>③是否与部门年度的任务数或计划数相对应；</w:t>
            </w:r>
          </w:p>
          <w:p>
            <w:pPr>
              <w:spacing w:line="240" w:lineRule="exact"/>
              <w:ind w:left="105" w:leftChars="50" w:right="105" w:rightChars="50"/>
              <w:rPr>
                <w:rFonts w:ascii="宋体" w:cs="宋体"/>
                <w:color w:val="auto"/>
              </w:rPr>
            </w:pPr>
            <w:r>
              <w:rPr>
                <w:rFonts w:hint="eastAsia" w:ascii="宋体" w:hAnsi="宋体" w:cs="宋体"/>
                <w:color w:val="auto"/>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581" w:type="dxa"/>
            <w:vMerge w:val="continue"/>
            <w:vAlign w:val="center"/>
          </w:tcPr>
          <w:p>
            <w:pPr>
              <w:spacing w:line="240" w:lineRule="exact"/>
              <w:rPr>
                <w:rFonts w:ascii="宋体" w:cs="宋体"/>
                <w:color w:val="auto"/>
              </w:rPr>
            </w:pPr>
          </w:p>
        </w:tc>
        <w:tc>
          <w:tcPr>
            <w:tcW w:w="710" w:type="dxa"/>
            <w:vMerge w:val="restart"/>
            <w:tcMar>
              <w:top w:w="10" w:type="dxa"/>
              <w:left w:w="10" w:type="dxa"/>
              <w:bottom w:w="0" w:type="dxa"/>
              <w:right w:w="10" w:type="dxa"/>
            </w:tcMar>
            <w:vAlign w:val="center"/>
          </w:tcPr>
          <w:p>
            <w:pPr>
              <w:spacing w:line="240" w:lineRule="exact"/>
              <w:jc w:val="center"/>
              <w:rPr>
                <w:rFonts w:hint="eastAsia" w:ascii="宋体" w:hAnsi="宋体" w:eastAsia="宋体" w:cs="宋体"/>
                <w:color w:val="auto"/>
                <w:lang w:eastAsia="zh-CN"/>
              </w:rPr>
            </w:pPr>
            <w:r>
              <w:rPr>
                <w:rFonts w:hint="eastAsia" w:ascii="宋体" w:hAnsi="宋体" w:cs="宋体"/>
                <w:color w:val="auto"/>
              </w:rPr>
              <w:t>预算</w:t>
            </w:r>
          </w:p>
          <w:p>
            <w:pPr>
              <w:spacing w:line="240" w:lineRule="exact"/>
              <w:jc w:val="center"/>
              <w:rPr>
                <w:rFonts w:ascii="宋体" w:cs="宋体"/>
                <w:color w:val="auto"/>
              </w:rPr>
            </w:pPr>
            <w:r>
              <w:rPr>
                <w:rFonts w:hint="eastAsia" w:ascii="宋体" w:hAnsi="宋体" w:cs="宋体"/>
                <w:color w:val="auto"/>
              </w:rPr>
              <w:t>配置（</w:t>
            </w:r>
            <w:r>
              <w:rPr>
                <w:rFonts w:ascii="宋体" w:hAnsi="宋体" w:cs="宋体"/>
                <w:color w:val="auto"/>
              </w:rPr>
              <w:t>15</w:t>
            </w:r>
            <w:r>
              <w:rPr>
                <w:rFonts w:hint="eastAsia" w:ascii="宋体" w:hAnsi="宋体" w:cs="宋体"/>
                <w:color w:val="auto"/>
              </w:rPr>
              <w:t>分）</w:t>
            </w: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在职人员</w:t>
            </w:r>
          </w:p>
          <w:p>
            <w:pPr>
              <w:spacing w:line="240" w:lineRule="exact"/>
              <w:jc w:val="center"/>
              <w:rPr>
                <w:rFonts w:ascii="宋体" w:cs="宋体"/>
                <w:color w:val="auto"/>
              </w:rPr>
            </w:pPr>
            <w:r>
              <w:rPr>
                <w:rFonts w:hint="eastAsia" w:ascii="宋体" w:hAnsi="宋体" w:cs="宋体"/>
                <w:color w:val="auto"/>
              </w:rPr>
              <w:t>控制率（</w:t>
            </w:r>
            <w:r>
              <w:rPr>
                <w:rFonts w:ascii="宋体" w:hAnsi="宋体" w:cs="宋体"/>
                <w:color w:val="auto"/>
              </w:rPr>
              <w:t>5</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部门本年度实际在职人员数与编制数的比率，用以反映和考核部门对人员成本的控制程度。</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在职人员控制率</w:t>
            </w:r>
            <w:r>
              <w:rPr>
                <w:rFonts w:ascii="宋体" w:hAnsi="宋体" w:cs="宋体"/>
                <w:color w:val="auto"/>
              </w:rPr>
              <w:t>=</w:t>
            </w:r>
            <w:r>
              <w:rPr>
                <w:rFonts w:hint="eastAsia" w:ascii="宋体" w:hAnsi="宋体" w:cs="宋体"/>
                <w:color w:val="auto"/>
              </w:rPr>
              <w:t>（在职人员数</w:t>
            </w:r>
            <w:r>
              <w:rPr>
                <w:rFonts w:ascii="宋体" w:hAnsi="宋体" w:cs="宋体"/>
                <w:color w:val="auto"/>
              </w:rPr>
              <w:t>/</w:t>
            </w:r>
            <w:r>
              <w:rPr>
                <w:rFonts w:hint="eastAsia" w:ascii="宋体" w:hAnsi="宋体" w:cs="宋体"/>
                <w:color w:val="auto"/>
              </w:rPr>
              <w:t>编制数）×</w:t>
            </w:r>
            <w:r>
              <w:rPr>
                <w:rFonts w:ascii="宋体" w:hAnsi="宋体" w:cs="宋体"/>
                <w:color w:val="auto"/>
              </w:rPr>
              <w:t>100%</w:t>
            </w:r>
            <w:r>
              <w:rPr>
                <w:rFonts w:hint="eastAsia" w:ascii="宋体" w:hAnsi="宋体" w:cs="宋体"/>
                <w:color w:val="auto"/>
              </w:rPr>
              <w:t>。</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在职人员数：部门实际在职人数，以财政部确定的部门决算编制口径为准。</w:t>
            </w:r>
          </w:p>
          <w:p>
            <w:pPr>
              <w:spacing w:line="240" w:lineRule="exact"/>
              <w:ind w:left="105" w:leftChars="50" w:right="105" w:rightChars="50"/>
              <w:rPr>
                <w:rFonts w:ascii="宋体" w:cs="宋体"/>
                <w:color w:val="auto"/>
              </w:rPr>
            </w:pPr>
            <w:r>
              <w:rPr>
                <w:rFonts w:hint="eastAsia" w:ascii="宋体" w:hAnsi="宋体" w:cs="宋体"/>
                <w:color w:val="auto"/>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581" w:type="dxa"/>
            <w:vMerge w:val="continue"/>
            <w:vAlign w:val="center"/>
          </w:tcPr>
          <w:p>
            <w:pPr>
              <w:spacing w:line="240" w:lineRule="exact"/>
              <w:rPr>
                <w:rFonts w:ascii="宋体" w:cs="宋体"/>
                <w:color w:val="auto"/>
              </w:rPr>
            </w:pPr>
          </w:p>
        </w:tc>
        <w:tc>
          <w:tcPr>
            <w:tcW w:w="710" w:type="dxa"/>
            <w:vMerge w:val="continue"/>
            <w:vAlign w:val="center"/>
          </w:tcPr>
          <w:p>
            <w:pPr>
              <w:spacing w:line="240" w:lineRule="exact"/>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“三公经费”</w:t>
            </w:r>
          </w:p>
          <w:p>
            <w:pPr>
              <w:spacing w:line="240" w:lineRule="exact"/>
              <w:jc w:val="center"/>
              <w:rPr>
                <w:rFonts w:ascii="宋体" w:cs="宋体"/>
                <w:color w:val="auto"/>
              </w:rPr>
            </w:pPr>
            <w:r>
              <w:rPr>
                <w:rFonts w:hint="eastAsia" w:ascii="宋体" w:hAnsi="宋体" w:cs="宋体"/>
                <w:color w:val="auto"/>
              </w:rPr>
              <w:t>变动率（</w:t>
            </w:r>
            <w:r>
              <w:rPr>
                <w:rFonts w:ascii="宋体" w:hAnsi="宋体" w:cs="宋体"/>
                <w:color w:val="auto"/>
              </w:rPr>
              <w:t>5</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部门本年度“三公经费”预算数与上年度“三公经费”预算数的变动比率，用以反映和考核部门对控制重点行政成本的努力程度。</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“三公经费”变动率</w:t>
            </w:r>
            <w:r>
              <w:rPr>
                <w:rFonts w:ascii="宋体" w:hAnsi="宋体" w:cs="宋体"/>
                <w:color w:val="auto"/>
              </w:rPr>
              <w:t>=[</w:t>
            </w:r>
            <w:r>
              <w:rPr>
                <w:rFonts w:hint="eastAsia" w:ascii="宋体" w:hAnsi="宋体" w:cs="宋体"/>
                <w:color w:val="auto"/>
              </w:rPr>
              <w:t>（本年度“三公经费”总额</w:t>
            </w:r>
            <w:r>
              <w:rPr>
                <w:rFonts w:ascii="宋体" w:hAnsi="宋体" w:cs="宋体"/>
                <w:color w:val="auto"/>
              </w:rPr>
              <w:t>-</w:t>
            </w:r>
            <w:r>
              <w:rPr>
                <w:rFonts w:hint="eastAsia" w:ascii="宋体" w:hAnsi="宋体" w:cs="宋体"/>
                <w:color w:val="auto"/>
              </w:rPr>
              <w:t>上年度“三公经费”总额）</w:t>
            </w:r>
            <w:r>
              <w:rPr>
                <w:rFonts w:ascii="宋体" w:hAnsi="宋体" w:cs="宋体"/>
                <w:color w:val="auto"/>
              </w:rPr>
              <w:t>/</w:t>
            </w:r>
            <w:r>
              <w:rPr>
                <w:rFonts w:hint="eastAsia" w:ascii="宋体" w:hAnsi="宋体" w:cs="宋体"/>
                <w:color w:val="auto"/>
              </w:rPr>
              <w:t>上年度“三公经费”总额</w:t>
            </w:r>
            <w:r>
              <w:rPr>
                <w:rFonts w:ascii="宋体" w:hAnsi="宋体" w:cs="宋体"/>
                <w:color w:val="auto"/>
              </w:rPr>
              <w:t>]</w:t>
            </w:r>
            <w:r>
              <w:rPr>
                <w:rFonts w:hint="eastAsia" w:ascii="宋体" w:hAnsi="宋体" w:cs="宋体"/>
                <w:color w:val="auto"/>
              </w:rPr>
              <w:t>×</w:t>
            </w:r>
            <w:r>
              <w:rPr>
                <w:rFonts w:ascii="宋体" w:hAnsi="宋体" w:cs="宋体"/>
                <w:color w:val="auto"/>
              </w:rPr>
              <w:t>100%</w:t>
            </w:r>
            <w:r>
              <w:rPr>
                <w:rFonts w:hint="eastAsia" w:ascii="宋体" w:hAnsi="宋体" w:cs="宋体"/>
                <w:color w:val="auto"/>
              </w:rPr>
              <w:t>。</w:t>
            </w:r>
          </w:p>
          <w:p>
            <w:pPr>
              <w:spacing w:line="240" w:lineRule="exact"/>
              <w:ind w:left="105" w:leftChars="50" w:right="105" w:rightChars="50"/>
              <w:rPr>
                <w:rFonts w:ascii="宋体" w:cs="宋体"/>
                <w:color w:val="auto"/>
              </w:rPr>
            </w:pPr>
            <w:r>
              <w:rPr>
                <w:rFonts w:hint="eastAsia" w:ascii="宋体" w:hAnsi="宋体" w:cs="宋体"/>
                <w:color w:val="auto"/>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581" w:type="dxa"/>
            <w:vMerge w:val="continue"/>
            <w:vAlign w:val="center"/>
          </w:tcPr>
          <w:p>
            <w:pPr>
              <w:spacing w:line="240" w:lineRule="exact"/>
              <w:rPr>
                <w:rFonts w:ascii="宋体" w:cs="宋体"/>
                <w:color w:val="auto"/>
              </w:rPr>
            </w:pPr>
          </w:p>
        </w:tc>
        <w:tc>
          <w:tcPr>
            <w:tcW w:w="710" w:type="dxa"/>
            <w:vMerge w:val="continue"/>
            <w:vAlign w:val="center"/>
          </w:tcPr>
          <w:p>
            <w:pPr>
              <w:spacing w:line="240" w:lineRule="exact"/>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重点支出</w:t>
            </w:r>
          </w:p>
          <w:p>
            <w:pPr>
              <w:spacing w:line="240" w:lineRule="exact"/>
              <w:jc w:val="center"/>
              <w:rPr>
                <w:rFonts w:ascii="宋体" w:cs="宋体"/>
                <w:color w:val="auto"/>
              </w:rPr>
            </w:pPr>
            <w:r>
              <w:rPr>
                <w:rFonts w:hint="eastAsia" w:ascii="宋体" w:hAnsi="宋体" w:cs="宋体"/>
                <w:color w:val="auto"/>
              </w:rPr>
              <w:t>安排率（</w:t>
            </w:r>
            <w:r>
              <w:rPr>
                <w:rFonts w:ascii="宋体" w:hAnsi="宋体" w:cs="宋体"/>
                <w:color w:val="auto"/>
              </w:rPr>
              <w:t>5</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部门本年度预算安排的重点预算支出与部门预算总支出的比率，用以反映和考核部门对履行主要职责或完成重点任务的保障程度。</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重点支出安排率</w:t>
            </w:r>
            <w:r>
              <w:rPr>
                <w:rFonts w:ascii="宋体" w:hAnsi="宋体" w:cs="宋体"/>
                <w:color w:val="auto"/>
              </w:rPr>
              <w:t>=</w:t>
            </w:r>
            <w:r>
              <w:rPr>
                <w:rFonts w:hint="eastAsia" w:ascii="宋体" w:hAnsi="宋体" w:cs="宋体"/>
                <w:color w:val="auto"/>
              </w:rPr>
              <w:t>（重点预算支出</w:t>
            </w:r>
            <w:r>
              <w:rPr>
                <w:rFonts w:ascii="宋体" w:hAnsi="宋体" w:cs="宋体"/>
                <w:color w:val="auto"/>
              </w:rPr>
              <w:t>/</w:t>
            </w:r>
            <w:r>
              <w:rPr>
                <w:rFonts w:hint="eastAsia" w:ascii="宋体" w:hAnsi="宋体" w:cs="宋体"/>
                <w:color w:val="auto"/>
              </w:rPr>
              <w:t>预算总支出）×</w:t>
            </w:r>
            <w:r>
              <w:rPr>
                <w:rFonts w:ascii="宋体" w:hAnsi="宋体" w:cs="宋体"/>
                <w:color w:val="auto"/>
              </w:rPr>
              <w:t>100%</w:t>
            </w:r>
            <w:r>
              <w:rPr>
                <w:rFonts w:hint="eastAsia" w:ascii="宋体" w:hAnsi="宋体" w:cs="宋体"/>
                <w:color w:val="auto"/>
              </w:rPr>
              <w:t>。</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重点预算支出：部门年度预算安排的，与本部门履职和发展密切相关、具有明显社会和经济影响、党委政府关心或社会比较关注的预算支出支出总额。</w:t>
            </w:r>
          </w:p>
          <w:p>
            <w:pPr>
              <w:spacing w:line="240" w:lineRule="exact"/>
              <w:ind w:left="105" w:leftChars="50" w:right="105" w:rightChars="50"/>
              <w:rPr>
                <w:rFonts w:ascii="宋体" w:cs="宋体"/>
                <w:color w:val="auto"/>
              </w:rPr>
            </w:pPr>
            <w:r>
              <w:rPr>
                <w:rFonts w:hint="eastAsia" w:ascii="宋体" w:hAnsi="宋体" w:cs="宋体"/>
                <w:color w:val="auto"/>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581" w:type="dxa"/>
            <w:vMerge w:val="restart"/>
            <w:noWrap/>
            <w:tcMar>
              <w:top w:w="10" w:type="dxa"/>
              <w:left w:w="10" w:type="dxa"/>
              <w:bottom w:w="0" w:type="dxa"/>
              <w:right w:w="10" w:type="dxa"/>
            </w:tcMar>
            <w:textDirection w:val="tbRlV"/>
            <w:vAlign w:val="center"/>
          </w:tcPr>
          <w:p>
            <w:pPr>
              <w:spacing w:line="240" w:lineRule="exact"/>
              <w:jc w:val="center"/>
              <w:rPr>
                <w:rFonts w:ascii="宋体" w:cs="宋体"/>
                <w:color w:val="auto"/>
              </w:rPr>
            </w:pPr>
            <w:r>
              <w:rPr>
                <w:rFonts w:hint="eastAsia" w:ascii="宋体" w:hAnsi="宋体" w:cs="宋体"/>
                <w:color w:val="auto"/>
              </w:rPr>
              <w:t>过</w:t>
            </w:r>
            <w:r>
              <w:rPr>
                <w:rFonts w:ascii="宋体" w:hAnsi="宋体" w:cs="宋体"/>
                <w:color w:val="auto"/>
              </w:rPr>
              <w:t xml:space="preserve">   </w:t>
            </w:r>
            <w:r>
              <w:rPr>
                <w:rFonts w:hint="eastAsia" w:ascii="宋体" w:hAnsi="宋体" w:cs="宋体"/>
                <w:color w:val="auto"/>
              </w:rPr>
              <w:t>程（</w:t>
            </w:r>
            <w:r>
              <w:rPr>
                <w:rFonts w:ascii="宋体" w:hAnsi="宋体" w:cs="宋体"/>
                <w:color w:val="auto"/>
              </w:rPr>
              <w:t>30</w:t>
            </w:r>
            <w:r>
              <w:rPr>
                <w:rFonts w:hint="eastAsia" w:ascii="宋体" w:hAnsi="宋体" w:cs="宋体"/>
                <w:color w:val="auto"/>
              </w:rPr>
              <w:t>分）</w:t>
            </w:r>
          </w:p>
        </w:tc>
        <w:tc>
          <w:tcPr>
            <w:tcW w:w="710" w:type="dxa"/>
            <w:vMerge w:val="restart"/>
            <w:tcMar>
              <w:top w:w="10" w:type="dxa"/>
              <w:left w:w="10" w:type="dxa"/>
              <w:bottom w:w="0" w:type="dxa"/>
              <w:right w:w="10" w:type="dxa"/>
            </w:tcMar>
            <w:vAlign w:val="center"/>
          </w:tcPr>
          <w:p>
            <w:pPr>
              <w:spacing w:line="240" w:lineRule="exact"/>
              <w:jc w:val="center"/>
              <w:rPr>
                <w:rFonts w:hint="eastAsia" w:ascii="宋体" w:hAnsi="宋体" w:eastAsia="宋体" w:cs="宋体"/>
                <w:color w:val="auto"/>
                <w:lang w:eastAsia="zh-CN"/>
              </w:rPr>
            </w:pPr>
            <w:r>
              <w:rPr>
                <w:rFonts w:hint="eastAsia" w:ascii="宋体" w:hAnsi="宋体" w:cs="宋体"/>
                <w:color w:val="auto"/>
              </w:rPr>
              <w:t>预算</w:t>
            </w:r>
          </w:p>
          <w:p>
            <w:pPr>
              <w:spacing w:line="240" w:lineRule="exact"/>
              <w:jc w:val="center"/>
              <w:rPr>
                <w:rFonts w:ascii="宋体" w:cs="宋体"/>
                <w:color w:val="auto"/>
              </w:rPr>
            </w:pPr>
            <w:r>
              <w:rPr>
                <w:rFonts w:hint="eastAsia" w:ascii="宋体" w:hAnsi="宋体" w:cs="宋体"/>
                <w:color w:val="auto"/>
              </w:rPr>
              <w:t>执行（</w:t>
            </w:r>
            <w:r>
              <w:rPr>
                <w:rFonts w:ascii="宋体" w:hAnsi="宋体" w:cs="宋体"/>
                <w:color w:val="auto"/>
              </w:rPr>
              <w:t>20</w:t>
            </w:r>
            <w:r>
              <w:rPr>
                <w:rFonts w:hint="eastAsia" w:ascii="宋体" w:hAnsi="宋体" w:cs="宋体"/>
                <w:color w:val="auto"/>
              </w:rPr>
              <w:t>分）</w:t>
            </w: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预算</w:t>
            </w:r>
          </w:p>
          <w:p>
            <w:pPr>
              <w:spacing w:line="240" w:lineRule="exact"/>
              <w:jc w:val="center"/>
              <w:rPr>
                <w:rFonts w:ascii="宋体" w:cs="宋体"/>
                <w:color w:val="auto"/>
              </w:rPr>
            </w:pPr>
            <w:r>
              <w:rPr>
                <w:rFonts w:hint="eastAsia" w:ascii="宋体" w:hAnsi="宋体" w:cs="宋体"/>
                <w:color w:val="auto"/>
              </w:rPr>
              <w:t>执行率（</w:t>
            </w:r>
            <w:r>
              <w:rPr>
                <w:rFonts w:ascii="宋体" w:hAnsi="宋体" w:cs="宋体"/>
                <w:color w:val="auto"/>
              </w:rPr>
              <w:t>4</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default" w:ascii="宋体" w:eastAsia="宋体" w:cs="宋体"/>
                <w:color w:val="auto"/>
                <w:lang w:val="en-US" w:eastAsia="zh-CN"/>
              </w:rPr>
            </w:pPr>
            <w:r>
              <w:rPr>
                <w:rFonts w:hint="eastAsia" w:ascii="宋体" w:cs="宋体"/>
                <w:color w:val="auto"/>
                <w:lang w:val="en-US" w:eastAsia="zh-CN"/>
              </w:rPr>
              <w:t>3</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部门本年度预算完成数与预算数的比率，用以反映和考核部门预算完成程度。</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预算执行率</w:t>
            </w:r>
            <w:r>
              <w:rPr>
                <w:rFonts w:ascii="宋体" w:hAnsi="宋体" w:cs="宋体"/>
                <w:color w:val="auto"/>
              </w:rPr>
              <w:t>=</w:t>
            </w:r>
            <w:r>
              <w:rPr>
                <w:rFonts w:hint="eastAsia" w:ascii="宋体" w:hAnsi="宋体" w:cs="宋体"/>
                <w:color w:val="auto"/>
              </w:rPr>
              <w:t>（预算执行数</w:t>
            </w:r>
            <w:r>
              <w:rPr>
                <w:rFonts w:ascii="宋体" w:hAnsi="宋体" w:cs="宋体"/>
                <w:color w:val="auto"/>
              </w:rPr>
              <w:t>/</w:t>
            </w:r>
            <w:r>
              <w:rPr>
                <w:rFonts w:hint="eastAsia" w:ascii="宋体" w:hAnsi="宋体" w:cs="宋体"/>
                <w:color w:val="auto"/>
              </w:rPr>
              <w:t>预算数）×</w:t>
            </w:r>
            <w:r>
              <w:rPr>
                <w:rFonts w:ascii="宋体" w:hAnsi="宋体" w:cs="宋体"/>
                <w:color w:val="auto"/>
              </w:rPr>
              <w:t>100%</w:t>
            </w:r>
            <w:r>
              <w:rPr>
                <w:rFonts w:hint="eastAsia" w:ascii="宋体" w:hAnsi="宋体" w:cs="宋体"/>
                <w:color w:val="auto"/>
              </w:rPr>
              <w:t>。</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预算执行数：部门本年度实际完成的预算数。</w:t>
            </w:r>
          </w:p>
          <w:p>
            <w:pPr>
              <w:spacing w:line="240" w:lineRule="exact"/>
              <w:ind w:left="105" w:leftChars="50" w:right="105" w:rightChars="50"/>
              <w:rPr>
                <w:rFonts w:ascii="宋体" w:cs="宋体"/>
                <w:color w:val="auto"/>
              </w:rPr>
            </w:pPr>
            <w:r>
              <w:rPr>
                <w:rFonts w:hint="eastAsia" w:ascii="宋体" w:hAnsi="宋体" w:cs="宋体"/>
                <w:color w:val="auto"/>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581" w:type="dxa"/>
            <w:vMerge w:val="continue"/>
            <w:vAlign w:val="center"/>
          </w:tcPr>
          <w:p>
            <w:pPr>
              <w:spacing w:line="240" w:lineRule="exact"/>
              <w:jc w:val="center"/>
              <w:rPr>
                <w:rFonts w:ascii="宋体" w:cs="宋体"/>
                <w:color w:val="auto"/>
              </w:rPr>
            </w:pPr>
          </w:p>
        </w:tc>
        <w:tc>
          <w:tcPr>
            <w:tcW w:w="710" w:type="dxa"/>
            <w:vMerge w:val="continue"/>
            <w:vAlign w:val="center"/>
          </w:tcPr>
          <w:p>
            <w:pPr>
              <w:spacing w:line="240" w:lineRule="exact"/>
              <w:jc w:val="center"/>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预算</w:t>
            </w:r>
          </w:p>
          <w:p>
            <w:pPr>
              <w:spacing w:line="240" w:lineRule="exact"/>
              <w:jc w:val="center"/>
              <w:rPr>
                <w:rFonts w:ascii="宋体" w:cs="宋体"/>
                <w:color w:val="auto"/>
              </w:rPr>
            </w:pPr>
            <w:r>
              <w:rPr>
                <w:rFonts w:hint="eastAsia" w:ascii="宋体" w:hAnsi="宋体" w:cs="宋体"/>
                <w:color w:val="auto"/>
              </w:rPr>
              <w:t>调整率（</w:t>
            </w:r>
            <w:r>
              <w:rPr>
                <w:rFonts w:ascii="宋体" w:hAnsi="宋体" w:cs="宋体"/>
                <w:color w:val="auto"/>
              </w:rPr>
              <w:t>2</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部门本年度预算调整数与预算数的比率，用以反映和考核部门预算的调整程度。</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预算调整率</w:t>
            </w:r>
            <w:r>
              <w:rPr>
                <w:rFonts w:ascii="宋体" w:hAnsi="宋体" w:cs="宋体"/>
                <w:color w:val="auto"/>
              </w:rPr>
              <w:t>=</w:t>
            </w:r>
            <w:r>
              <w:rPr>
                <w:rFonts w:hint="eastAsia" w:ascii="宋体" w:hAnsi="宋体" w:cs="宋体"/>
                <w:color w:val="auto"/>
              </w:rPr>
              <w:t>（预算调整数</w:t>
            </w:r>
            <w:r>
              <w:rPr>
                <w:rFonts w:ascii="宋体" w:hAnsi="宋体" w:cs="宋体"/>
                <w:color w:val="auto"/>
              </w:rPr>
              <w:t>/</w:t>
            </w:r>
            <w:r>
              <w:rPr>
                <w:rFonts w:hint="eastAsia" w:ascii="宋体" w:hAnsi="宋体" w:cs="宋体"/>
                <w:color w:val="auto"/>
              </w:rPr>
              <w:t>预算数）×</w:t>
            </w:r>
            <w:r>
              <w:rPr>
                <w:rFonts w:ascii="宋体" w:hAnsi="宋体" w:cs="宋体"/>
                <w:color w:val="auto"/>
              </w:rPr>
              <w:t>100%</w:t>
            </w:r>
            <w:r>
              <w:rPr>
                <w:rFonts w:hint="eastAsia" w:ascii="宋体" w:hAnsi="宋体" w:cs="宋体"/>
                <w:color w:val="auto"/>
              </w:rPr>
              <w:t>。</w:t>
            </w:r>
          </w:p>
          <w:p>
            <w:pPr>
              <w:spacing w:line="240" w:lineRule="exact"/>
              <w:ind w:left="105" w:leftChars="50" w:right="105" w:rightChars="50"/>
              <w:rPr>
                <w:rFonts w:ascii="宋体" w:cs="宋体"/>
                <w:color w:val="auto"/>
              </w:rPr>
            </w:pPr>
            <w:r>
              <w:rPr>
                <w:rFonts w:hint="eastAsia" w:ascii="宋体" w:hAnsi="宋体" w:cs="宋体"/>
                <w:color w:val="auto"/>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581" w:type="dxa"/>
            <w:vMerge w:val="continue"/>
            <w:vAlign w:val="center"/>
          </w:tcPr>
          <w:p>
            <w:pPr>
              <w:spacing w:line="240" w:lineRule="exact"/>
              <w:jc w:val="center"/>
              <w:rPr>
                <w:rFonts w:ascii="宋体" w:cs="宋体"/>
                <w:color w:val="auto"/>
              </w:rPr>
            </w:pPr>
          </w:p>
        </w:tc>
        <w:tc>
          <w:tcPr>
            <w:tcW w:w="710" w:type="dxa"/>
            <w:vMerge w:val="continue"/>
            <w:vAlign w:val="center"/>
          </w:tcPr>
          <w:p>
            <w:pPr>
              <w:spacing w:line="240" w:lineRule="exact"/>
              <w:jc w:val="center"/>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支付</w:t>
            </w:r>
          </w:p>
          <w:p>
            <w:pPr>
              <w:spacing w:line="240" w:lineRule="exact"/>
              <w:jc w:val="center"/>
              <w:rPr>
                <w:rFonts w:ascii="宋体" w:cs="宋体"/>
                <w:color w:val="auto"/>
              </w:rPr>
            </w:pPr>
            <w:r>
              <w:rPr>
                <w:rFonts w:hint="eastAsia" w:ascii="宋体" w:hAnsi="宋体" w:cs="宋体"/>
                <w:color w:val="auto"/>
              </w:rPr>
              <w:t>进度率（</w:t>
            </w:r>
            <w:r>
              <w:rPr>
                <w:rFonts w:ascii="宋体" w:hAnsi="宋体" w:cs="宋体"/>
                <w:color w:val="auto"/>
              </w:rPr>
              <w:t>2</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部门实际支付进度与既定支付进度的比率，用以反映和考核部门预算执行的及时性和均衡性程度。</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支付进度率</w:t>
            </w:r>
            <w:r>
              <w:rPr>
                <w:rFonts w:ascii="宋体" w:hAnsi="宋体" w:cs="宋体"/>
                <w:color w:val="auto"/>
              </w:rPr>
              <w:t>=</w:t>
            </w:r>
            <w:r>
              <w:rPr>
                <w:rFonts w:hint="eastAsia" w:ascii="宋体" w:hAnsi="宋体" w:cs="宋体"/>
                <w:color w:val="auto"/>
              </w:rPr>
              <w:t>（实际支付进度</w:t>
            </w:r>
            <w:r>
              <w:rPr>
                <w:rFonts w:ascii="宋体" w:hAnsi="宋体" w:cs="宋体"/>
                <w:color w:val="auto"/>
              </w:rPr>
              <w:t>/</w:t>
            </w:r>
            <w:r>
              <w:rPr>
                <w:rFonts w:hint="eastAsia" w:ascii="宋体" w:hAnsi="宋体" w:cs="宋体"/>
                <w:color w:val="auto"/>
              </w:rPr>
              <w:t>既定支付进度）×</w:t>
            </w:r>
            <w:r>
              <w:rPr>
                <w:rFonts w:ascii="宋体" w:hAnsi="宋体" w:cs="宋体"/>
                <w:color w:val="auto"/>
              </w:rPr>
              <w:t>100%</w:t>
            </w:r>
            <w:r>
              <w:rPr>
                <w:rFonts w:hint="eastAsia" w:ascii="宋体" w:hAnsi="宋体" w:cs="宋体"/>
                <w:color w:val="auto"/>
              </w:rPr>
              <w:t>。</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实际支付进度：部门在某一时点的支出预算执行总数与年度支出预算数的比率。</w:t>
            </w:r>
          </w:p>
          <w:p>
            <w:pPr>
              <w:spacing w:line="240" w:lineRule="exact"/>
              <w:ind w:left="105" w:leftChars="50" w:right="105" w:rightChars="50"/>
              <w:rPr>
                <w:rFonts w:ascii="宋体" w:cs="宋体"/>
                <w:color w:val="auto"/>
              </w:rPr>
            </w:pPr>
            <w:r>
              <w:rPr>
                <w:rFonts w:hint="eastAsia" w:ascii="宋体" w:hAnsi="宋体" w:cs="宋体"/>
                <w:color w:val="auto"/>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81" w:type="dxa"/>
            <w:vMerge w:val="continue"/>
            <w:noWrap/>
            <w:tcMar>
              <w:top w:w="10" w:type="dxa"/>
              <w:left w:w="10" w:type="dxa"/>
              <w:bottom w:w="0" w:type="dxa"/>
              <w:right w:w="10" w:type="dxa"/>
            </w:tcMar>
            <w:textDirection w:val="tbRlV"/>
            <w:vAlign w:val="center"/>
          </w:tcPr>
          <w:p>
            <w:pPr>
              <w:spacing w:line="240" w:lineRule="exact"/>
              <w:jc w:val="center"/>
              <w:rPr>
                <w:rFonts w:ascii="宋体" w:cs="宋体"/>
                <w:color w:val="auto"/>
              </w:rPr>
            </w:pPr>
          </w:p>
        </w:tc>
        <w:tc>
          <w:tcPr>
            <w:tcW w:w="710" w:type="dxa"/>
            <w:vMerge w:val="continue"/>
            <w:tcMar>
              <w:top w:w="10" w:type="dxa"/>
              <w:left w:w="10" w:type="dxa"/>
              <w:bottom w:w="0" w:type="dxa"/>
              <w:right w:w="10" w:type="dxa"/>
            </w:tcMar>
            <w:vAlign w:val="center"/>
          </w:tcPr>
          <w:p>
            <w:pPr>
              <w:spacing w:line="240" w:lineRule="exact"/>
              <w:jc w:val="center"/>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结转</w:t>
            </w:r>
          </w:p>
          <w:p>
            <w:pPr>
              <w:spacing w:line="240" w:lineRule="exact"/>
              <w:jc w:val="center"/>
              <w:rPr>
                <w:rFonts w:ascii="宋体" w:cs="宋体"/>
                <w:color w:val="auto"/>
              </w:rPr>
            </w:pPr>
            <w:r>
              <w:rPr>
                <w:rFonts w:hint="eastAsia" w:ascii="宋体" w:hAnsi="宋体" w:cs="宋体"/>
                <w:color w:val="auto"/>
              </w:rPr>
              <w:t>结余率（</w:t>
            </w:r>
            <w:r>
              <w:rPr>
                <w:rFonts w:ascii="宋体" w:hAnsi="宋体" w:cs="宋体"/>
                <w:color w:val="auto"/>
              </w:rPr>
              <w:t>2</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部门本年度结转结余总额与支出预算数的比率，用以反映和考核部门对本年度结转结余资金的实际控制程度。</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结转结余率</w:t>
            </w:r>
            <w:r>
              <w:rPr>
                <w:rFonts w:ascii="宋体" w:hAnsi="宋体" w:cs="宋体"/>
                <w:color w:val="auto"/>
              </w:rPr>
              <w:t>=</w:t>
            </w:r>
            <w:r>
              <w:rPr>
                <w:rFonts w:hint="eastAsia" w:ascii="宋体" w:hAnsi="宋体" w:cs="宋体"/>
                <w:color w:val="auto"/>
              </w:rPr>
              <w:t>结转结余总额</w:t>
            </w:r>
            <w:r>
              <w:rPr>
                <w:rFonts w:ascii="宋体" w:hAnsi="宋体" w:cs="宋体"/>
                <w:color w:val="auto"/>
              </w:rPr>
              <w:t>/</w:t>
            </w:r>
            <w:r>
              <w:rPr>
                <w:rFonts w:hint="eastAsia" w:ascii="宋体" w:hAnsi="宋体" w:cs="宋体"/>
                <w:color w:val="auto"/>
              </w:rPr>
              <w:t>支出预算数×</w:t>
            </w:r>
            <w:r>
              <w:rPr>
                <w:rFonts w:ascii="宋体" w:hAnsi="宋体" w:cs="宋体"/>
                <w:color w:val="auto"/>
              </w:rPr>
              <w:t>100%</w:t>
            </w:r>
            <w:r>
              <w:rPr>
                <w:rFonts w:hint="eastAsia" w:ascii="宋体" w:hAnsi="宋体" w:cs="宋体"/>
                <w:color w:val="auto"/>
              </w:rPr>
              <w:t>。</w:t>
            </w:r>
          </w:p>
          <w:p>
            <w:pPr>
              <w:spacing w:line="240" w:lineRule="exact"/>
              <w:ind w:left="105" w:leftChars="50" w:right="105" w:rightChars="50"/>
              <w:rPr>
                <w:rFonts w:ascii="宋体" w:cs="宋体"/>
                <w:color w:val="auto"/>
              </w:rPr>
            </w:pPr>
            <w:r>
              <w:rPr>
                <w:rFonts w:hint="eastAsia" w:ascii="宋体" w:hAnsi="宋体" w:cs="宋体"/>
                <w:color w:val="auto"/>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581" w:type="dxa"/>
            <w:vMerge w:val="continue"/>
            <w:vAlign w:val="center"/>
          </w:tcPr>
          <w:p>
            <w:pPr>
              <w:spacing w:line="240" w:lineRule="exact"/>
              <w:jc w:val="center"/>
              <w:rPr>
                <w:rFonts w:ascii="宋体" w:cs="宋体"/>
                <w:color w:val="auto"/>
              </w:rPr>
            </w:pPr>
          </w:p>
        </w:tc>
        <w:tc>
          <w:tcPr>
            <w:tcW w:w="710" w:type="dxa"/>
            <w:vMerge w:val="continue"/>
            <w:vAlign w:val="center"/>
          </w:tcPr>
          <w:p>
            <w:pPr>
              <w:spacing w:line="240" w:lineRule="exact"/>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结转结余</w:t>
            </w:r>
          </w:p>
          <w:p>
            <w:pPr>
              <w:spacing w:line="240" w:lineRule="exact"/>
              <w:jc w:val="center"/>
              <w:rPr>
                <w:rFonts w:ascii="宋体" w:cs="宋体"/>
                <w:color w:val="auto"/>
              </w:rPr>
            </w:pPr>
            <w:r>
              <w:rPr>
                <w:rFonts w:hint="eastAsia" w:ascii="宋体" w:hAnsi="宋体" w:cs="宋体"/>
                <w:color w:val="auto"/>
              </w:rPr>
              <w:t>变动率（</w:t>
            </w:r>
            <w:r>
              <w:rPr>
                <w:rFonts w:ascii="宋体" w:hAnsi="宋体" w:cs="宋体"/>
                <w:color w:val="auto"/>
              </w:rPr>
              <w:t>2</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部门本年度结转结余资金总额与上年度结转结余资金总额的变动比率，用以反映和考核部门对控制结转结余资金的努力程度。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color w:val="auto"/>
              </w:rPr>
            </w:pPr>
            <w:r>
              <w:rPr>
                <w:rFonts w:hint="eastAsia" w:ascii="宋体" w:hAnsi="宋体" w:cs="宋体"/>
                <w:color w:val="auto"/>
              </w:rPr>
              <w:t>结转结余变动率</w:t>
            </w:r>
            <w:r>
              <w:rPr>
                <w:rFonts w:ascii="宋体" w:hAnsi="宋体" w:cs="宋体"/>
                <w:color w:val="auto"/>
              </w:rPr>
              <w:t>=[</w:t>
            </w:r>
            <w:r>
              <w:rPr>
                <w:rFonts w:hint="eastAsia" w:ascii="宋体" w:hAnsi="宋体" w:cs="宋体"/>
                <w:color w:val="auto"/>
              </w:rPr>
              <w:t>（本年度累计结转结余资金总额</w:t>
            </w:r>
            <w:r>
              <w:rPr>
                <w:rFonts w:ascii="宋体" w:hAnsi="宋体" w:cs="宋体"/>
                <w:color w:val="auto"/>
              </w:rPr>
              <w:t>-</w:t>
            </w:r>
            <w:r>
              <w:rPr>
                <w:rFonts w:hint="eastAsia" w:ascii="宋体" w:hAnsi="宋体" w:cs="宋体"/>
                <w:color w:val="auto"/>
              </w:rPr>
              <w:t>上年度累计结转结余资金总额）</w:t>
            </w:r>
            <w:r>
              <w:rPr>
                <w:rFonts w:ascii="宋体" w:hAnsi="宋体" w:cs="宋体"/>
                <w:color w:val="auto"/>
              </w:rPr>
              <w:t>/</w:t>
            </w:r>
            <w:r>
              <w:rPr>
                <w:rFonts w:hint="eastAsia" w:ascii="宋体" w:hAnsi="宋体" w:cs="宋体"/>
                <w:color w:val="auto"/>
              </w:rPr>
              <w:t>上年度累计结转结余资金总额</w:t>
            </w:r>
            <w:r>
              <w:rPr>
                <w:rFonts w:ascii="宋体" w:hAnsi="宋体" w:cs="宋体"/>
                <w:color w:val="auto"/>
              </w:rPr>
              <w:t>]</w:t>
            </w:r>
            <w:r>
              <w:rPr>
                <w:rFonts w:hint="eastAsia" w:ascii="宋体" w:hAnsi="宋体" w:cs="宋体"/>
                <w:color w:val="auto"/>
              </w:rPr>
              <w:t>×</w:t>
            </w:r>
            <w:r>
              <w:rPr>
                <w:rFonts w:ascii="宋体" w:hAnsi="宋体" w:cs="宋体"/>
                <w:color w:val="auto"/>
              </w:rPr>
              <w:t>100%</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581" w:type="dxa"/>
            <w:vMerge w:val="continue"/>
            <w:vAlign w:val="center"/>
          </w:tcPr>
          <w:p>
            <w:pPr>
              <w:spacing w:line="240" w:lineRule="exact"/>
              <w:jc w:val="center"/>
              <w:rPr>
                <w:rFonts w:ascii="宋体" w:cs="宋体"/>
                <w:color w:val="auto"/>
              </w:rPr>
            </w:pPr>
          </w:p>
        </w:tc>
        <w:tc>
          <w:tcPr>
            <w:tcW w:w="710" w:type="dxa"/>
            <w:vMerge w:val="continue"/>
            <w:vAlign w:val="center"/>
          </w:tcPr>
          <w:p>
            <w:pPr>
              <w:spacing w:line="240" w:lineRule="exact"/>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公用经费</w:t>
            </w:r>
          </w:p>
          <w:p>
            <w:pPr>
              <w:spacing w:line="240" w:lineRule="exact"/>
              <w:jc w:val="center"/>
              <w:rPr>
                <w:rFonts w:ascii="宋体" w:cs="宋体"/>
                <w:color w:val="auto"/>
              </w:rPr>
            </w:pPr>
            <w:r>
              <w:rPr>
                <w:rFonts w:hint="eastAsia" w:ascii="宋体" w:hAnsi="宋体" w:cs="宋体"/>
                <w:color w:val="auto"/>
              </w:rPr>
              <w:t>控制率（</w:t>
            </w:r>
            <w:r>
              <w:rPr>
                <w:rFonts w:ascii="宋体" w:hAnsi="宋体" w:cs="宋体"/>
                <w:color w:val="auto"/>
              </w:rPr>
              <w:t>2</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部门本年度实际支出的公用经费总额与预算安排的公用经费总额的比率，用以反映和考核部门对机构运转成本的实际控制程度。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color w:val="auto"/>
              </w:rPr>
            </w:pPr>
            <w:r>
              <w:rPr>
                <w:rFonts w:hint="eastAsia" w:ascii="宋体" w:hAnsi="宋体" w:cs="宋体"/>
                <w:color w:val="auto"/>
              </w:rPr>
              <w:t>公用经费控制率</w:t>
            </w:r>
            <w:r>
              <w:rPr>
                <w:rFonts w:ascii="宋体" w:hAnsi="宋体" w:cs="宋体"/>
                <w:color w:val="auto"/>
              </w:rPr>
              <w:t>=</w:t>
            </w:r>
            <w:r>
              <w:rPr>
                <w:rFonts w:hint="eastAsia" w:ascii="宋体" w:hAnsi="宋体" w:cs="宋体"/>
                <w:color w:val="auto"/>
              </w:rPr>
              <w:t>（实际支出公用经费总额</w:t>
            </w:r>
            <w:r>
              <w:rPr>
                <w:rFonts w:ascii="宋体" w:hAnsi="宋体" w:cs="宋体"/>
                <w:color w:val="auto"/>
              </w:rPr>
              <w:t>/</w:t>
            </w:r>
            <w:r>
              <w:rPr>
                <w:rFonts w:hint="eastAsia" w:ascii="宋体" w:hAnsi="宋体" w:cs="宋体"/>
                <w:color w:val="auto"/>
              </w:rPr>
              <w:t>预算安排公用经费总额）×</w:t>
            </w:r>
            <w:r>
              <w:rPr>
                <w:rFonts w:ascii="宋体" w:hAnsi="宋体" w:cs="宋体"/>
                <w:color w:val="auto"/>
              </w:rPr>
              <w:t>100%</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581" w:type="dxa"/>
            <w:vMerge w:val="continue"/>
            <w:vAlign w:val="center"/>
          </w:tcPr>
          <w:p>
            <w:pPr>
              <w:spacing w:line="240" w:lineRule="exact"/>
              <w:jc w:val="center"/>
              <w:rPr>
                <w:rFonts w:ascii="宋体" w:cs="宋体"/>
                <w:color w:val="auto"/>
              </w:rPr>
            </w:pPr>
          </w:p>
        </w:tc>
        <w:tc>
          <w:tcPr>
            <w:tcW w:w="710" w:type="dxa"/>
            <w:vMerge w:val="continue"/>
            <w:vAlign w:val="center"/>
          </w:tcPr>
          <w:p>
            <w:pPr>
              <w:spacing w:line="240" w:lineRule="exact"/>
              <w:jc w:val="center"/>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“三公经费”控制率（</w:t>
            </w:r>
            <w:r>
              <w:rPr>
                <w:rFonts w:ascii="宋体" w:hAnsi="宋体" w:cs="宋体"/>
                <w:color w:val="auto"/>
              </w:rPr>
              <w:t>2</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部门本年度“三公经费”实际支出数与预算安排数的比率，用以反映和考核部门对“三公经费”的实际控制程度。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color w:val="auto"/>
              </w:rPr>
            </w:pPr>
            <w:r>
              <w:rPr>
                <w:rFonts w:hint="eastAsia" w:ascii="宋体" w:hAnsi="宋体" w:cs="宋体"/>
                <w:color w:val="auto"/>
              </w:rPr>
              <w:t>“三公经费”控制率</w:t>
            </w:r>
            <w:r>
              <w:rPr>
                <w:rFonts w:ascii="宋体" w:hAnsi="宋体" w:cs="宋体"/>
                <w:color w:val="auto"/>
              </w:rPr>
              <w:t>=</w:t>
            </w:r>
            <w:r>
              <w:rPr>
                <w:rFonts w:hint="eastAsia" w:ascii="宋体" w:hAnsi="宋体" w:cs="宋体"/>
                <w:color w:val="auto"/>
              </w:rPr>
              <w:t>（“三公经费”实际支出数</w:t>
            </w:r>
            <w:r>
              <w:rPr>
                <w:rFonts w:ascii="宋体" w:hAnsi="宋体" w:cs="宋体"/>
                <w:color w:val="auto"/>
              </w:rPr>
              <w:t>/</w:t>
            </w:r>
            <w:r>
              <w:rPr>
                <w:rFonts w:hint="eastAsia" w:ascii="宋体" w:hAnsi="宋体" w:cs="宋体"/>
                <w:color w:val="auto"/>
              </w:rPr>
              <w:t>“三公经费”预算安排数）×</w:t>
            </w:r>
            <w:r>
              <w:rPr>
                <w:rFonts w:ascii="宋体" w:hAnsi="宋体" w:cs="宋体"/>
                <w:color w:val="auto"/>
              </w:rPr>
              <w:t>100%</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581" w:type="dxa"/>
            <w:vMerge w:val="continue"/>
            <w:vAlign w:val="center"/>
          </w:tcPr>
          <w:p>
            <w:pPr>
              <w:spacing w:line="240" w:lineRule="exact"/>
              <w:jc w:val="center"/>
              <w:rPr>
                <w:rFonts w:ascii="宋体" w:cs="宋体"/>
                <w:color w:val="auto"/>
              </w:rPr>
            </w:pPr>
          </w:p>
        </w:tc>
        <w:tc>
          <w:tcPr>
            <w:tcW w:w="710" w:type="dxa"/>
            <w:vMerge w:val="continue"/>
            <w:vAlign w:val="center"/>
          </w:tcPr>
          <w:p>
            <w:pPr>
              <w:spacing w:line="240" w:lineRule="exact"/>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政府采购</w:t>
            </w:r>
          </w:p>
          <w:p>
            <w:pPr>
              <w:spacing w:line="240" w:lineRule="exact"/>
              <w:jc w:val="center"/>
              <w:rPr>
                <w:rFonts w:ascii="宋体" w:cs="宋体"/>
                <w:color w:val="auto"/>
              </w:rPr>
            </w:pPr>
            <w:r>
              <w:rPr>
                <w:rFonts w:hint="eastAsia" w:ascii="宋体" w:hAnsi="宋体" w:cs="宋体"/>
                <w:color w:val="auto"/>
              </w:rPr>
              <w:t>执行率（</w:t>
            </w:r>
            <w:r>
              <w:rPr>
                <w:rFonts w:ascii="宋体" w:hAnsi="宋体" w:cs="宋体"/>
                <w:color w:val="auto"/>
              </w:rPr>
              <w:t>4</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4</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部门本年度实际政府采购金额与年初政府采购预算的比率，用以反映和考核部门政府采购预算执行情况。</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政府采购执行率</w:t>
            </w:r>
            <w:r>
              <w:rPr>
                <w:rFonts w:ascii="宋体" w:hAnsi="宋体" w:cs="宋体"/>
                <w:color w:val="auto"/>
              </w:rPr>
              <w:t>=</w:t>
            </w:r>
            <w:r>
              <w:rPr>
                <w:rFonts w:hint="eastAsia" w:ascii="宋体" w:hAnsi="宋体" w:cs="宋体"/>
                <w:color w:val="auto"/>
              </w:rPr>
              <w:t>（实际政府采购金额</w:t>
            </w:r>
            <w:r>
              <w:rPr>
                <w:rFonts w:ascii="宋体" w:hAnsi="宋体" w:cs="宋体"/>
                <w:color w:val="auto"/>
              </w:rPr>
              <w:t>/</w:t>
            </w:r>
            <w:r>
              <w:rPr>
                <w:rFonts w:hint="eastAsia" w:ascii="宋体" w:hAnsi="宋体" w:cs="宋体"/>
                <w:color w:val="auto"/>
              </w:rPr>
              <w:t>政府采购预算数）×</w:t>
            </w:r>
            <w:r>
              <w:rPr>
                <w:rFonts w:ascii="宋体" w:hAnsi="宋体" w:cs="宋体"/>
                <w:color w:val="auto"/>
              </w:rPr>
              <w:t>100%</w:t>
            </w:r>
            <w:r>
              <w:rPr>
                <w:rFonts w:hint="eastAsia" w:ascii="宋体" w:hAnsi="宋体" w:cs="宋体"/>
                <w:color w:val="auto"/>
              </w:rPr>
              <w:t>；</w:t>
            </w:r>
          </w:p>
          <w:p>
            <w:pPr>
              <w:spacing w:line="240" w:lineRule="exact"/>
              <w:ind w:left="105" w:leftChars="50" w:right="105" w:rightChars="50"/>
              <w:rPr>
                <w:rFonts w:ascii="宋体" w:hAnsi="宋体" w:cs="宋体"/>
                <w:color w:val="auto"/>
              </w:rPr>
            </w:pPr>
            <w:r>
              <w:rPr>
                <w:rFonts w:hint="eastAsia" w:ascii="宋体" w:hAnsi="宋体" w:cs="宋体"/>
                <w:color w:val="auto"/>
              </w:rPr>
              <w:t>政府采购预算：采购机关根据事业发展计划和行政任务编制的、并经过规定程序批准的年度政府采购计划。</w:t>
            </w:r>
            <w:r>
              <w:rPr>
                <w:rFonts w:ascii="宋体" w:hAnsi="宋体" w:cs="宋体"/>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581" w:type="dxa"/>
            <w:vMerge w:val="restart"/>
            <w:vAlign w:val="center"/>
          </w:tcPr>
          <w:p>
            <w:pPr>
              <w:spacing w:line="240" w:lineRule="exact"/>
              <w:jc w:val="center"/>
              <w:rPr>
                <w:rFonts w:ascii="宋体" w:cs="宋体"/>
                <w:color w:val="auto"/>
              </w:rPr>
            </w:pPr>
            <w:r>
              <w:rPr>
                <w:rFonts w:hint="eastAsia" w:ascii="宋体" w:hAnsi="宋体" w:cs="宋体"/>
                <w:color w:val="auto"/>
              </w:rPr>
              <w:t>过</w:t>
            </w:r>
          </w:p>
          <w:p>
            <w:pPr>
              <w:spacing w:line="240" w:lineRule="exact"/>
              <w:jc w:val="center"/>
              <w:rPr>
                <w:rFonts w:ascii="宋体" w:cs="宋体"/>
                <w:color w:val="auto"/>
              </w:rPr>
            </w:pPr>
            <w:r>
              <w:rPr>
                <w:rFonts w:hint="eastAsia" w:ascii="宋体" w:hAnsi="宋体" w:cs="宋体"/>
                <w:color w:val="auto"/>
              </w:rPr>
              <w:t>程（</w:t>
            </w:r>
            <w:r>
              <w:rPr>
                <w:rFonts w:ascii="宋体" w:hAnsi="宋体" w:cs="宋体"/>
                <w:color w:val="auto"/>
              </w:rPr>
              <w:t>30</w:t>
            </w:r>
            <w:r>
              <w:rPr>
                <w:rFonts w:hint="eastAsia" w:ascii="宋体" w:hAnsi="宋体" w:cs="宋体"/>
                <w:color w:val="auto"/>
              </w:rPr>
              <w:t>分）</w:t>
            </w:r>
          </w:p>
        </w:tc>
        <w:tc>
          <w:tcPr>
            <w:tcW w:w="710" w:type="dxa"/>
            <w:vMerge w:val="restart"/>
            <w:tcMar>
              <w:top w:w="10" w:type="dxa"/>
              <w:left w:w="10" w:type="dxa"/>
              <w:bottom w:w="0" w:type="dxa"/>
              <w:right w:w="10" w:type="dxa"/>
            </w:tcMar>
            <w:vAlign w:val="center"/>
          </w:tcPr>
          <w:p>
            <w:pPr>
              <w:spacing w:line="240" w:lineRule="exact"/>
              <w:jc w:val="center"/>
              <w:rPr>
                <w:rFonts w:hint="eastAsia" w:ascii="宋体" w:hAnsi="宋体" w:eastAsia="宋体" w:cs="宋体"/>
                <w:color w:val="auto"/>
                <w:lang w:eastAsia="zh-CN"/>
              </w:rPr>
            </w:pPr>
            <w:r>
              <w:rPr>
                <w:rFonts w:hint="eastAsia" w:ascii="宋体" w:hAnsi="宋体" w:cs="宋体"/>
                <w:color w:val="auto"/>
              </w:rPr>
              <w:t>预算</w:t>
            </w:r>
          </w:p>
          <w:p>
            <w:pPr>
              <w:spacing w:line="240" w:lineRule="exact"/>
              <w:jc w:val="center"/>
              <w:rPr>
                <w:rFonts w:ascii="宋体" w:cs="宋体"/>
                <w:color w:val="auto"/>
              </w:rPr>
            </w:pPr>
            <w:r>
              <w:rPr>
                <w:rFonts w:hint="eastAsia" w:ascii="宋体" w:hAnsi="宋体" w:cs="宋体"/>
                <w:color w:val="auto"/>
              </w:rPr>
              <w:t>管理（</w:t>
            </w:r>
            <w:r>
              <w:rPr>
                <w:rFonts w:ascii="宋体" w:hAnsi="宋体" w:cs="宋体"/>
                <w:color w:val="auto"/>
              </w:rPr>
              <w:t>5</w:t>
            </w:r>
            <w:r>
              <w:rPr>
                <w:rFonts w:hint="eastAsia" w:ascii="宋体" w:hAnsi="宋体" w:cs="宋体"/>
                <w:color w:val="auto"/>
              </w:rPr>
              <w:t>分）</w:t>
            </w:r>
          </w:p>
          <w:p>
            <w:pPr>
              <w:spacing w:line="240" w:lineRule="exact"/>
              <w:jc w:val="center"/>
              <w:rPr>
                <w:rFonts w:ascii="宋体" w:cs="宋体"/>
                <w:color w:val="auto"/>
              </w:rPr>
            </w:pPr>
            <w:r>
              <w:rPr>
                <w:rFonts w:hint="eastAsia" w:ascii="宋体" w:hAnsi="宋体" w:cs="宋体"/>
                <w:color w:val="auto"/>
              </w:rPr>
              <w:t>）</w:t>
            </w: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管理制度</w:t>
            </w:r>
          </w:p>
          <w:p>
            <w:pPr>
              <w:spacing w:line="240" w:lineRule="exact"/>
              <w:jc w:val="center"/>
              <w:rPr>
                <w:rFonts w:ascii="宋体" w:cs="宋体"/>
                <w:color w:val="auto"/>
              </w:rPr>
            </w:pPr>
            <w:r>
              <w:rPr>
                <w:rFonts w:hint="eastAsia" w:ascii="宋体" w:hAnsi="宋体" w:cs="宋体"/>
                <w:color w:val="auto"/>
              </w:rPr>
              <w:t>健全性（</w:t>
            </w:r>
            <w:r>
              <w:rPr>
                <w:rFonts w:ascii="宋体" w:hAnsi="宋体" w:cs="宋体"/>
                <w:color w:val="auto"/>
              </w:rPr>
              <w:t>2</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部门为加强预算管理、规范财务行为而制定的管理制度是否健全完整，用以反映和考核部门预算管理制度对完成主要职责或促进事业发展的保障情况。</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评价要点：</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①是否已制定或具有预算资金管理办法、内部财务管理制度、会计核算制度等管理制度；</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②相关管理制度是否合法、合规、完整；</w:t>
            </w:r>
          </w:p>
          <w:p>
            <w:pPr>
              <w:spacing w:line="240" w:lineRule="exact"/>
              <w:ind w:left="105" w:leftChars="50" w:right="105" w:rightChars="50"/>
              <w:rPr>
                <w:rFonts w:ascii="宋体" w:cs="宋体"/>
                <w:color w:val="auto"/>
              </w:rPr>
            </w:pPr>
            <w:r>
              <w:rPr>
                <w:rFonts w:hint="eastAsia" w:ascii="宋体" w:hAnsi="宋体" w:cs="宋体"/>
                <w:color w:val="auto"/>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581" w:type="dxa"/>
            <w:vMerge w:val="continue"/>
            <w:vAlign w:val="center"/>
          </w:tcPr>
          <w:p>
            <w:pPr>
              <w:spacing w:line="240" w:lineRule="exact"/>
              <w:jc w:val="center"/>
              <w:rPr>
                <w:rFonts w:ascii="宋体" w:cs="宋体"/>
                <w:color w:val="auto"/>
              </w:rPr>
            </w:pPr>
          </w:p>
        </w:tc>
        <w:tc>
          <w:tcPr>
            <w:tcW w:w="710" w:type="dxa"/>
            <w:vMerge w:val="continue"/>
            <w:vAlign w:val="center"/>
          </w:tcPr>
          <w:p>
            <w:pPr>
              <w:spacing w:line="240" w:lineRule="exact"/>
              <w:jc w:val="center"/>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资金使用</w:t>
            </w:r>
          </w:p>
          <w:p>
            <w:pPr>
              <w:spacing w:line="240" w:lineRule="exact"/>
              <w:jc w:val="center"/>
              <w:rPr>
                <w:rFonts w:ascii="宋体" w:cs="宋体"/>
                <w:color w:val="auto"/>
              </w:rPr>
            </w:pPr>
            <w:r>
              <w:rPr>
                <w:rFonts w:hint="eastAsia" w:ascii="宋体" w:hAnsi="宋体" w:cs="宋体"/>
                <w:color w:val="auto"/>
              </w:rPr>
              <w:t>合规性（</w:t>
            </w:r>
            <w:r>
              <w:rPr>
                <w:rFonts w:ascii="宋体" w:hAnsi="宋体" w:cs="宋体"/>
                <w:color w:val="auto"/>
              </w:rPr>
              <w:t>1</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部门使用预算资金是否符合相关的预算财务管理制度的规定，用以反映和考核部门预算资金的规范运行情况。</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评价要点：</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①是否符合国家财经法规和财务管理制度规定以及有关预算支出管理办法的规定；</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②资金的拨付是否有完整的审批程序和手续；</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③预算支出的重大开支是否经过评估论证；</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④是否符合部门预算批复的用途；</w:t>
            </w:r>
          </w:p>
          <w:p>
            <w:pPr>
              <w:spacing w:line="240" w:lineRule="exact"/>
              <w:ind w:left="105" w:leftChars="50" w:right="105" w:rightChars="50"/>
              <w:rPr>
                <w:rFonts w:ascii="宋体" w:cs="宋体"/>
                <w:color w:val="auto"/>
              </w:rPr>
            </w:pPr>
            <w:r>
              <w:rPr>
                <w:rFonts w:hint="eastAsia" w:ascii="宋体" w:hAnsi="宋体" w:cs="宋体"/>
                <w:color w:val="auto"/>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581" w:type="dxa"/>
            <w:vMerge w:val="continue"/>
            <w:vAlign w:val="center"/>
          </w:tcPr>
          <w:p>
            <w:pPr>
              <w:spacing w:line="240" w:lineRule="exact"/>
              <w:jc w:val="center"/>
              <w:rPr>
                <w:rFonts w:ascii="宋体" w:cs="宋体"/>
                <w:color w:val="auto"/>
              </w:rPr>
            </w:pPr>
          </w:p>
        </w:tc>
        <w:tc>
          <w:tcPr>
            <w:tcW w:w="710" w:type="dxa"/>
            <w:vMerge w:val="continue"/>
            <w:vAlign w:val="center"/>
          </w:tcPr>
          <w:p>
            <w:pPr>
              <w:spacing w:line="240" w:lineRule="exact"/>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预决算信</w:t>
            </w:r>
          </w:p>
          <w:p>
            <w:pPr>
              <w:spacing w:line="240" w:lineRule="exact"/>
              <w:jc w:val="center"/>
              <w:rPr>
                <w:rFonts w:ascii="宋体" w:cs="宋体"/>
                <w:color w:val="auto"/>
              </w:rPr>
            </w:pPr>
            <w:r>
              <w:rPr>
                <w:rFonts w:hint="eastAsia" w:ascii="宋体" w:hAnsi="宋体" w:cs="宋体"/>
                <w:color w:val="auto"/>
              </w:rPr>
              <w:t>息公开性（</w:t>
            </w:r>
            <w:r>
              <w:rPr>
                <w:rFonts w:ascii="宋体" w:hAnsi="宋体" w:cs="宋体"/>
                <w:color w:val="auto"/>
              </w:rPr>
              <w:t>1</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部门是否按照政府信息公开有关规定公开相关预决算信息，用以反映和考核部门预决算管理的公开透明情况。</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评价要点：</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①是否按规定内容公开预决算信息；</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②是否按规定时限公开预决算信息。</w:t>
            </w:r>
          </w:p>
          <w:p>
            <w:pPr>
              <w:spacing w:line="240" w:lineRule="exact"/>
              <w:ind w:left="105" w:leftChars="50" w:right="105" w:rightChars="50"/>
              <w:rPr>
                <w:rFonts w:ascii="宋体" w:cs="宋体"/>
                <w:color w:val="auto"/>
              </w:rPr>
            </w:pPr>
            <w:r>
              <w:rPr>
                <w:rFonts w:hint="eastAsia" w:ascii="宋体" w:hAnsi="宋体" w:cs="宋体"/>
                <w:color w:val="auto"/>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581" w:type="dxa"/>
            <w:vMerge w:val="continue"/>
            <w:vAlign w:val="center"/>
          </w:tcPr>
          <w:p>
            <w:pPr>
              <w:spacing w:line="240" w:lineRule="exact"/>
              <w:jc w:val="center"/>
              <w:rPr>
                <w:rFonts w:ascii="宋体" w:cs="宋体"/>
                <w:color w:val="auto"/>
              </w:rPr>
            </w:pPr>
          </w:p>
        </w:tc>
        <w:tc>
          <w:tcPr>
            <w:tcW w:w="710" w:type="dxa"/>
            <w:vMerge w:val="continue"/>
            <w:vAlign w:val="center"/>
          </w:tcPr>
          <w:p>
            <w:pPr>
              <w:spacing w:line="240" w:lineRule="exact"/>
              <w:jc w:val="center"/>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基础信息</w:t>
            </w:r>
          </w:p>
          <w:p>
            <w:pPr>
              <w:spacing w:line="240" w:lineRule="exact"/>
              <w:jc w:val="center"/>
              <w:rPr>
                <w:rFonts w:ascii="宋体" w:cs="宋体"/>
                <w:color w:val="auto"/>
              </w:rPr>
            </w:pPr>
            <w:r>
              <w:rPr>
                <w:rFonts w:hint="eastAsia" w:ascii="宋体" w:hAnsi="宋体" w:cs="宋体"/>
                <w:color w:val="auto"/>
              </w:rPr>
              <w:t>完善性（</w:t>
            </w:r>
            <w:r>
              <w:rPr>
                <w:rFonts w:ascii="宋体" w:hAnsi="宋体" w:cs="宋体"/>
                <w:color w:val="auto"/>
              </w:rPr>
              <w:t>1</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部门基础信息是否完善，用以反映和考核基础信息对预算管理工作的支撑情况。</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评价要点：</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①基础数据信息和会计信息资料是否真实；</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②基础数据信息和会计信息资料是否完整；</w:t>
            </w:r>
          </w:p>
          <w:p>
            <w:pPr>
              <w:spacing w:line="240" w:lineRule="exact"/>
              <w:ind w:left="105" w:leftChars="50" w:right="105" w:rightChars="50"/>
              <w:rPr>
                <w:rFonts w:ascii="宋体" w:cs="宋体"/>
                <w:color w:val="auto"/>
              </w:rPr>
            </w:pPr>
            <w:r>
              <w:rPr>
                <w:rFonts w:hint="eastAsia" w:ascii="宋体" w:hAnsi="宋体" w:cs="宋体"/>
                <w:color w:val="auto"/>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581" w:type="dxa"/>
            <w:vMerge w:val="continue"/>
            <w:noWrap/>
            <w:tcMar>
              <w:top w:w="10" w:type="dxa"/>
              <w:left w:w="10" w:type="dxa"/>
              <w:bottom w:w="0" w:type="dxa"/>
              <w:right w:w="10" w:type="dxa"/>
            </w:tcMar>
            <w:textDirection w:val="tbRlV"/>
            <w:vAlign w:val="center"/>
          </w:tcPr>
          <w:p>
            <w:pPr>
              <w:spacing w:line="240" w:lineRule="exact"/>
              <w:jc w:val="center"/>
              <w:rPr>
                <w:rFonts w:ascii="宋体" w:cs="宋体"/>
                <w:color w:val="auto"/>
              </w:rPr>
            </w:pPr>
          </w:p>
        </w:tc>
        <w:tc>
          <w:tcPr>
            <w:tcW w:w="710" w:type="dxa"/>
            <w:vMerge w:val="restart"/>
            <w:tcMar>
              <w:top w:w="10" w:type="dxa"/>
              <w:left w:w="10" w:type="dxa"/>
              <w:bottom w:w="0" w:type="dxa"/>
              <w:right w:w="10" w:type="dxa"/>
            </w:tcMar>
            <w:vAlign w:val="center"/>
          </w:tcPr>
          <w:p>
            <w:pPr>
              <w:spacing w:line="240" w:lineRule="exact"/>
              <w:jc w:val="center"/>
              <w:rPr>
                <w:rFonts w:hint="eastAsia" w:ascii="宋体" w:hAnsi="宋体" w:eastAsia="宋体" w:cs="宋体"/>
                <w:color w:val="auto"/>
                <w:lang w:eastAsia="zh-CN"/>
              </w:rPr>
            </w:pPr>
            <w:r>
              <w:rPr>
                <w:rFonts w:hint="eastAsia" w:ascii="宋体" w:hAnsi="宋体" w:cs="宋体"/>
                <w:color w:val="auto"/>
              </w:rPr>
              <w:t>资产</w:t>
            </w:r>
          </w:p>
          <w:p>
            <w:pPr>
              <w:spacing w:line="240" w:lineRule="exact"/>
              <w:jc w:val="center"/>
              <w:rPr>
                <w:rFonts w:ascii="宋体" w:cs="宋体"/>
                <w:color w:val="auto"/>
              </w:rPr>
            </w:pPr>
            <w:r>
              <w:rPr>
                <w:rFonts w:hint="eastAsia" w:ascii="宋体" w:hAnsi="宋体" w:cs="宋体"/>
                <w:color w:val="auto"/>
              </w:rPr>
              <w:t>管理（</w:t>
            </w:r>
            <w:r>
              <w:rPr>
                <w:rFonts w:ascii="宋体" w:hAnsi="宋体" w:cs="宋体"/>
                <w:color w:val="auto"/>
              </w:rPr>
              <w:t>5</w:t>
            </w:r>
            <w:r>
              <w:rPr>
                <w:rFonts w:hint="eastAsia" w:ascii="宋体" w:hAnsi="宋体" w:cs="宋体"/>
                <w:color w:val="auto"/>
              </w:rPr>
              <w:t>分）</w:t>
            </w: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管理制度</w:t>
            </w:r>
          </w:p>
          <w:p>
            <w:pPr>
              <w:spacing w:line="240" w:lineRule="exact"/>
              <w:jc w:val="center"/>
              <w:rPr>
                <w:rFonts w:ascii="宋体" w:cs="宋体"/>
                <w:color w:val="auto"/>
              </w:rPr>
            </w:pPr>
            <w:r>
              <w:rPr>
                <w:rFonts w:hint="eastAsia" w:ascii="宋体" w:hAnsi="宋体" w:cs="宋体"/>
                <w:color w:val="auto"/>
              </w:rPr>
              <w:t>健全性（</w:t>
            </w:r>
            <w:r>
              <w:rPr>
                <w:rFonts w:ascii="宋体" w:hAnsi="宋体" w:cs="宋体"/>
                <w:color w:val="auto"/>
              </w:rPr>
              <w:t>2</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2</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部门为加强资产管理、规范资产管理行为而制定的管理制度是否健全完整，用以反映和考核部门资产管理制度对完成主要职责或促进社会发展的保障情况。</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评价要点：</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①是否已制定或具有资产管理制度；</w:t>
            </w:r>
            <w:r>
              <w:rPr>
                <w:rFonts w:ascii="宋体" w:hAnsi="宋体" w:cs="宋体"/>
                <w:color w:val="auto"/>
              </w:rPr>
              <w:t xml:space="preserve">           </w:t>
            </w:r>
            <w:r>
              <w:rPr>
                <w:rFonts w:hint="eastAsia" w:ascii="宋体" w:hAnsi="宋体" w:cs="宋体"/>
                <w:color w:val="auto"/>
              </w:rPr>
              <w:t>②相关资金管理制度是否合法、合规、完整；</w:t>
            </w:r>
          </w:p>
          <w:p>
            <w:pPr>
              <w:spacing w:line="240" w:lineRule="exact"/>
              <w:ind w:left="105" w:leftChars="50" w:right="105" w:rightChars="50"/>
              <w:rPr>
                <w:rFonts w:ascii="宋体" w:cs="宋体"/>
                <w:color w:val="auto"/>
              </w:rPr>
            </w:pPr>
            <w:r>
              <w:rPr>
                <w:rFonts w:hint="eastAsia" w:ascii="宋体" w:hAnsi="宋体" w:cs="宋体"/>
                <w:color w:val="auto"/>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581" w:type="dxa"/>
            <w:vMerge w:val="continue"/>
            <w:vAlign w:val="center"/>
          </w:tcPr>
          <w:p>
            <w:pPr>
              <w:spacing w:line="240" w:lineRule="exact"/>
              <w:jc w:val="center"/>
              <w:rPr>
                <w:rFonts w:ascii="宋体" w:cs="宋体"/>
                <w:color w:val="auto"/>
              </w:rPr>
            </w:pPr>
          </w:p>
        </w:tc>
        <w:tc>
          <w:tcPr>
            <w:tcW w:w="710" w:type="dxa"/>
            <w:vMerge w:val="continue"/>
            <w:vAlign w:val="center"/>
          </w:tcPr>
          <w:p>
            <w:pPr>
              <w:spacing w:line="240" w:lineRule="exact"/>
              <w:jc w:val="center"/>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资产管理</w:t>
            </w:r>
          </w:p>
          <w:p>
            <w:pPr>
              <w:spacing w:line="240" w:lineRule="exact"/>
              <w:jc w:val="center"/>
              <w:rPr>
                <w:rFonts w:ascii="宋体" w:cs="宋体"/>
                <w:color w:val="auto"/>
              </w:rPr>
            </w:pPr>
            <w:r>
              <w:rPr>
                <w:rFonts w:hint="eastAsia" w:ascii="宋体" w:hAnsi="宋体" w:cs="宋体"/>
                <w:color w:val="auto"/>
              </w:rPr>
              <w:t>安全性（</w:t>
            </w:r>
            <w:r>
              <w:rPr>
                <w:rFonts w:ascii="宋体" w:hAnsi="宋体" w:cs="宋体"/>
                <w:color w:val="auto"/>
              </w:rPr>
              <w:t>2</w:t>
            </w:r>
            <w:r>
              <w:rPr>
                <w:rFonts w:hint="eastAsia" w:ascii="宋体" w:hAnsi="宋体" w:cs="宋体"/>
                <w:color w:val="auto"/>
              </w:rPr>
              <w:t>分）</w:t>
            </w:r>
          </w:p>
        </w:tc>
        <w:tc>
          <w:tcPr>
            <w:tcW w:w="710" w:type="dxa"/>
          </w:tcPr>
          <w:p>
            <w:pPr>
              <w:tabs>
                <w:tab w:val="left" w:pos="761"/>
                <w:tab w:val="left" w:pos="2604"/>
              </w:tabs>
              <w:spacing w:line="240" w:lineRule="exact"/>
              <w:ind w:left="105" w:leftChars="50" w:right="105" w:rightChars="50" w:firstLine="96" w:firstLineChars="46"/>
              <w:rPr>
                <w:rFonts w:ascii="宋体" w:cs="宋体"/>
                <w:color w:val="auto"/>
              </w:rPr>
            </w:pPr>
          </w:p>
          <w:p>
            <w:pPr>
              <w:tabs>
                <w:tab w:val="left" w:pos="761"/>
                <w:tab w:val="left" w:pos="2604"/>
              </w:tabs>
              <w:spacing w:line="240" w:lineRule="exact"/>
              <w:ind w:left="105" w:leftChars="50" w:right="105" w:rightChars="50" w:firstLine="96" w:firstLineChars="46"/>
              <w:rPr>
                <w:rFonts w:ascii="宋体" w:cs="宋体"/>
                <w:color w:val="auto"/>
              </w:rPr>
            </w:pPr>
          </w:p>
          <w:p>
            <w:pPr>
              <w:tabs>
                <w:tab w:val="left" w:pos="761"/>
                <w:tab w:val="left" w:pos="2604"/>
              </w:tabs>
              <w:spacing w:line="240" w:lineRule="exact"/>
              <w:ind w:left="105" w:leftChars="50" w:right="105" w:rightChars="50" w:firstLine="96" w:firstLineChars="46"/>
              <w:rPr>
                <w:rFonts w:ascii="宋体" w:cs="宋体"/>
                <w:color w:val="auto"/>
              </w:rPr>
            </w:pPr>
          </w:p>
          <w:p>
            <w:pPr>
              <w:tabs>
                <w:tab w:val="left" w:pos="761"/>
                <w:tab w:val="left" w:pos="2604"/>
              </w:tabs>
              <w:spacing w:line="240" w:lineRule="exact"/>
              <w:ind w:left="105" w:leftChars="50" w:right="105" w:rightChars="50" w:firstLine="96" w:firstLineChars="46"/>
              <w:rPr>
                <w:rFonts w:ascii="宋体" w:cs="宋体"/>
                <w:color w:val="auto"/>
              </w:rPr>
            </w:pPr>
          </w:p>
          <w:p>
            <w:pPr>
              <w:tabs>
                <w:tab w:val="left" w:pos="761"/>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2</w:t>
            </w:r>
          </w:p>
        </w:tc>
        <w:tc>
          <w:tcPr>
            <w:tcW w:w="2983" w:type="dxa"/>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部门的资产是否保存完整、使用合规、配置合理、处置规范、收入及时足额上缴，用以反映和考核部门资产安全运行情况。</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评价要点：</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①资产保存是否完整；</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②资产配置是否合理；</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③资产处置是否规范；</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④资产账务管理是否合规，是否帐实相符；</w:t>
            </w:r>
          </w:p>
          <w:p>
            <w:pPr>
              <w:spacing w:line="240" w:lineRule="exact"/>
              <w:ind w:left="105" w:leftChars="50" w:right="105" w:rightChars="50"/>
              <w:rPr>
                <w:rFonts w:ascii="宋体" w:cs="宋体"/>
                <w:color w:val="auto"/>
              </w:rPr>
            </w:pPr>
            <w:r>
              <w:rPr>
                <w:rFonts w:hint="eastAsia" w:ascii="宋体" w:hAnsi="宋体" w:cs="宋体"/>
                <w:color w:val="auto"/>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581" w:type="dxa"/>
            <w:vMerge w:val="continue"/>
            <w:vAlign w:val="center"/>
          </w:tcPr>
          <w:p>
            <w:pPr>
              <w:spacing w:line="240" w:lineRule="exact"/>
              <w:rPr>
                <w:rFonts w:ascii="宋体" w:cs="宋体"/>
                <w:color w:val="auto"/>
              </w:rPr>
            </w:pPr>
          </w:p>
        </w:tc>
        <w:tc>
          <w:tcPr>
            <w:tcW w:w="710" w:type="dxa"/>
            <w:vMerge w:val="continue"/>
            <w:vAlign w:val="center"/>
          </w:tcPr>
          <w:p>
            <w:pPr>
              <w:spacing w:line="240" w:lineRule="exact"/>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固定资产</w:t>
            </w:r>
          </w:p>
          <w:p>
            <w:pPr>
              <w:spacing w:line="240" w:lineRule="exact"/>
              <w:jc w:val="center"/>
              <w:rPr>
                <w:rFonts w:ascii="宋体" w:cs="宋体"/>
                <w:color w:val="auto"/>
              </w:rPr>
            </w:pPr>
            <w:r>
              <w:rPr>
                <w:rFonts w:hint="eastAsia" w:ascii="宋体" w:hAnsi="宋体" w:cs="宋体"/>
                <w:color w:val="auto"/>
              </w:rPr>
              <w:t>利用率（</w:t>
            </w:r>
            <w:r>
              <w:rPr>
                <w:rFonts w:ascii="宋体" w:hAnsi="宋体" w:cs="宋体"/>
                <w:color w:val="auto"/>
              </w:rPr>
              <w:t>1</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1</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部门实际在用固定资产总额与所有固定资产总额的比率，用以反映和考核部门固定资产使用效率程度。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color w:val="auto"/>
              </w:rPr>
            </w:pPr>
            <w:r>
              <w:rPr>
                <w:rFonts w:hint="eastAsia" w:ascii="宋体" w:hAnsi="宋体" w:cs="宋体"/>
                <w:color w:val="auto"/>
              </w:rPr>
              <w:t>固定资产利用率</w:t>
            </w:r>
            <w:r>
              <w:rPr>
                <w:rFonts w:ascii="宋体" w:hAnsi="宋体" w:cs="宋体"/>
                <w:color w:val="auto"/>
              </w:rPr>
              <w:t>=</w:t>
            </w:r>
            <w:r>
              <w:rPr>
                <w:rFonts w:hint="eastAsia" w:ascii="宋体" w:hAnsi="宋体" w:cs="宋体"/>
                <w:color w:val="auto"/>
              </w:rPr>
              <w:t>（实际在用固定资产总额</w:t>
            </w:r>
            <w:r>
              <w:rPr>
                <w:rFonts w:ascii="宋体" w:hAnsi="宋体" w:cs="宋体"/>
                <w:color w:val="auto"/>
              </w:rPr>
              <w:t>/</w:t>
            </w:r>
            <w:r>
              <w:rPr>
                <w:rFonts w:hint="eastAsia" w:ascii="宋体" w:hAnsi="宋体" w:cs="宋体"/>
                <w:color w:val="auto"/>
              </w:rPr>
              <w:t>所有固定资产总额）×</w:t>
            </w:r>
            <w:r>
              <w:rPr>
                <w:rFonts w:ascii="宋体" w:hAnsi="宋体" w:cs="宋体"/>
                <w:color w:val="auto"/>
              </w:rPr>
              <w:t>100%</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581" w:type="dxa"/>
            <w:vMerge w:val="restart"/>
            <w:noWrap/>
            <w:tcMar>
              <w:top w:w="10" w:type="dxa"/>
              <w:left w:w="10" w:type="dxa"/>
              <w:bottom w:w="0" w:type="dxa"/>
              <w:right w:w="10" w:type="dxa"/>
            </w:tcMar>
            <w:textDirection w:val="tbRlV"/>
            <w:vAlign w:val="center"/>
          </w:tcPr>
          <w:p>
            <w:pPr>
              <w:spacing w:line="240" w:lineRule="exact"/>
              <w:jc w:val="center"/>
              <w:rPr>
                <w:rFonts w:ascii="宋体" w:cs="宋体"/>
                <w:color w:val="auto"/>
              </w:rPr>
            </w:pPr>
            <w:r>
              <w:rPr>
                <w:rFonts w:hint="eastAsia" w:ascii="宋体" w:hAnsi="宋体" w:cs="宋体"/>
                <w:color w:val="auto"/>
              </w:rPr>
              <w:t>产</w:t>
            </w:r>
            <w:r>
              <w:rPr>
                <w:rFonts w:ascii="宋体" w:hAnsi="宋体" w:cs="宋体"/>
                <w:color w:val="auto"/>
              </w:rPr>
              <w:t xml:space="preserve">   </w:t>
            </w:r>
            <w:r>
              <w:rPr>
                <w:rFonts w:hint="eastAsia" w:ascii="宋体" w:hAnsi="宋体" w:cs="宋体"/>
                <w:color w:val="auto"/>
              </w:rPr>
              <w:t>出（</w:t>
            </w:r>
            <w:r>
              <w:rPr>
                <w:rFonts w:ascii="宋体" w:hAnsi="宋体" w:cs="宋体"/>
                <w:color w:val="auto"/>
              </w:rPr>
              <w:t>30</w:t>
            </w:r>
            <w:r>
              <w:rPr>
                <w:rFonts w:hint="eastAsia" w:ascii="宋体" w:hAnsi="宋体" w:cs="宋体"/>
                <w:color w:val="auto"/>
              </w:rPr>
              <w:t>分）</w:t>
            </w:r>
          </w:p>
        </w:tc>
        <w:tc>
          <w:tcPr>
            <w:tcW w:w="710" w:type="dxa"/>
            <w:vMerge w:val="restart"/>
            <w:tcMar>
              <w:top w:w="10" w:type="dxa"/>
              <w:left w:w="10" w:type="dxa"/>
              <w:bottom w:w="0" w:type="dxa"/>
              <w:right w:w="10" w:type="dxa"/>
            </w:tcMar>
            <w:vAlign w:val="center"/>
          </w:tcPr>
          <w:p>
            <w:pPr>
              <w:spacing w:line="240" w:lineRule="exact"/>
              <w:jc w:val="center"/>
              <w:rPr>
                <w:rFonts w:hint="eastAsia" w:ascii="宋体" w:hAnsi="宋体" w:eastAsia="宋体" w:cs="宋体"/>
                <w:color w:val="auto"/>
                <w:lang w:eastAsia="zh-CN"/>
              </w:rPr>
            </w:pPr>
            <w:r>
              <w:rPr>
                <w:rFonts w:hint="eastAsia" w:ascii="宋体" w:hAnsi="宋体" w:cs="宋体"/>
                <w:color w:val="auto"/>
              </w:rPr>
              <w:t>职责</w:t>
            </w:r>
          </w:p>
          <w:p>
            <w:pPr>
              <w:spacing w:line="240" w:lineRule="exact"/>
              <w:jc w:val="center"/>
              <w:rPr>
                <w:rFonts w:ascii="宋体" w:cs="宋体"/>
                <w:color w:val="auto"/>
              </w:rPr>
            </w:pPr>
            <w:r>
              <w:rPr>
                <w:rFonts w:hint="eastAsia" w:ascii="宋体" w:hAnsi="宋体" w:cs="宋体"/>
                <w:color w:val="auto"/>
              </w:rPr>
              <w:t>履行（</w:t>
            </w:r>
            <w:r>
              <w:rPr>
                <w:rFonts w:ascii="宋体" w:hAnsi="宋体" w:cs="宋体"/>
                <w:color w:val="auto"/>
              </w:rPr>
              <w:t>30</w:t>
            </w:r>
            <w:r>
              <w:rPr>
                <w:rFonts w:hint="eastAsia" w:ascii="宋体" w:hAnsi="宋体" w:cs="宋体"/>
                <w:color w:val="auto"/>
              </w:rPr>
              <w:t>分）</w:t>
            </w: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实际</w:t>
            </w:r>
          </w:p>
          <w:p>
            <w:pPr>
              <w:spacing w:line="240" w:lineRule="exact"/>
              <w:jc w:val="center"/>
              <w:rPr>
                <w:rFonts w:ascii="宋体" w:cs="宋体"/>
                <w:color w:val="auto"/>
              </w:rPr>
            </w:pPr>
            <w:r>
              <w:rPr>
                <w:rFonts w:hint="eastAsia" w:ascii="宋体" w:hAnsi="宋体" w:cs="宋体"/>
                <w:color w:val="auto"/>
              </w:rPr>
              <w:t>完成率（</w:t>
            </w:r>
            <w:r>
              <w:rPr>
                <w:rFonts w:ascii="宋体" w:hAnsi="宋体" w:cs="宋体"/>
                <w:color w:val="auto"/>
              </w:rPr>
              <w:t>8</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default" w:ascii="宋体" w:eastAsia="宋体" w:cs="宋体"/>
                <w:color w:val="auto"/>
                <w:lang w:val="en-US" w:eastAsia="zh-CN"/>
              </w:rPr>
            </w:pPr>
            <w:r>
              <w:rPr>
                <w:rFonts w:hint="eastAsia" w:ascii="宋体" w:cs="宋体"/>
                <w:color w:val="auto"/>
                <w:lang w:val="en-US" w:eastAsia="zh-CN"/>
              </w:rPr>
              <w:t>7</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部门履行职责而实际完成工作数与计划工作数的比率，用以反映和考核部门履职工作任务目标的实现程度。</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实际完成率</w:t>
            </w:r>
            <w:r>
              <w:rPr>
                <w:rFonts w:ascii="宋体" w:hAnsi="宋体" w:cs="宋体"/>
                <w:color w:val="auto"/>
              </w:rPr>
              <w:t>=</w:t>
            </w:r>
            <w:r>
              <w:rPr>
                <w:rFonts w:hint="eastAsia" w:ascii="宋体" w:hAnsi="宋体" w:cs="宋体"/>
                <w:color w:val="auto"/>
              </w:rPr>
              <w:t>（实际完成工作数</w:t>
            </w:r>
            <w:r>
              <w:rPr>
                <w:rFonts w:ascii="宋体" w:hAnsi="宋体" w:cs="宋体"/>
                <w:color w:val="auto"/>
              </w:rPr>
              <w:t>/</w:t>
            </w:r>
            <w:r>
              <w:rPr>
                <w:rFonts w:hint="eastAsia" w:ascii="宋体" w:hAnsi="宋体" w:cs="宋体"/>
                <w:color w:val="auto"/>
              </w:rPr>
              <w:t>计划工作数）×</w:t>
            </w:r>
            <w:r>
              <w:rPr>
                <w:rFonts w:ascii="宋体" w:hAnsi="宋体" w:cs="宋体"/>
                <w:color w:val="auto"/>
              </w:rPr>
              <w:t>100%</w:t>
            </w:r>
            <w:r>
              <w:rPr>
                <w:rFonts w:hint="eastAsia" w:ascii="宋体" w:hAnsi="宋体" w:cs="宋体"/>
                <w:color w:val="auto"/>
              </w:rPr>
              <w:t>。</w:t>
            </w:r>
          </w:p>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实际完成工作数：一定时期（年度或规划期）内部门实际完成工作任务的数量。</w:t>
            </w:r>
          </w:p>
          <w:p>
            <w:pPr>
              <w:spacing w:line="240" w:lineRule="exact"/>
              <w:ind w:left="105" w:leftChars="50" w:right="105" w:rightChars="50"/>
              <w:rPr>
                <w:rFonts w:ascii="宋体" w:cs="宋体"/>
                <w:color w:val="auto"/>
              </w:rPr>
            </w:pPr>
            <w:r>
              <w:rPr>
                <w:rFonts w:hint="eastAsia" w:ascii="宋体" w:hAnsi="宋体" w:cs="宋体"/>
                <w:color w:val="auto"/>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581" w:type="dxa"/>
            <w:vMerge w:val="continue"/>
            <w:textDirection w:val="tbRlV"/>
            <w:vAlign w:val="center"/>
          </w:tcPr>
          <w:p>
            <w:pPr>
              <w:spacing w:line="240" w:lineRule="exact"/>
              <w:ind w:left="113"/>
              <w:jc w:val="center"/>
              <w:rPr>
                <w:rFonts w:ascii="宋体" w:cs="宋体"/>
                <w:color w:val="auto"/>
              </w:rPr>
            </w:pPr>
          </w:p>
        </w:tc>
        <w:tc>
          <w:tcPr>
            <w:tcW w:w="710" w:type="dxa"/>
            <w:vMerge w:val="continue"/>
            <w:vAlign w:val="center"/>
          </w:tcPr>
          <w:p>
            <w:pPr>
              <w:spacing w:line="240" w:lineRule="exact"/>
              <w:jc w:val="center"/>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完成</w:t>
            </w:r>
          </w:p>
          <w:p>
            <w:pPr>
              <w:spacing w:line="240" w:lineRule="exact"/>
              <w:jc w:val="center"/>
              <w:rPr>
                <w:rFonts w:ascii="宋体" w:cs="宋体"/>
                <w:color w:val="auto"/>
              </w:rPr>
            </w:pPr>
            <w:r>
              <w:rPr>
                <w:rFonts w:hint="eastAsia" w:ascii="宋体" w:hAnsi="宋体" w:cs="宋体"/>
                <w:color w:val="auto"/>
              </w:rPr>
              <w:t>及时率（</w:t>
            </w:r>
            <w:r>
              <w:rPr>
                <w:rFonts w:ascii="宋体" w:hAnsi="宋体" w:cs="宋体"/>
                <w:color w:val="auto"/>
              </w:rPr>
              <w:t>4</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4</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部门在规定时限内及时完成的实际工作数与计划工作数的比率</w:t>
            </w:r>
            <w:r>
              <w:rPr>
                <w:rFonts w:ascii="宋体" w:hAnsi="宋体" w:cs="宋体"/>
                <w:color w:val="auto"/>
              </w:rPr>
              <w:t>,</w:t>
            </w:r>
            <w:r>
              <w:rPr>
                <w:rFonts w:hint="eastAsia" w:ascii="宋体" w:hAnsi="宋体" w:cs="宋体"/>
                <w:color w:val="auto"/>
              </w:rPr>
              <w:t>用以反映和考核部门履职时效目标的实现程度。</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完成及时率</w:t>
            </w:r>
            <w:r>
              <w:rPr>
                <w:rFonts w:ascii="宋体" w:hAnsi="宋体" w:cs="宋体"/>
                <w:color w:val="auto"/>
              </w:rPr>
              <w:t>=</w:t>
            </w:r>
            <w:r>
              <w:rPr>
                <w:rFonts w:hint="eastAsia" w:ascii="宋体" w:hAnsi="宋体" w:cs="宋体"/>
                <w:color w:val="auto"/>
              </w:rPr>
              <w:t>（及时完成实际工作数</w:t>
            </w:r>
            <w:r>
              <w:rPr>
                <w:rFonts w:ascii="宋体" w:hAnsi="宋体" w:cs="宋体"/>
                <w:color w:val="auto"/>
              </w:rPr>
              <w:t>/</w:t>
            </w:r>
            <w:r>
              <w:rPr>
                <w:rFonts w:hint="eastAsia" w:ascii="宋体" w:hAnsi="宋体" w:cs="宋体"/>
                <w:color w:val="auto"/>
              </w:rPr>
              <w:t>计划工作数）×</w:t>
            </w:r>
            <w:r>
              <w:rPr>
                <w:rFonts w:ascii="宋体" w:hAnsi="宋体" w:cs="宋体"/>
                <w:color w:val="auto"/>
              </w:rPr>
              <w:t>100%</w:t>
            </w:r>
            <w:r>
              <w:rPr>
                <w:rFonts w:hint="eastAsia" w:ascii="宋体" w:hAnsi="宋体" w:cs="宋体"/>
                <w:color w:val="auto"/>
              </w:rPr>
              <w:t>。</w:t>
            </w:r>
          </w:p>
          <w:p>
            <w:pPr>
              <w:spacing w:line="240" w:lineRule="exact"/>
              <w:ind w:left="105" w:leftChars="50" w:right="105" w:rightChars="50"/>
              <w:rPr>
                <w:rFonts w:ascii="宋体" w:cs="宋体"/>
                <w:color w:val="auto"/>
              </w:rPr>
            </w:pPr>
            <w:r>
              <w:rPr>
                <w:rFonts w:hint="eastAsia" w:ascii="宋体" w:hAnsi="宋体" w:cs="宋体"/>
                <w:color w:val="auto"/>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581" w:type="dxa"/>
            <w:vMerge w:val="continue"/>
            <w:vAlign w:val="center"/>
          </w:tcPr>
          <w:p>
            <w:pPr>
              <w:spacing w:line="240" w:lineRule="exact"/>
              <w:rPr>
                <w:rFonts w:ascii="宋体" w:cs="宋体"/>
                <w:color w:val="auto"/>
              </w:rPr>
            </w:pPr>
          </w:p>
        </w:tc>
        <w:tc>
          <w:tcPr>
            <w:tcW w:w="710" w:type="dxa"/>
            <w:vMerge w:val="continue"/>
            <w:vAlign w:val="center"/>
          </w:tcPr>
          <w:p>
            <w:pPr>
              <w:spacing w:line="240" w:lineRule="exact"/>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质量</w:t>
            </w:r>
          </w:p>
          <w:p>
            <w:pPr>
              <w:spacing w:line="240" w:lineRule="exact"/>
              <w:jc w:val="center"/>
              <w:rPr>
                <w:rFonts w:ascii="宋体" w:cs="宋体"/>
                <w:color w:val="auto"/>
              </w:rPr>
            </w:pPr>
            <w:r>
              <w:rPr>
                <w:rFonts w:hint="eastAsia" w:ascii="宋体" w:hAnsi="宋体" w:cs="宋体"/>
                <w:color w:val="auto"/>
              </w:rPr>
              <w:t>达标率（</w:t>
            </w:r>
            <w:r>
              <w:rPr>
                <w:rFonts w:ascii="宋体" w:hAnsi="宋体" w:cs="宋体"/>
                <w:color w:val="auto"/>
              </w:rPr>
              <w:t>8</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default" w:ascii="宋体" w:eastAsia="宋体" w:cs="宋体"/>
                <w:color w:val="auto"/>
                <w:lang w:val="en-US" w:eastAsia="zh-CN"/>
              </w:rPr>
            </w:pPr>
            <w:r>
              <w:rPr>
                <w:rFonts w:hint="eastAsia" w:ascii="宋体" w:cs="宋体"/>
                <w:color w:val="auto"/>
                <w:lang w:val="en-US" w:eastAsia="zh-CN"/>
              </w:rPr>
              <w:t>7.5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达到质量标准（绩效标准值）的实际工作数与计划工作数的比率</w:t>
            </w:r>
            <w:r>
              <w:rPr>
                <w:rFonts w:ascii="宋体" w:hAnsi="宋体" w:cs="宋体"/>
                <w:color w:val="auto"/>
              </w:rPr>
              <w:t>,</w:t>
            </w:r>
            <w:r>
              <w:rPr>
                <w:rFonts w:hint="eastAsia" w:ascii="宋体" w:hAnsi="宋体" w:cs="宋体"/>
                <w:color w:val="auto"/>
              </w:rPr>
              <w:t>用以反映和考核部门履职质量目标的实现程度。</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质量达标率</w:t>
            </w:r>
            <w:r>
              <w:rPr>
                <w:rFonts w:ascii="宋体" w:hAnsi="宋体" w:cs="宋体"/>
                <w:color w:val="auto"/>
              </w:rPr>
              <w:t>=</w:t>
            </w:r>
            <w:r>
              <w:rPr>
                <w:rFonts w:hint="eastAsia" w:ascii="宋体" w:hAnsi="宋体" w:cs="宋体"/>
                <w:color w:val="auto"/>
              </w:rPr>
              <w:t>（质量达标实际工作数</w:t>
            </w:r>
            <w:r>
              <w:rPr>
                <w:rFonts w:ascii="宋体" w:hAnsi="宋体" w:cs="宋体"/>
                <w:color w:val="auto"/>
              </w:rPr>
              <w:t>/</w:t>
            </w:r>
            <w:r>
              <w:rPr>
                <w:rFonts w:hint="eastAsia" w:ascii="宋体" w:hAnsi="宋体" w:cs="宋体"/>
                <w:color w:val="auto"/>
              </w:rPr>
              <w:t>计划工作数）×</w:t>
            </w:r>
            <w:r>
              <w:rPr>
                <w:rFonts w:ascii="宋体" w:hAnsi="宋体" w:cs="宋体"/>
                <w:color w:val="auto"/>
              </w:rPr>
              <w:t>100%</w:t>
            </w:r>
            <w:r>
              <w:rPr>
                <w:rFonts w:hint="eastAsia" w:ascii="宋体" w:hAnsi="宋体" w:cs="宋体"/>
                <w:color w:val="auto"/>
              </w:rPr>
              <w:t>。</w:t>
            </w:r>
          </w:p>
          <w:p>
            <w:pPr>
              <w:spacing w:line="240" w:lineRule="exact"/>
              <w:ind w:left="105" w:leftChars="50" w:right="105" w:rightChars="50"/>
              <w:rPr>
                <w:rFonts w:ascii="宋体" w:cs="宋体"/>
                <w:color w:val="auto"/>
              </w:rPr>
            </w:pPr>
            <w:r>
              <w:rPr>
                <w:rFonts w:hint="eastAsia" w:ascii="宋体" w:hAnsi="宋体" w:cs="宋体"/>
                <w:color w:val="auto"/>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581" w:type="dxa"/>
            <w:vMerge w:val="continue"/>
            <w:vAlign w:val="center"/>
          </w:tcPr>
          <w:p>
            <w:pPr>
              <w:spacing w:line="240" w:lineRule="exact"/>
              <w:rPr>
                <w:rFonts w:ascii="宋体" w:cs="宋体"/>
                <w:color w:val="auto"/>
              </w:rPr>
            </w:pPr>
          </w:p>
        </w:tc>
        <w:tc>
          <w:tcPr>
            <w:tcW w:w="710" w:type="dxa"/>
            <w:vMerge w:val="continue"/>
            <w:vAlign w:val="center"/>
          </w:tcPr>
          <w:p>
            <w:pPr>
              <w:spacing w:line="240" w:lineRule="exact"/>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重点工作</w:t>
            </w:r>
          </w:p>
          <w:p>
            <w:pPr>
              <w:spacing w:line="240" w:lineRule="exact"/>
              <w:jc w:val="center"/>
              <w:rPr>
                <w:rFonts w:ascii="宋体" w:cs="宋体"/>
                <w:color w:val="auto"/>
              </w:rPr>
            </w:pPr>
            <w:r>
              <w:rPr>
                <w:rFonts w:hint="eastAsia" w:ascii="宋体" w:hAnsi="宋体" w:cs="宋体"/>
                <w:color w:val="auto"/>
              </w:rPr>
              <w:t>办结率（</w:t>
            </w:r>
            <w:r>
              <w:rPr>
                <w:rFonts w:ascii="宋体" w:hAnsi="宋体" w:cs="宋体"/>
                <w:color w:val="auto"/>
              </w:rPr>
              <w:t>10</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default" w:ascii="宋体" w:eastAsia="宋体" w:cs="宋体"/>
                <w:color w:val="auto"/>
                <w:lang w:val="en-US" w:eastAsia="zh-CN"/>
              </w:rPr>
            </w:pPr>
            <w:r>
              <w:rPr>
                <w:rFonts w:hint="eastAsia" w:ascii="宋体" w:cs="宋体"/>
                <w:color w:val="auto"/>
                <w:lang w:val="en-US" w:eastAsia="zh-CN"/>
              </w:rPr>
              <w:t>10</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部门年度重点工作实际完成数与交办或下达数的比率，用以反映部门对重点工作的办理落实程度。</w:t>
            </w:r>
          </w:p>
        </w:tc>
        <w:tc>
          <w:tcPr>
            <w:tcW w:w="3533" w:type="dxa"/>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color w:val="auto"/>
                <w:lang w:eastAsia="zh-CN"/>
              </w:rPr>
            </w:pPr>
            <w:r>
              <w:rPr>
                <w:rFonts w:hint="eastAsia" w:ascii="宋体" w:hAnsi="宋体" w:cs="宋体"/>
                <w:color w:val="auto"/>
              </w:rPr>
              <w:t>重点工作办结率</w:t>
            </w:r>
            <w:r>
              <w:rPr>
                <w:rFonts w:ascii="宋体" w:hAnsi="宋体" w:cs="宋体"/>
                <w:color w:val="auto"/>
              </w:rPr>
              <w:t>=</w:t>
            </w:r>
            <w:r>
              <w:rPr>
                <w:rFonts w:hint="eastAsia" w:ascii="宋体" w:hAnsi="宋体" w:cs="宋体"/>
                <w:color w:val="auto"/>
              </w:rPr>
              <w:t>（重点工作实际完成数</w:t>
            </w:r>
            <w:r>
              <w:rPr>
                <w:rFonts w:ascii="宋体" w:hAnsi="宋体" w:cs="宋体"/>
                <w:color w:val="auto"/>
              </w:rPr>
              <w:t>/</w:t>
            </w:r>
            <w:r>
              <w:rPr>
                <w:rFonts w:hint="eastAsia" w:ascii="宋体" w:hAnsi="宋体" w:cs="宋体"/>
                <w:color w:val="auto"/>
              </w:rPr>
              <w:t>交办或下达数）×</w:t>
            </w:r>
            <w:r>
              <w:rPr>
                <w:rFonts w:ascii="宋体" w:hAnsi="宋体" w:cs="宋体"/>
                <w:color w:val="auto"/>
              </w:rPr>
              <w:t>100%</w:t>
            </w:r>
            <w:r>
              <w:rPr>
                <w:rFonts w:hint="eastAsia" w:ascii="宋体" w:hAnsi="宋体" w:cs="宋体"/>
                <w:color w:val="auto"/>
              </w:rPr>
              <w:t>。</w:t>
            </w:r>
          </w:p>
          <w:p>
            <w:pPr>
              <w:spacing w:line="240" w:lineRule="exact"/>
              <w:ind w:left="105" w:leftChars="50" w:right="105" w:rightChars="50"/>
              <w:rPr>
                <w:rFonts w:ascii="宋体" w:cs="宋体"/>
                <w:color w:val="auto"/>
              </w:rPr>
            </w:pPr>
            <w:r>
              <w:rPr>
                <w:rFonts w:hint="eastAsia" w:ascii="宋体" w:hAnsi="宋体" w:cs="宋体"/>
                <w:color w:val="auto"/>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581" w:type="dxa"/>
            <w:vMerge w:val="restart"/>
            <w:noWrap/>
            <w:tcMar>
              <w:top w:w="10" w:type="dxa"/>
              <w:left w:w="10" w:type="dxa"/>
              <w:bottom w:w="0" w:type="dxa"/>
              <w:right w:w="10" w:type="dxa"/>
            </w:tcMar>
            <w:textDirection w:val="tbRlV"/>
            <w:vAlign w:val="center"/>
          </w:tcPr>
          <w:p>
            <w:pPr>
              <w:spacing w:line="240" w:lineRule="exact"/>
              <w:jc w:val="center"/>
              <w:rPr>
                <w:rFonts w:ascii="宋体" w:cs="宋体"/>
                <w:color w:val="auto"/>
              </w:rPr>
            </w:pPr>
            <w:r>
              <w:rPr>
                <w:rFonts w:hint="eastAsia" w:ascii="宋体" w:hAnsi="宋体" w:cs="宋体"/>
                <w:color w:val="auto"/>
              </w:rPr>
              <w:t>效</w:t>
            </w:r>
            <w:r>
              <w:rPr>
                <w:rFonts w:ascii="宋体" w:hAnsi="宋体" w:cs="宋体"/>
                <w:color w:val="auto"/>
              </w:rPr>
              <w:t xml:space="preserve">   </w:t>
            </w:r>
            <w:r>
              <w:rPr>
                <w:rFonts w:hint="eastAsia" w:ascii="宋体" w:hAnsi="宋体" w:cs="宋体"/>
                <w:color w:val="auto"/>
              </w:rPr>
              <w:t>果（</w:t>
            </w:r>
            <w:r>
              <w:rPr>
                <w:rFonts w:ascii="宋体" w:hAnsi="宋体" w:cs="宋体"/>
                <w:color w:val="auto"/>
              </w:rPr>
              <w:t>20</w:t>
            </w:r>
            <w:r>
              <w:rPr>
                <w:rFonts w:hint="eastAsia" w:ascii="宋体" w:hAnsi="宋体" w:cs="宋体"/>
                <w:color w:val="auto"/>
              </w:rPr>
              <w:t>分）</w:t>
            </w:r>
          </w:p>
        </w:tc>
        <w:tc>
          <w:tcPr>
            <w:tcW w:w="710" w:type="dxa"/>
            <w:vMerge w:val="restart"/>
            <w:tcMar>
              <w:top w:w="10" w:type="dxa"/>
              <w:left w:w="10" w:type="dxa"/>
              <w:bottom w:w="0" w:type="dxa"/>
              <w:right w:w="10" w:type="dxa"/>
            </w:tcMar>
            <w:vAlign w:val="center"/>
          </w:tcPr>
          <w:p>
            <w:pPr>
              <w:spacing w:line="240" w:lineRule="exact"/>
              <w:jc w:val="center"/>
              <w:rPr>
                <w:rFonts w:hint="eastAsia" w:ascii="宋体" w:hAnsi="宋体" w:eastAsia="宋体" w:cs="宋体"/>
                <w:color w:val="auto"/>
                <w:lang w:eastAsia="zh-CN"/>
              </w:rPr>
            </w:pPr>
            <w:r>
              <w:rPr>
                <w:rFonts w:hint="eastAsia" w:ascii="宋体" w:hAnsi="宋体" w:cs="宋体"/>
                <w:color w:val="auto"/>
              </w:rPr>
              <w:t>履职</w:t>
            </w:r>
          </w:p>
          <w:p>
            <w:pPr>
              <w:spacing w:line="240" w:lineRule="exact"/>
              <w:jc w:val="center"/>
              <w:rPr>
                <w:rFonts w:ascii="宋体" w:cs="宋体"/>
                <w:color w:val="auto"/>
              </w:rPr>
            </w:pPr>
            <w:r>
              <w:rPr>
                <w:rFonts w:hint="eastAsia" w:ascii="宋体" w:hAnsi="宋体" w:cs="宋体"/>
                <w:color w:val="auto"/>
              </w:rPr>
              <w:t>效益（</w:t>
            </w:r>
            <w:r>
              <w:rPr>
                <w:rFonts w:ascii="宋体" w:hAnsi="宋体" w:cs="宋体"/>
                <w:color w:val="auto"/>
              </w:rPr>
              <w:t>20</w:t>
            </w:r>
            <w:r>
              <w:rPr>
                <w:rFonts w:hint="eastAsia" w:ascii="宋体" w:hAnsi="宋体" w:cs="宋体"/>
                <w:color w:val="auto"/>
              </w:rPr>
              <w:t>分）</w:t>
            </w: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经济效益（</w:t>
            </w:r>
            <w:r>
              <w:rPr>
                <w:rFonts w:ascii="宋体" w:hAnsi="宋体" w:cs="宋体"/>
                <w:color w:val="auto"/>
              </w:rPr>
              <w:t>5</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default" w:ascii="宋体" w:eastAsia="宋体" w:cs="宋体"/>
                <w:color w:val="auto"/>
                <w:lang w:val="en-US" w:eastAsia="zh-CN"/>
              </w:rPr>
            </w:pPr>
            <w:r>
              <w:rPr>
                <w:rFonts w:hint="eastAsia" w:ascii="宋体" w:cs="宋体"/>
                <w:color w:val="auto"/>
                <w:lang w:val="en-US" w:eastAsia="zh-CN"/>
              </w:rPr>
              <w:t>4</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部门履行职责对经济发展所带来的直接或间接影响。</w:t>
            </w:r>
          </w:p>
        </w:tc>
        <w:tc>
          <w:tcPr>
            <w:tcW w:w="3533" w:type="dxa"/>
            <w:vMerge w:val="restart"/>
            <w:tcMar>
              <w:top w:w="10" w:type="dxa"/>
              <w:left w:w="10" w:type="dxa"/>
              <w:bottom w:w="0" w:type="dxa"/>
              <w:right w:w="10" w:type="dxa"/>
            </w:tcMar>
            <w:vAlign w:val="center"/>
          </w:tcPr>
          <w:p>
            <w:pPr>
              <w:spacing w:line="240" w:lineRule="exact"/>
              <w:ind w:left="105" w:leftChars="50" w:right="105" w:rightChars="50"/>
              <w:rPr>
                <w:rFonts w:ascii="宋体" w:cs="宋体"/>
                <w:color w:val="auto"/>
              </w:rPr>
            </w:pPr>
            <w:r>
              <w:rPr>
                <w:rFonts w:hint="eastAsia" w:ascii="宋体" w:hAnsi="宋体" w:cs="宋体"/>
                <w:color w:val="auto"/>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581" w:type="dxa"/>
            <w:vMerge w:val="continue"/>
            <w:vAlign w:val="center"/>
          </w:tcPr>
          <w:p>
            <w:pPr>
              <w:spacing w:line="240" w:lineRule="exact"/>
              <w:rPr>
                <w:rFonts w:ascii="宋体" w:cs="宋体"/>
                <w:color w:val="auto"/>
              </w:rPr>
            </w:pPr>
          </w:p>
        </w:tc>
        <w:tc>
          <w:tcPr>
            <w:tcW w:w="710" w:type="dxa"/>
            <w:vMerge w:val="continue"/>
            <w:vAlign w:val="center"/>
          </w:tcPr>
          <w:p>
            <w:pPr>
              <w:spacing w:line="240" w:lineRule="exact"/>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社会效益（</w:t>
            </w:r>
            <w:r>
              <w:rPr>
                <w:rFonts w:ascii="宋体" w:hAnsi="宋体" w:cs="宋体"/>
                <w:color w:val="auto"/>
              </w:rPr>
              <w:t>5</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4</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部门履行职责对社会发展所带来的直接或间接影响。</w:t>
            </w:r>
          </w:p>
        </w:tc>
        <w:tc>
          <w:tcPr>
            <w:tcW w:w="3533" w:type="dxa"/>
            <w:vMerge w:val="continue"/>
            <w:vAlign w:val="center"/>
          </w:tcPr>
          <w:p>
            <w:pPr>
              <w:spacing w:line="240" w:lineRule="exact"/>
              <w:ind w:left="105" w:leftChars="50" w:right="105" w:rightChars="50"/>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581" w:type="dxa"/>
            <w:vMerge w:val="continue"/>
            <w:vAlign w:val="center"/>
          </w:tcPr>
          <w:p>
            <w:pPr>
              <w:spacing w:line="240" w:lineRule="exact"/>
              <w:rPr>
                <w:rFonts w:ascii="宋体" w:cs="宋体"/>
                <w:color w:val="auto"/>
              </w:rPr>
            </w:pPr>
          </w:p>
        </w:tc>
        <w:tc>
          <w:tcPr>
            <w:tcW w:w="710" w:type="dxa"/>
            <w:vMerge w:val="continue"/>
            <w:vAlign w:val="center"/>
          </w:tcPr>
          <w:p>
            <w:pPr>
              <w:spacing w:line="240" w:lineRule="exact"/>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生态效益（</w:t>
            </w:r>
            <w:r>
              <w:rPr>
                <w:rFonts w:ascii="宋体" w:hAnsi="宋体" w:cs="宋体"/>
                <w:color w:val="auto"/>
              </w:rPr>
              <w:t>5</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部门履行职责对生态环境所带来的直接或间接影响。</w:t>
            </w:r>
          </w:p>
        </w:tc>
        <w:tc>
          <w:tcPr>
            <w:tcW w:w="3533" w:type="dxa"/>
            <w:vMerge w:val="continue"/>
            <w:vAlign w:val="center"/>
          </w:tcPr>
          <w:p>
            <w:pPr>
              <w:spacing w:line="240" w:lineRule="exact"/>
              <w:ind w:left="105" w:leftChars="50" w:right="105" w:rightChars="50"/>
              <w:rPr>
                <w:rFonts w:asci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581" w:type="dxa"/>
            <w:vMerge w:val="continue"/>
            <w:vAlign w:val="center"/>
          </w:tcPr>
          <w:p>
            <w:pPr>
              <w:spacing w:line="240" w:lineRule="exact"/>
              <w:rPr>
                <w:rFonts w:ascii="宋体" w:cs="宋体"/>
                <w:color w:val="auto"/>
              </w:rPr>
            </w:pPr>
          </w:p>
        </w:tc>
        <w:tc>
          <w:tcPr>
            <w:tcW w:w="710" w:type="dxa"/>
            <w:vMerge w:val="continue"/>
            <w:vAlign w:val="center"/>
          </w:tcPr>
          <w:p>
            <w:pPr>
              <w:spacing w:line="240" w:lineRule="exact"/>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r>
              <w:rPr>
                <w:rFonts w:hint="eastAsia" w:ascii="宋体" w:hAnsi="宋体" w:cs="宋体"/>
                <w:color w:val="auto"/>
              </w:rPr>
              <w:t>社会公众</w:t>
            </w:r>
          </w:p>
          <w:p>
            <w:pPr>
              <w:spacing w:line="240" w:lineRule="exact"/>
              <w:jc w:val="center"/>
              <w:rPr>
                <w:rFonts w:ascii="宋体" w:cs="宋体"/>
                <w:color w:val="auto"/>
              </w:rPr>
            </w:pPr>
            <w:r>
              <w:rPr>
                <w:rFonts w:hint="eastAsia" w:ascii="宋体" w:hAnsi="宋体" w:cs="宋体"/>
                <w:color w:val="auto"/>
              </w:rPr>
              <w:t>或服务对</w:t>
            </w:r>
          </w:p>
          <w:p>
            <w:pPr>
              <w:spacing w:line="240" w:lineRule="exact"/>
              <w:jc w:val="center"/>
              <w:rPr>
                <w:rFonts w:ascii="宋体" w:cs="宋体"/>
                <w:color w:val="auto"/>
              </w:rPr>
            </w:pPr>
            <w:r>
              <w:rPr>
                <w:rFonts w:hint="eastAsia" w:ascii="宋体" w:hAnsi="宋体" w:cs="宋体"/>
                <w:color w:val="auto"/>
              </w:rPr>
              <w:t>象满意度（</w:t>
            </w:r>
            <w:r>
              <w:rPr>
                <w:rFonts w:ascii="宋体" w:hAnsi="宋体" w:cs="宋体"/>
                <w:color w:val="auto"/>
              </w:rPr>
              <w:t>5</w:t>
            </w:r>
            <w:r>
              <w:rPr>
                <w:rFonts w:hint="eastAsia" w:ascii="宋体" w:hAnsi="宋体" w:cs="宋体"/>
                <w:color w:val="auto"/>
              </w:rPr>
              <w:t>分）</w:t>
            </w:r>
          </w:p>
        </w:tc>
        <w:tc>
          <w:tcPr>
            <w:tcW w:w="710" w:type="dxa"/>
          </w:tcPr>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ascii="宋体" w:cs="宋体"/>
                <w:color w:val="auto"/>
              </w:rPr>
            </w:pPr>
          </w:p>
          <w:p>
            <w:pPr>
              <w:tabs>
                <w:tab w:val="left" w:pos="2604"/>
              </w:tabs>
              <w:spacing w:line="240" w:lineRule="exact"/>
              <w:ind w:left="105" w:leftChars="50" w:right="105" w:rightChars="50" w:firstLine="96" w:firstLineChars="46"/>
              <w:rPr>
                <w:rFonts w:hint="eastAsia" w:ascii="宋体" w:eastAsia="宋体" w:cs="宋体"/>
                <w:color w:val="auto"/>
                <w:lang w:val="en-US" w:eastAsia="zh-CN"/>
              </w:rPr>
            </w:pPr>
            <w:r>
              <w:rPr>
                <w:rFonts w:hint="eastAsia" w:ascii="宋体" w:cs="宋体"/>
                <w:color w:val="auto"/>
                <w:lang w:val="en-US" w:eastAsia="zh-CN"/>
              </w:rPr>
              <w:t>5</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r>
              <w:rPr>
                <w:rFonts w:hint="eastAsia" w:ascii="宋体" w:hAnsi="宋体" w:cs="宋体"/>
                <w:color w:val="auto"/>
              </w:rPr>
              <w:t>社会公众或部门的服务对象对部门履职效果的满意程度。</w:t>
            </w: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color w:val="auto"/>
              </w:rPr>
            </w:pPr>
            <w:r>
              <w:rPr>
                <w:rFonts w:hint="eastAsia" w:ascii="宋体" w:hAnsi="宋体" w:cs="宋体"/>
                <w:color w:val="auto"/>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581" w:type="dxa"/>
            <w:vAlign w:val="center"/>
          </w:tcPr>
          <w:p>
            <w:pPr>
              <w:spacing w:line="240" w:lineRule="exact"/>
              <w:rPr>
                <w:rFonts w:ascii="宋体" w:cs="宋体"/>
                <w:color w:val="auto"/>
              </w:rPr>
            </w:pPr>
            <w:r>
              <w:rPr>
                <w:rFonts w:hint="eastAsia" w:ascii="宋体" w:hAnsi="宋体" w:cs="宋体"/>
                <w:color w:val="auto"/>
              </w:rPr>
              <w:t>总分</w:t>
            </w:r>
          </w:p>
        </w:tc>
        <w:tc>
          <w:tcPr>
            <w:tcW w:w="710" w:type="dxa"/>
            <w:vAlign w:val="center"/>
          </w:tcPr>
          <w:p>
            <w:pPr>
              <w:spacing w:line="240" w:lineRule="exact"/>
              <w:rPr>
                <w:rFonts w:ascii="宋体" w:cs="宋体"/>
                <w:color w:val="auto"/>
              </w:rPr>
            </w:pPr>
          </w:p>
        </w:tc>
        <w:tc>
          <w:tcPr>
            <w:tcW w:w="946" w:type="dxa"/>
            <w:tcMar>
              <w:top w:w="10" w:type="dxa"/>
              <w:left w:w="10" w:type="dxa"/>
              <w:bottom w:w="0" w:type="dxa"/>
              <w:right w:w="10" w:type="dxa"/>
            </w:tcMar>
            <w:vAlign w:val="center"/>
          </w:tcPr>
          <w:p>
            <w:pPr>
              <w:spacing w:line="240" w:lineRule="exact"/>
              <w:jc w:val="center"/>
              <w:rPr>
                <w:rFonts w:ascii="宋体" w:cs="宋体"/>
                <w:color w:val="auto"/>
              </w:rPr>
            </w:pPr>
          </w:p>
        </w:tc>
        <w:tc>
          <w:tcPr>
            <w:tcW w:w="710" w:type="dxa"/>
          </w:tcPr>
          <w:p>
            <w:pPr>
              <w:tabs>
                <w:tab w:val="left" w:pos="2604"/>
              </w:tabs>
              <w:spacing w:line="240" w:lineRule="exact"/>
              <w:ind w:left="105" w:leftChars="50" w:right="105" w:rightChars="50" w:firstLine="96" w:firstLineChars="46"/>
              <w:rPr>
                <w:rFonts w:hint="eastAsia" w:ascii="宋体" w:cs="宋体"/>
                <w:color w:val="auto"/>
                <w:lang w:val="en-US" w:eastAsia="zh-CN"/>
              </w:rPr>
            </w:pPr>
          </w:p>
          <w:p>
            <w:pPr>
              <w:tabs>
                <w:tab w:val="left" w:pos="2604"/>
              </w:tabs>
              <w:spacing w:line="240" w:lineRule="exact"/>
              <w:ind w:left="105" w:leftChars="50" w:right="105" w:rightChars="50" w:firstLine="96" w:firstLineChars="46"/>
              <w:rPr>
                <w:rFonts w:hint="default" w:ascii="宋体" w:eastAsia="宋体" w:cs="宋体"/>
                <w:color w:val="auto"/>
                <w:lang w:val="en-US" w:eastAsia="zh-CN"/>
              </w:rPr>
            </w:pPr>
            <w:r>
              <w:rPr>
                <w:rFonts w:hint="eastAsia" w:ascii="宋体" w:cs="宋体"/>
                <w:color w:val="auto"/>
                <w:lang w:val="en-US" w:eastAsia="zh-CN"/>
              </w:rPr>
              <w:t>97</w:t>
            </w:r>
          </w:p>
        </w:tc>
        <w:tc>
          <w:tcPr>
            <w:tcW w:w="2983" w:type="dxa"/>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color w:val="auto"/>
              </w:rPr>
            </w:pPr>
          </w:p>
        </w:tc>
        <w:tc>
          <w:tcPr>
            <w:tcW w:w="3533" w:type="dxa"/>
            <w:tcMar>
              <w:top w:w="10" w:type="dxa"/>
              <w:left w:w="10" w:type="dxa"/>
              <w:bottom w:w="0" w:type="dxa"/>
              <w:right w:w="10" w:type="dxa"/>
            </w:tcMar>
            <w:vAlign w:val="center"/>
          </w:tcPr>
          <w:p>
            <w:pPr>
              <w:spacing w:line="240" w:lineRule="exact"/>
              <w:ind w:left="105" w:leftChars="50" w:right="105" w:rightChars="50"/>
              <w:rPr>
                <w:rFonts w:ascii="宋体" w:cs="宋体"/>
                <w:color w:val="auto"/>
              </w:rPr>
            </w:pPr>
          </w:p>
        </w:tc>
      </w:tr>
    </w:tbl>
    <w:p>
      <w:pPr>
        <w:jc w:val="left"/>
        <w:rPr>
          <w:rFonts w:cs="黑体" w:asciiTheme="minorEastAsia" w:hAnsiTheme="minorEastAsia"/>
          <w:color w:val="auto"/>
          <w:kern w:val="0"/>
          <w:sz w:val="32"/>
          <w:szCs w:val="32"/>
        </w:rPr>
      </w:pPr>
    </w:p>
    <w:p/>
    <w:sectPr>
      <w:pgSz w:w="11906" w:h="16838"/>
      <w:pgMar w:top="1134" w:right="1531" w:bottom="113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CAB69"/>
    <w:multiLevelType w:val="singleLevel"/>
    <w:tmpl w:val="1FDCAB69"/>
    <w:lvl w:ilvl="0" w:tentative="0">
      <w:start w:val="1"/>
      <w:numFmt w:val="chineseCounting"/>
      <w:suff w:val="nothing"/>
      <w:lvlText w:val="%1、"/>
      <w:lvlJc w:val="left"/>
      <w:rPr>
        <w:rFonts w:hint="eastAsia"/>
      </w:rPr>
    </w:lvl>
  </w:abstractNum>
  <w:abstractNum w:abstractNumId="1">
    <w:nsid w:val="4B7D5222"/>
    <w:multiLevelType w:val="singleLevel"/>
    <w:tmpl w:val="4B7D5222"/>
    <w:lvl w:ilvl="0" w:tentative="0">
      <w:start w:val="1"/>
      <w:numFmt w:val="chineseCounting"/>
      <w:suff w:val="nothing"/>
      <w:lvlText w:val="（%1）"/>
      <w:lvlJc w:val="left"/>
      <w:rPr>
        <w:rFonts w:hint="eastAsia"/>
      </w:rPr>
    </w:lvl>
  </w:abstractNum>
  <w:abstractNum w:abstractNumId="2">
    <w:nsid w:val="62EBEE90"/>
    <w:multiLevelType w:val="singleLevel"/>
    <w:tmpl w:val="62EBEE9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NGE3MThlZjZkMTVmZWRiMGFhMDI3OTk0ZDc1NmMifQ=="/>
  </w:docVars>
  <w:rsids>
    <w:rsidRoot w:val="00000000"/>
    <w:rsid w:val="0A30164A"/>
    <w:rsid w:val="310F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0"/>
    <w:rPr>
      <w:rFonts w:hint="eastAsia"/>
      <w:sz w:val="21"/>
      <w:szCs w:val="24"/>
    </w:rPr>
  </w:style>
  <w:style w:type="paragraph" w:styleId="3">
    <w:name w:val="annotation text"/>
    <w:basedOn w:val="1"/>
    <w:semiHidden/>
    <w:unhideWhenUsed/>
    <w:qFormat/>
    <w:uiPriority w:val="99"/>
    <w:pPr>
      <w:jc w:val="left"/>
    </w:p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7">
    <w:name w:val="List Paragraph"/>
    <w:basedOn w:val="1"/>
    <w:qFormat/>
    <w:uiPriority w:val="34"/>
    <w:pPr>
      <w:ind w:firstLine="420" w:firstLineChars="200"/>
    </w:p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2023-06-19T05:50:00Z</dcterms:created>
  <dc:creator>admin-3</dc:creator>
  <cp:lastModifiedBy>Administrator</cp:lastModifiedBy>
  <dcterms:modified xsi:type="dcterms:W3CDTF">2023-10-05T08:18:07Z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48CE023827284F2BB00A8D01D9BCEC8E_12</vt:lpwstr>
  </property>
</Properties>
</file>