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jc w:val="center"/>
        <w:textAlignment w:val="auto"/>
        <w:rPr>
          <w:rFonts w:hint="eastAsia" w:ascii="黑体" w:hAnsi="黑体" w:eastAsia="黑体" w:cs="黑体"/>
          <w:sz w:val="36"/>
          <w:szCs w:val="36"/>
        </w:rPr>
      </w:pPr>
      <w:bookmarkStart w:id="0" w:name="_GoBack"/>
      <w:bookmarkEnd w:id="0"/>
      <w:r>
        <w:rPr>
          <w:rFonts w:hint="eastAsia" w:ascii="黑体" w:hAnsi="黑体" w:eastAsia="黑体" w:cs="黑体"/>
          <w:b w:val="0"/>
          <w:bCs/>
          <w:color w:val="212121"/>
          <w:sz w:val="36"/>
          <w:szCs w:val="36"/>
          <w:lang w:val="en-US" w:eastAsia="zh-CN"/>
        </w:rPr>
        <w:t>益阳市</w:t>
      </w:r>
      <w:r>
        <w:rPr>
          <w:rFonts w:hint="eastAsia" w:ascii="黑体" w:hAnsi="黑体" w:eastAsia="黑体" w:cs="黑体"/>
          <w:b w:val="0"/>
          <w:bCs/>
          <w:color w:val="212121"/>
          <w:sz w:val="36"/>
          <w:szCs w:val="36"/>
        </w:rPr>
        <w:t>赫山区环境卫生服务中心</w:t>
      </w:r>
      <w:r>
        <w:rPr>
          <w:rFonts w:hint="eastAsia" w:ascii="黑体" w:hAnsi="黑体" w:eastAsia="黑体" w:cs="黑体"/>
          <w:sz w:val="36"/>
          <w:szCs w:val="36"/>
        </w:rPr>
        <w:t>2021年度主次干道清扫保洁市场化配套资金项目</w:t>
      </w:r>
      <w:r>
        <w:rPr>
          <w:rFonts w:hint="eastAsia" w:ascii="黑体" w:hAnsi="黑体" w:eastAsia="黑体" w:cs="黑体"/>
          <w:sz w:val="36"/>
          <w:szCs w:val="36"/>
          <w:lang w:val="en-US" w:eastAsia="zh-CN"/>
        </w:rPr>
        <w:t>支出</w:t>
      </w:r>
      <w:r>
        <w:rPr>
          <w:rFonts w:hint="eastAsia" w:ascii="黑体" w:hAnsi="黑体" w:eastAsia="黑体" w:cs="黑体"/>
          <w:sz w:val="36"/>
          <w:szCs w:val="36"/>
        </w:rPr>
        <w:t>绩效自评报告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根据益阳市财政局关于下达2021年城市维护资金计划的通知，市财政下达我区主次干道清扫保洁市场化配套资金1288万元，现将我中心2021年度市区配套资金主次干道清扫保洁市场化配套专项资金绩效自评报告如下：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一、项目基本情况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（一）项目概况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项目名称：益阳市赫山区主次干道清扫保洁市场化配套项目,清扫保洁服务总面积：654.03万㎡,承包起止时间：2019年3月1日起至2024年2月28日止，期限五年。承包商：湖南银洁环卫有限公司，福建天明保洁服务有限公司、湖南华泰环境管理有限公司，承包价款：2644.71万元/年，承包款由承包公司出正式税务发票后采取银行转账方式支付。</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 xml:space="preserve">项目实施依据：①益阳市财政局关于下达2021年城市维护资金计划的通知，益财建[2021]33号文件；②益阳市赫山区中心城区环卫清扫保洁政府购买服务采购项目招标文件及中标通知书，项目编号：赫山财采计[2019]000008）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项目实施目的：旨在贯彻落实市委、市政府对城市提质要求，实现城市精细化管理，全面提升城市环境卫生质量，为城区广大市民营造一个干净、舒适的工作和生活环境。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（二）项目绩效目标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1.项目绩效总目标: 实行清扫保洁作业市场化、公司化、专业化运作，努力实现“四创”工作目标。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项目绩效阶段性目标:①承包公司必须按投标文件要求合理配满配足管理及清扫保洁人员②承包公司要严格执行清扫保洁“五无五净”标准，随时保证城区卫生干净整洁。③根据《城市市容环境卫生管理条例》、《城市环境卫生质量标准》《益阳市城市市容环境卫生考核细则》《益阳市赫山区市场化清扫保洁工作作业管理考核办法》要求，我中心组织督查队伍对保洁公司的人员到位、清扫保洁工作质量实行稽查考评，确保城区干净整洁。</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二、项目单位绩效报告情况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根据考核工作需要，我中心制定了《益阳市赫山区市场化清扫保洁工作作业管理考核办法》《益阳市城市市容环境卫生考核细则》等方案，成立了以分管领导任组长的清扫保洁稽查考核小组，根据清扫保洁“五无五净”的要求，根据《益阳市城市市容环境卫生考核细则》、《城市市容环境卫生管理条例》稽查考核人员对三家公司清扫保洁服务项目实行稽查考评，确保了城区环境卫生干净整洁。</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三、绩效评价工作情况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（一）绩效评价目的。</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评价益阳市赫山区主次干道清扫保洁市场化配套项目存在的必要性、项目管理是否规范、项目绩效是否突出，从而为项目决策提供依据，进一步规范项目管理，提高清扫保洁服务外包承包资金使用绩效。</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（二）绩效评价原则、评价指标体系、评价方法</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绩效评价原则：定量与定性分析相结合的原则；真实性、科学性、规范性原则。</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项目资金评价指标：采用《2021年度项目支出绩效自评指标》。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（三）绩效评价工作过程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前期准备。填报了《2021年度专项资金预算绩效目标申报表》，分管领导召集工作人员多次召开会议研究清扫保洁服务外包专项资金绩效评价具体事项，明确了清扫保洁外包项目资金绩效目标和清扫保洁外包项目资金绩效评价指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 xml:space="preserve">组织实施。我中心依法履行监督考核职能，进行自评。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分析评价。年终召开绩效评价工作小组会议，通过政策文件、基础数据、资金使用效益等多种信息进行分析评价，最后撰写出绩效评价报告。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四、绩效评价指标分析情况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（一）项目资金情况分析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1.项目资金到位情况分析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2021年1--12月计划到位1288万元，实际到位1288万元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2.项目资金使用情况分析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2021年实拨实付2021年1-11月份三家公司清扫保洁服务费1734.1万元，包括了三个市场化公司清扫保洁费、清扫工早餐费。</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 3.项目资金管理情况分析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本项目资金实行专账管理，承包款由承包公司出正式税务发票后采取银行转账方式支付，实行专款专用。</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（二）项目绩效情况分析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项目的效率性分析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（1）项目的实施进度。2021年1--12月计划到位1288万元，实际到位1288万元。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项目完成质量。三家公司严格按投标文件和合同书的要求配备管理及清扫保洁人员，并严格执行清扫保洁“五无五净”质量标准，稽查考核人员也严格按照《益阳市赫山区市场化清扫保洁工作作业管理考核办法》《益阳市城市市容环境卫生考核细则》要求进行考核，市容环境卫生达到了预期效果，确保了城区环境卫生干净整洁。</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项目的效益性分析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（1）项目预期目标完成程度。项目目标实现，建立起了资金来源稳定、管理运行规范、效果明显，能够为城区市民提供方便、快捷的清扫保洁服务制度。</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（2）项目实施对经济和社会的影响。通过项目实施实现了城市精细化管理，全面提升了城市环境卫生质量，进一步为城区广大市民营造了一个干净、舒适的工作和生活环境。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五、综合评价情况及评价结论</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（一）综合评价情况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在项目管理上，做到了管理规范，操作阳光透明，运行有序高效，服务态度优质，群众满意度高，确保了城区卫生干净整洁。</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在资金管理上，严格按照规定，实行专账管理，确保了清扫保洁外包资金及时支付到位。</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（二）评价结论</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清扫保洁服务项目外包达到了绩效目标要求，确保了城区环境卫生干净整洁。</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项目管理规范，资金管理安全，资金拨付及时到位，社会效益比较显著，群众满意率高。</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六、绩效评价结果应用建议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清扫保洁外包项目实行市场化、公司化、专业化运作，进一步提升了城市品位，是件有利于广大市民的大好事，应当继续深化开展。</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建议进一步提高清扫保洁职工工资待遇，保持保洁员工队伍稳定。</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黑体" w:hAnsi="黑体" w:eastAsia="黑体" w:cs="黑体"/>
          <w:color w:val="333333"/>
          <w:sz w:val="30"/>
          <w:szCs w:val="30"/>
        </w:rPr>
      </w:pPr>
      <w:r>
        <w:rPr>
          <w:rFonts w:hint="eastAsia" w:ascii="黑体" w:hAnsi="黑体" w:eastAsia="黑体" w:cs="黑体"/>
          <w:color w:val="333333"/>
          <w:sz w:val="30"/>
          <w:szCs w:val="30"/>
        </w:rPr>
        <w:t>七、主要经验及做法、存在的问题和建议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（一）主要经验</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在实施清扫保洁服务外包工作过程中，我们严格规范财务和稽查考核制度，建立起了一套完善的申报审批监督管理工作制度，形成了严格、科学、高效的运行机制。一是科学制定标准。在深入调研、广泛论证的基础上，制定了《益阳市赫山区市场化清扫保洁工作作业管理考核办法》《益阳市城市市容环境卫生考核细则》并加以实施。二是严格审批程序。通过严格规范的工作程序，确保资金专款专用。三是规范资金运行。每月环卫所提出用款申请，财政核拨，通过专账管理，确保资金及时足额到位。</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(二）存在的问题</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由于职工工资待遇低，清扫保洁人员老龄化严重，安全隐患多，风险大。</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（三）意见和建议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建议提高清扫保洁职工工资待遇，稳定保洁员工队伍。</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建议将稽查考核扣除的罚款作为三家公司清扫保洁员工评先评优奖励基金。</w:t>
      </w:r>
    </w:p>
    <w:p>
      <w:pPr>
        <w:keepNext w:val="0"/>
        <w:keepLines w:val="0"/>
        <w:pageBreakBefore w:val="0"/>
        <w:widowControl/>
        <w:kinsoku/>
        <w:wordWrap/>
        <w:overflowPunct/>
        <w:topLinePunct w:val="0"/>
        <w:autoSpaceDE/>
        <w:autoSpaceDN/>
        <w:bidi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r>
        <w:rPr>
          <w:rFonts w:hint="eastAsia" w:ascii="仿宋" w:hAnsi="仿宋" w:eastAsia="仿宋" w:cs="仿宋"/>
          <w:sz w:val="30"/>
          <w:szCs w:val="30"/>
        </w:rPr>
        <w:t>2021年度项目支出绩效自评指标计分表</w:t>
      </w:r>
    </w:p>
    <w:p>
      <w:pPr>
        <w:keepNext w:val="0"/>
        <w:keepLines w:val="0"/>
        <w:pageBreakBefore w:val="0"/>
        <w:widowControl/>
        <w:tabs>
          <w:tab w:val="left" w:pos="5856"/>
        </w:tabs>
        <w:kinsoku/>
        <w:wordWrap/>
        <w:overflowPunct/>
        <w:topLinePunct w:val="0"/>
        <w:autoSpaceDE/>
        <w:autoSpaceDN/>
        <w:bidi w:val="0"/>
        <w:spacing w:line="600" w:lineRule="exact"/>
        <w:ind w:firstLine="600" w:firstLineChars="200"/>
        <w:jc w:val="right"/>
        <w:textAlignment w:val="auto"/>
        <w:rPr>
          <w:rFonts w:hint="eastAsia" w:ascii="仿宋" w:hAnsi="仿宋" w:eastAsia="仿宋" w:cs="仿宋"/>
          <w:color w:val="333333"/>
          <w:sz w:val="30"/>
          <w:szCs w:val="30"/>
        </w:rPr>
      </w:pPr>
    </w:p>
    <w:p>
      <w:pPr>
        <w:keepNext w:val="0"/>
        <w:keepLines w:val="0"/>
        <w:pageBreakBefore w:val="0"/>
        <w:widowControl/>
        <w:tabs>
          <w:tab w:val="left" w:pos="5856"/>
        </w:tabs>
        <w:kinsoku/>
        <w:wordWrap/>
        <w:overflowPunct/>
        <w:topLinePunct w:val="0"/>
        <w:autoSpaceDE/>
        <w:autoSpaceDN/>
        <w:bidi w:val="0"/>
        <w:spacing w:line="600" w:lineRule="exact"/>
        <w:ind w:firstLine="600" w:firstLineChars="200"/>
        <w:jc w:val="right"/>
        <w:textAlignment w:val="auto"/>
        <w:rPr>
          <w:rFonts w:hint="eastAsia" w:ascii="仿宋" w:hAnsi="仿宋" w:eastAsia="仿宋" w:cs="仿宋"/>
          <w:color w:val="333333"/>
          <w:sz w:val="30"/>
          <w:szCs w:val="30"/>
        </w:rPr>
      </w:pPr>
    </w:p>
    <w:p>
      <w:pPr>
        <w:keepNext w:val="0"/>
        <w:keepLines w:val="0"/>
        <w:pageBreakBefore w:val="0"/>
        <w:widowControl/>
        <w:tabs>
          <w:tab w:val="left" w:pos="5856"/>
        </w:tabs>
        <w:kinsoku/>
        <w:wordWrap/>
        <w:overflowPunct/>
        <w:topLinePunct w:val="0"/>
        <w:autoSpaceDE/>
        <w:autoSpaceDN/>
        <w:bidi w:val="0"/>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color w:val="333333"/>
          <w:sz w:val="30"/>
          <w:szCs w:val="30"/>
          <w:lang w:val="en-US" w:eastAsia="zh-CN"/>
        </w:rPr>
        <w:t xml:space="preserve"> </w:t>
      </w:r>
      <w:r>
        <w:rPr>
          <w:rFonts w:hint="eastAsia" w:ascii="仿宋" w:hAnsi="仿宋" w:eastAsia="仿宋" w:cs="仿宋"/>
          <w:color w:val="333333"/>
          <w:sz w:val="30"/>
          <w:szCs w:val="30"/>
        </w:rPr>
        <w:tab/>
      </w:r>
      <w:r>
        <w:rPr>
          <w:rFonts w:hint="eastAsia" w:ascii="仿宋" w:hAnsi="仿宋" w:eastAsia="仿宋" w:cs="仿宋"/>
          <w:color w:val="333333"/>
          <w:sz w:val="30"/>
          <w:szCs w:val="30"/>
          <w:lang w:val="en-US" w:eastAsia="zh-CN"/>
        </w:rPr>
        <w:t xml:space="preserve"> </w:t>
      </w: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spacing w:after="120" w:afterLines="50" w:line="600" w:lineRule="exact"/>
        <w:ind w:firstLine="720" w:firstLineChars="200"/>
        <w:jc w:val="center"/>
        <w:textAlignment w:val="auto"/>
        <w:rPr>
          <w:rFonts w:hint="eastAsia" w:ascii="黑体" w:hAnsi="黑体" w:eastAsia="黑体" w:cs="黑体"/>
          <w:sz w:val="36"/>
          <w:szCs w:val="36"/>
        </w:rPr>
      </w:pPr>
      <w:r>
        <w:rPr>
          <w:rFonts w:hint="eastAsia" w:ascii="黑体" w:hAnsi="黑体" w:eastAsia="黑体" w:cs="黑体"/>
          <w:sz w:val="36"/>
          <w:szCs w:val="36"/>
        </w:rPr>
        <w:t>2021年度项目支出绩效自评指标计分表</w:t>
      </w:r>
    </w:p>
    <w:tbl>
      <w:tblPr>
        <w:tblStyle w:val="3"/>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71"/>
        <w:gridCol w:w="469"/>
        <w:gridCol w:w="752"/>
        <w:gridCol w:w="715"/>
        <w:gridCol w:w="1522"/>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018"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b/>
                <w:bCs/>
              </w:rPr>
            </w:pPr>
            <w:r>
              <w:rPr>
                <w:rFonts w:hint="eastAsia" w:ascii="仿宋" w:hAnsi="仿宋" w:eastAsia="仿宋" w:cs="仿宋"/>
                <w:b/>
                <w:bCs/>
              </w:rPr>
              <w:t>一级</w:t>
            </w:r>
          </w:p>
          <w:p>
            <w:pPr>
              <w:spacing w:line="240" w:lineRule="exact"/>
              <w:jc w:val="center"/>
              <w:rPr>
                <w:rFonts w:hint="eastAsia" w:ascii="仿宋" w:hAnsi="仿宋" w:eastAsia="仿宋" w:cs="仿宋"/>
                <w:b/>
                <w:bCs/>
              </w:rPr>
            </w:pPr>
            <w:r>
              <w:rPr>
                <w:rFonts w:hint="eastAsia" w:ascii="仿宋" w:hAnsi="仿宋" w:eastAsia="仿宋" w:cs="仿宋"/>
                <w:b/>
                <w:bCs/>
              </w:rPr>
              <w:t>指标</w:t>
            </w:r>
          </w:p>
        </w:tc>
        <w:tc>
          <w:tcPr>
            <w:tcW w:w="255"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b/>
                <w:bCs/>
              </w:rPr>
            </w:pPr>
            <w:r>
              <w:rPr>
                <w:rFonts w:hint="eastAsia" w:ascii="仿宋" w:hAnsi="仿宋" w:eastAsia="仿宋" w:cs="仿宋"/>
                <w:b/>
                <w:bCs/>
              </w:rPr>
              <w:t>二级</w:t>
            </w:r>
          </w:p>
          <w:p>
            <w:pPr>
              <w:spacing w:line="240" w:lineRule="exact"/>
              <w:jc w:val="center"/>
              <w:rPr>
                <w:rFonts w:hint="eastAsia" w:ascii="仿宋" w:hAnsi="仿宋" w:eastAsia="仿宋" w:cs="仿宋"/>
                <w:b/>
                <w:bCs/>
              </w:rPr>
            </w:pPr>
            <w:r>
              <w:rPr>
                <w:rFonts w:hint="eastAsia" w:ascii="仿宋" w:hAnsi="仿宋" w:eastAsia="仿宋" w:cs="仿宋"/>
                <w:b/>
                <w:bCs/>
              </w:rPr>
              <w:t>指标</w:t>
            </w:r>
          </w:p>
        </w:tc>
        <w:tc>
          <w:tcPr>
            <w:tcW w:w="409"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b/>
                <w:bCs/>
              </w:rPr>
            </w:pPr>
            <w:r>
              <w:rPr>
                <w:rFonts w:hint="eastAsia" w:ascii="仿宋" w:hAnsi="仿宋" w:eastAsia="仿宋" w:cs="仿宋"/>
                <w:b/>
                <w:bCs/>
              </w:rPr>
              <w:t>三级指标</w:t>
            </w:r>
          </w:p>
        </w:tc>
        <w:tc>
          <w:tcPr>
            <w:tcW w:w="389" w:type="pct"/>
            <w:noWrap w:val="0"/>
            <w:vAlign w:val="top"/>
          </w:tcPr>
          <w:p>
            <w:pPr>
              <w:spacing w:line="240" w:lineRule="exact"/>
              <w:jc w:val="center"/>
              <w:rPr>
                <w:rFonts w:hint="eastAsia" w:ascii="仿宋" w:hAnsi="仿宋" w:eastAsia="仿宋" w:cs="仿宋"/>
                <w:b/>
                <w:bCs/>
              </w:rPr>
            </w:pPr>
            <w:r>
              <w:rPr>
                <w:rFonts w:hint="eastAsia" w:ascii="仿宋" w:hAnsi="仿宋" w:eastAsia="仿宋" w:cs="仿宋"/>
                <w:b/>
                <w:bCs/>
              </w:rPr>
              <w:t>自评分</w:t>
            </w:r>
          </w:p>
        </w:tc>
        <w:tc>
          <w:tcPr>
            <w:tcW w:w="828"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b/>
                <w:bCs/>
              </w:rPr>
            </w:pPr>
            <w:r>
              <w:rPr>
                <w:rFonts w:hint="eastAsia" w:ascii="仿宋" w:hAnsi="仿宋" w:eastAsia="仿宋" w:cs="仿宋"/>
                <w:b/>
                <w:bCs/>
              </w:rPr>
              <w:t>指标解释</w:t>
            </w:r>
          </w:p>
        </w:tc>
        <w:tc>
          <w:tcPr>
            <w:tcW w:w="2099"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b/>
                <w:bCs/>
              </w:rPr>
            </w:pPr>
            <w:r>
              <w:rPr>
                <w:rFonts w:hint="eastAsia" w:ascii="仿宋" w:hAnsi="仿宋" w:eastAsia="仿宋" w:cs="仿宋"/>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8"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rPr>
            </w:pPr>
            <w:r>
              <w:rPr>
                <w:rFonts w:hint="eastAsia" w:ascii="仿宋" w:hAnsi="仿宋" w:eastAsia="仿宋" w:cs="仿宋"/>
              </w:rPr>
              <w:t>决  策（20分）</w:t>
            </w:r>
          </w:p>
        </w:tc>
        <w:tc>
          <w:tcPr>
            <w:tcW w:w="255"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预算支出决策</w:t>
            </w:r>
          </w:p>
          <w:p>
            <w:pPr>
              <w:spacing w:line="240" w:lineRule="exact"/>
              <w:jc w:val="center"/>
              <w:rPr>
                <w:rFonts w:hint="eastAsia" w:ascii="仿宋" w:hAnsi="仿宋" w:eastAsia="仿宋" w:cs="仿宋"/>
              </w:rPr>
            </w:pPr>
            <w:r>
              <w:rPr>
                <w:rFonts w:hint="eastAsia" w:ascii="仿宋" w:hAnsi="仿宋" w:eastAsia="仿宋" w:cs="仿宋"/>
              </w:rPr>
              <w:t>（项目立项）（8分）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预算支出决策（项目立项）依据</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充分性（4分）</w:t>
            </w:r>
          </w:p>
        </w:tc>
        <w:tc>
          <w:tcPr>
            <w:tcW w:w="389" w:type="pct"/>
            <w:noWrap w:val="0"/>
            <w:vAlign w:val="top"/>
          </w:tcPr>
          <w:p>
            <w:pPr>
              <w:spacing w:line="240" w:lineRule="exact"/>
              <w:ind w:left="105" w:leftChars="50" w:right="105" w:rightChars="50"/>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预算支出决策（项目立项）是否符合法律法规、相关政策、发展规划以及部门职责，用以反映和考核决策（立项）的依据情况。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①决策（立项）是否符合国家相关法律法规、国民经济发展规划和相关政策；</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②决策（立项）是否符合行业发展规划和政策要求；</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③决策（立项）是否与部门职责范围相符，属于部门履职所需；</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④预算支出是否属于公共财政支持范围，是否符合中央、地方事权支出责任划分原则；</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1018" w:type="pct"/>
            <w:vMerge w:val="continue"/>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rPr>
            </w:pPr>
          </w:p>
        </w:tc>
        <w:tc>
          <w:tcPr>
            <w:tcW w:w="255" w:type="pct"/>
            <w:vMerge w:val="continue"/>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决策(立项）程序规范性(4分)</w:t>
            </w:r>
          </w:p>
        </w:tc>
        <w:tc>
          <w:tcPr>
            <w:tcW w:w="389" w:type="pct"/>
            <w:noWrap w:val="0"/>
            <w:vAlign w:val="top"/>
          </w:tcPr>
          <w:p>
            <w:pPr>
              <w:spacing w:line="240" w:lineRule="exact"/>
              <w:ind w:left="105" w:leftChars="50" w:right="105" w:rightChars="50"/>
              <w:jc w:val="center"/>
              <w:rPr>
                <w:rFonts w:hint="eastAsia" w:ascii="仿宋" w:hAnsi="仿宋" w:eastAsia="仿宋" w:cs="仿宋"/>
              </w:rPr>
            </w:pPr>
          </w:p>
          <w:p>
            <w:pPr>
              <w:jc w:val="center"/>
              <w:rPr>
                <w:rFonts w:hint="eastAsia" w:ascii="仿宋" w:hAnsi="仿宋" w:eastAsia="仿宋" w:cs="仿宋"/>
              </w:rPr>
            </w:pPr>
          </w:p>
          <w:p>
            <w:pPr>
              <w:ind w:firstLine="315" w:firstLineChars="150"/>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预算支出申请、设立过程是否符合相关要求，用以反映和考核决策（立项）的规范情况。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Pr>
                <w:rFonts w:hint="eastAsia" w:ascii="仿宋" w:hAnsi="仿宋" w:eastAsia="仿宋" w:cs="仿宋"/>
              </w:rPr>
            </w:pPr>
            <w:r>
              <w:rPr>
                <w:rFonts w:hint="eastAsia" w:ascii="仿宋" w:hAnsi="仿宋" w:eastAsia="仿宋" w:cs="仿宋"/>
              </w:rPr>
              <w:t>①预算支出是否按照规定的程序申请设立；</w:t>
            </w:r>
          </w:p>
          <w:p>
            <w:pPr>
              <w:spacing w:line="240" w:lineRule="exact"/>
              <w:ind w:left="105" w:leftChars="50"/>
              <w:rPr>
                <w:rFonts w:hint="eastAsia" w:ascii="仿宋" w:hAnsi="仿宋" w:eastAsia="仿宋" w:cs="仿宋"/>
              </w:rPr>
            </w:pPr>
            <w:r>
              <w:rPr>
                <w:rFonts w:hint="eastAsia" w:ascii="仿宋" w:hAnsi="仿宋" w:eastAsia="仿宋" w:cs="仿宋"/>
              </w:rPr>
              <w:t>②审批文件、材料是否符合相关要求；</w:t>
            </w:r>
          </w:p>
          <w:p>
            <w:pPr>
              <w:spacing w:line="240" w:lineRule="exact"/>
              <w:ind w:left="105" w:leftChars="50"/>
              <w:rPr>
                <w:rFonts w:hint="eastAsia" w:ascii="仿宋" w:hAnsi="仿宋" w:eastAsia="仿宋" w:cs="仿宋"/>
              </w:rPr>
            </w:pPr>
            <w:r>
              <w:rPr>
                <w:rFonts w:hint="eastAsia" w:ascii="仿宋" w:hAnsi="仿宋" w:eastAsia="仿宋" w:cs="仿宋"/>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1018" w:type="pct"/>
            <w:vMerge w:val="continue"/>
            <w:noWrap w:val="0"/>
            <w:vAlign w:val="center"/>
          </w:tcPr>
          <w:p>
            <w:pPr>
              <w:spacing w:line="240" w:lineRule="exact"/>
              <w:rPr>
                <w:rFonts w:hint="eastAsia" w:ascii="仿宋" w:hAnsi="仿宋" w:eastAsia="仿宋" w:cs="仿宋"/>
              </w:rPr>
            </w:pPr>
          </w:p>
        </w:tc>
        <w:tc>
          <w:tcPr>
            <w:tcW w:w="255" w:type="pct"/>
            <w:vMerge w:val="restart"/>
            <w:noWrap w:val="0"/>
            <w:vAlign w:val="center"/>
          </w:tcPr>
          <w:p>
            <w:pPr>
              <w:spacing w:line="240" w:lineRule="exact"/>
              <w:jc w:val="center"/>
              <w:rPr>
                <w:rFonts w:hint="eastAsia" w:ascii="仿宋" w:hAnsi="仿宋" w:eastAsia="仿宋" w:cs="仿宋"/>
              </w:rPr>
            </w:pPr>
            <w:r>
              <w:rPr>
                <w:rFonts w:hint="eastAsia" w:ascii="仿宋" w:hAnsi="仿宋" w:eastAsia="仿宋" w:cs="仿宋"/>
              </w:rPr>
              <w:t>绩效</w:t>
            </w:r>
          </w:p>
          <w:p>
            <w:pPr>
              <w:spacing w:line="240" w:lineRule="exact"/>
              <w:jc w:val="center"/>
              <w:rPr>
                <w:rFonts w:hint="eastAsia" w:ascii="仿宋" w:hAnsi="仿宋" w:eastAsia="仿宋" w:cs="仿宋"/>
              </w:rPr>
            </w:pPr>
            <w:r>
              <w:rPr>
                <w:rFonts w:hint="eastAsia" w:ascii="仿宋" w:hAnsi="仿宋" w:eastAsia="仿宋" w:cs="仿宋"/>
              </w:rPr>
              <w:t>目标（6分）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绩效目标</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合理性（3分）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2</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预算支出所设定的绩效目标是否依据充分，是否符合客观实际，用以反映和考核预算支出绩效目标与预算支出实施的相符情况。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ight="105" w:rightChars="50"/>
              <w:rPr>
                <w:rFonts w:hint="eastAsia" w:ascii="仿宋" w:hAnsi="仿宋" w:eastAsia="仿宋" w:cs="仿宋"/>
              </w:rPr>
            </w:pPr>
            <w:r>
              <w:rPr>
                <w:rFonts w:hint="eastAsia" w:ascii="仿宋" w:hAnsi="仿宋" w:eastAsia="仿宋" w:cs="仿宋"/>
              </w:rPr>
              <w:t>（如未设定预算绩效目标，也可考核其他工作任务目标）</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①预算支出是否有绩效目标；</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②预算支出绩效目标与实际工作内容是否具有相关性；</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8" w:type="pct"/>
            <w:vMerge w:val="continue"/>
            <w:noWrap w:val="0"/>
            <w:vAlign w:val="center"/>
          </w:tcPr>
          <w:p>
            <w:pPr>
              <w:spacing w:line="240" w:lineRule="exact"/>
              <w:rPr>
                <w:rFonts w:hint="eastAsia" w:ascii="仿宋" w:hAnsi="仿宋" w:eastAsia="仿宋" w:cs="仿宋"/>
              </w:rPr>
            </w:pPr>
          </w:p>
        </w:tc>
        <w:tc>
          <w:tcPr>
            <w:tcW w:w="255" w:type="pct"/>
            <w:vMerge w:val="continue"/>
            <w:noWrap w:val="0"/>
            <w:vAlign w:val="center"/>
          </w:tcPr>
          <w:p>
            <w:pPr>
              <w:spacing w:line="240" w:lineRule="exact"/>
              <w:jc w:val="center"/>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绩效指标</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明确性（3分）</w:t>
            </w:r>
          </w:p>
        </w:tc>
        <w:tc>
          <w:tcPr>
            <w:tcW w:w="389" w:type="pct"/>
            <w:noWrap w:val="0"/>
            <w:vAlign w:val="top"/>
          </w:tcPr>
          <w:p>
            <w:pPr>
              <w:spacing w:line="240" w:lineRule="exact"/>
              <w:ind w:left="105" w:leftChars="50" w:right="105" w:rightChars="50"/>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3</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依据绩效目标设定的绩效指标是否清晰、细化、可衡量等，用以反映和考核预算支出绩效目标的明细化情况。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①是否将预算支出绩效目标细化分解为具体的绩效指标；</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②是否通过清晰、可衡量的指标值予以体现；</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1018" w:type="pct"/>
            <w:vMerge w:val="continue"/>
            <w:noWrap w:val="0"/>
            <w:vAlign w:val="center"/>
          </w:tcPr>
          <w:p>
            <w:pPr>
              <w:spacing w:line="240" w:lineRule="exact"/>
              <w:rPr>
                <w:rFonts w:hint="eastAsia" w:ascii="仿宋" w:hAnsi="仿宋" w:eastAsia="仿宋" w:cs="仿宋"/>
              </w:rPr>
            </w:pPr>
          </w:p>
        </w:tc>
        <w:tc>
          <w:tcPr>
            <w:tcW w:w="255" w:type="pct"/>
            <w:vMerge w:val="restart"/>
            <w:noWrap w:val="0"/>
            <w:vAlign w:val="center"/>
          </w:tcPr>
          <w:p>
            <w:pPr>
              <w:spacing w:line="240" w:lineRule="exact"/>
              <w:jc w:val="center"/>
              <w:rPr>
                <w:rFonts w:hint="eastAsia" w:ascii="仿宋" w:hAnsi="仿宋" w:eastAsia="仿宋" w:cs="仿宋"/>
              </w:rPr>
            </w:pPr>
            <w:r>
              <w:rPr>
                <w:rFonts w:hint="eastAsia" w:ascii="仿宋" w:hAnsi="仿宋" w:eastAsia="仿宋" w:cs="仿宋"/>
              </w:rPr>
              <w:t>资金</w:t>
            </w:r>
          </w:p>
          <w:p>
            <w:pPr>
              <w:spacing w:line="240" w:lineRule="exact"/>
              <w:jc w:val="center"/>
              <w:rPr>
                <w:rFonts w:hint="eastAsia" w:ascii="仿宋" w:hAnsi="仿宋" w:eastAsia="仿宋" w:cs="仿宋"/>
              </w:rPr>
            </w:pPr>
            <w:r>
              <w:rPr>
                <w:rFonts w:hint="eastAsia" w:ascii="仿宋" w:hAnsi="仿宋" w:eastAsia="仿宋" w:cs="仿宋"/>
              </w:rPr>
              <w:t>投入（6分）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预算编制</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科学性（3分）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3</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预算编制是否经过科学论证、有明确标准，资金额度与年度目标是否相适应，用以反映和考核预算支出预算编制的科学性、合理性情况。</w:t>
            </w:r>
          </w:p>
        </w:tc>
        <w:tc>
          <w:tcPr>
            <w:tcW w:w="2099" w:type="pct"/>
            <w:noWrap w:val="0"/>
            <w:tcMar>
              <w:top w:w="10" w:type="dxa"/>
              <w:left w:w="10" w:type="dxa"/>
              <w:bottom w:w="0" w:type="dxa"/>
              <w:right w:w="10" w:type="dxa"/>
            </w:tcMar>
            <w:vAlign w:val="center"/>
          </w:tcPr>
          <w:p>
            <w:pPr>
              <w:spacing w:line="22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20" w:lineRule="exact"/>
              <w:ind w:left="105" w:leftChars="50" w:right="105" w:rightChars="50"/>
              <w:rPr>
                <w:rFonts w:hint="eastAsia" w:ascii="仿宋" w:hAnsi="仿宋" w:eastAsia="仿宋" w:cs="仿宋"/>
              </w:rPr>
            </w:pPr>
            <w:r>
              <w:rPr>
                <w:rFonts w:hint="eastAsia" w:ascii="仿宋" w:hAnsi="仿宋" w:eastAsia="仿宋" w:cs="仿宋"/>
              </w:rPr>
              <w:t>①预算编制是否经过科学论证；</w:t>
            </w:r>
          </w:p>
          <w:p>
            <w:pPr>
              <w:spacing w:line="220" w:lineRule="exact"/>
              <w:ind w:left="105" w:leftChars="50" w:right="105" w:rightChars="50"/>
              <w:rPr>
                <w:rFonts w:hint="eastAsia" w:ascii="仿宋" w:hAnsi="仿宋" w:eastAsia="仿宋" w:cs="仿宋"/>
              </w:rPr>
            </w:pPr>
            <w:r>
              <w:rPr>
                <w:rFonts w:hint="eastAsia" w:ascii="仿宋" w:hAnsi="仿宋" w:eastAsia="仿宋" w:cs="仿宋"/>
              </w:rPr>
              <w:t>②预算内容与支出内容是否匹配；</w:t>
            </w:r>
          </w:p>
          <w:p>
            <w:pPr>
              <w:spacing w:line="220" w:lineRule="exact"/>
              <w:ind w:left="105" w:leftChars="50" w:right="105" w:rightChars="50"/>
              <w:rPr>
                <w:rFonts w:hint="eastAsia" w:ascii="仿宋" w:hAnsi="仿宋" w:eastAsia="仿宋" w:cs="仿宋"/>
              </w:rPr>
            </w:pPr>
            <w:r>
              <w:rPr>
                <w:rFonts w:hint="eastAsia" w:ascii="仿宋" w:hAnsi="仿宋" w:eastAsia="仿宋" w:cs="仿宋"/>
              </w:rPr>
              <w:t>③预算额度测算依据是否充分，是否按照标准编制；</w:t>
            </w:r>
          </w:p>
          <w:p>
            <w:pPr>
              <w:spacing w:line="220" w:lineRule="exact"/>
              <w:ind w:left="105" w:leftChars="50" w:right="105" w:rightChars="50"/>
              <w:rPr>
                <w:rFonts w:hint="eastAsia" w:ascii="仿宋" w:hAnsi="仿宋" w:eastAsia="仿宋" w:cs="仿宋"/>
              </w:rPr>
            </w:pPr>
            <w:r>
              <w:rPr>
                <w:rFonts w:hint="eastAsia" w:ascii="仿宋" w:hAnsi="仿宋" w:eastAsia="仿宋" w:cs="仿宋"/>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8" w:type="pct"/>
            <w:vMerge w:val="continue"/>
            <w:noWrap w:val="0"/>
            <w:vAlign w:val="center"/>
          </w:tcPr>
          <w:p>
            <w:pPr>
              <w:spacing w:line="240" w:lineRule="exact"/>
              <w:rPr>
                <w:rFonts w:hint="eastAsia" w:ascii="仿宋" w:hAnsi="仿宋" w:eastAsia="仿宋" w:cs="仿宋"/>
              </w:rPr>
            </w:pPr>
          </w:p>
        </w:tc>
        <w:tc>
          <w:tcPr>
            <w:tcW w:w="255" w:type="pct"/>
            <w:vMerge w:val="continue"/>
            <w:noWrap w:val="0"/>
            <w:vAlign w:val="center"/>
          </w:tcPr>
          <w:p>
            <w:pPr>
              <w:spacing w:line="240" w:lineRule="exact"/>
              <w:jc w:val="center"/>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资金分配</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合理性（3分）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 xml:space="preserve"> 3</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预算资金分配是否有测算依据，与补助单位或地方实际是否相适应，用以反映和考核预算支出预算资金分配的科学性、合理性情况。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right="105" w:rightChars="50" w:firstLine="105" w:firstLineChars="50"/>
              <w:rPr>
                <w:rFonts w:hint="eastAsia" w:ascii="仿宋" w:hAnsi="仿宋" w:eastAsia="仿宋" w:cs="仿宋"/>
              </w:rPr>
            </w:pPr>
            <w:r>
              <w:rPr>
                <w:rFonts w:hint="eastAsia" w:ascii="仿宋" w:hAnsi="仿宋" w:eastAsia="仿宋" w:cs="仿宋"/>
              </w:rPr>
              <w:t>①预算资金分配依据是否充分；</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1018" w:type="pct"/>
            <w:vMerge w:val="restart"/>
            <w:noWrap w:val="0"/>
            <w:vAlign w:val="center"/>
          </w:tcPr>
          <w:p>
            <w:pPr>
              <w:spacing w:line="240" w:lineRule="exact"/>
              <w:jc w:val="center"/>
              <w:rPr>
                <w:rFonts w:hint="eastAsia" w:ascii="仿宋" w:hAnsi="仿宋" w:eastAsia="仿宋" w:cs="仿宋"/>
              </w:rPr>
            </w:pPr>
            <w:r>
              <w:rPr>
                <w:rFonts w:hint="eastAsia" w:ascii="仿宋" w:hAnsi="仿宋" w:eastAsia="仿宋" w:cs="仿宋"/>
              </w:rPr>
              <w:t>过</w:t>
            </w:r>
          </w:p>
          <w:p>
            <w:pPr>
              <w:spacing w:line="240" w:lineRule="exact"/>
              <w:jc w:val="center"/>
              <w:rPr>
                <w:rFonts w:hint="eastAsia" w:ascii="仿宋" w:hAnsi="仿宋" w:eastAsia="仿宋" w:cs="仿宋"/>
              </w:rPr>
            </w:pPr>
          </w:p>
          <w:p>
            <w:pPr>
              <w:spacing w:line="240" w:lineRule="exact"/>
              <w:jc w:val="center"/>
              <w:rPr>
                <w:rFonts w:hint="eastAsia" w:ascii="仿宋" w:hAnsi="仿宋" w:eastAsia="仿宋" w:cs="仿宋"/>
              </w:rPr>
            </w:pPr>
          </w:p>
          <w:p>
            <w:pPr>
              <w:spacing w:line="240" w:lineRule="exact"/>
              <w:jc w:val="center"/>
              <w:rPr>
                <w:rFonts w:hint="eastAsia" w:ascii="仿宋" w:hAnsi="仿宋" w:eastAsia="仿宋" w:cs="仿宋"/>
              </w:rPr>
            </w:pPr>
            <w:r>
              <w:rPr>
                <w:rFonts w:hint="eastAsia" w:ascii="仿宋" w:hAnsi="仿宋" w:eastAsia="仿宋" w:cs="仿宋"/>
              </w:rPr>
              <w:t>程（20分）</w:t>
            </w:r>
          </w:p>
        </w:tc>
        <w:tc>
          <w:tcPr>
            <w:tcW w:w="255"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资金</w:t>
            </w:r>
          </w:p>
          <w:p>
            <w:pPr>
              <w:spacing w:line="240" w:lineRule="exact"/>
              <w:jc w:val="center"/>
              <w:rPr>
                <w:rFonts w:hint="eastAsia" w:ascii="仿宋" w:hAnsi="仿宋" w:eastAsia="仿宋" w:cs="仿宋"/>
              </w:rPr>
            </w:pPr>
            <w:r>
              <w:rPr>
                <w:rFonts w:hint="eastAsia" w:ascii="仿宋" w:hAnsi="仿宋" w:eastAsia="仿宋" w:cs="仿宋"/>
              </w:rPr>
              <w:t>管理（12分）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资金</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到位率（4分）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实际到位资金与预算资金的比率，用以反映和考核资金落实情况对预算支出实施的总体保障程度。</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资金到位率=（实际到位资金/预算资金）×100%。</w:t>
            </w:r>
          </w:p>
          <w:p>
            <w:pPr>
              <w:spacing w:line="240" w:lineRule="exact"/>
              <w:ind w:left="105" w:leftChars="50" w:right="105" w:rightChars="50"/>
              <w:rPr>
                <w:rFonts w:hint="eastAsia" w:ascii="仿宋" w:hAnsi="仿宋" w:eastAsia="仿宋" w:cs="仿宋"/>
              </w:rPr>
            </w:pPr>
            <w:r>
              <w:rPr>
                <w:rFonts w:hint="eastAsia" w:ascii="仿宋" w:hAnsi="仿宋" w:eastAsia="仿宋" w:cs="仿宋"/>
              </w:rPr>
              <w:t>实际到位资金：一定时期（本年度或预算支出期）内落实到具体预算支出的资金。</w:t>
            </w:r>
          </w:p>
          <w:p>
            <w:pPr>
              <w:spacing w:line="240" w:lineRule="exact"/>
              <w:ind w:left="105" w:leftChars="50" w:right="105" w:rightChars="50"/>
              <w:rPr>
                <w:rFonts w:hint="eastAsia" w:ascii="仿宋" w:hAnsi="仿宋" w:eastAsia="仿宋" w:cs="仿宋"/>
              </w:rPr>
            </w:pPr>
            <w:r>
              <w:rPr>
                <w:rFonts w:hint="eastAsia" w:ascii="仿宋" w:hAnsi="仿宋" w:eastAsia="仿宋" w:cs="仿宋"/>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018" w:type="pct"/>
            <w:vMerge w:val="continue"/>
            <w:noWrap w:val="0"/>
            <w:vAlign w:val="center"/>
          </w:tcPr>
          <w:p>
            <w:pPr>
              <w:spacing w:line="240" w:lineRule="exact"/>
              <w:jc w:val="center"/>
              <w:rPr>
                <w:rFonts w:hint="eastAsia" w:ascii="仿宋" w:hAnsi="仿宋" w:eastAsia="仿宋" w:cs="仿宋"/>
              </w:rPr>
            </w:pPr>
          </w:p>
        </w:tc>
        <w:tc>
          <w:tcPr>
            <w:tcW w:w="255" w:type="pct"/>
            <w:vMerge w:val="continue"/>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预算</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执行率（4分）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预算资金是否按照计划执行，用以反映或考核预算支出预算执行情况。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预算执行率=（实际支出资金/实际到位资金）×100%。</w:t>
            </w:r>
          </w:p>
          <w:p>
            <w:pPr>
              <w:spacing w:line="240" w:lineRule="exact"/>
              <w:ind w:left="105" w:leftChars="50" w:right="105" w:rightChars="50"/>
              <w:rPr>
                <w:rFonts w:hint="eastAsia" w:ascii="仿宋" w:hAnsi="仿宋" w:eastAsia="仿宋" w:cs="仿宋"/>
              </w:rPr>
            </w:pPr>
            <w:r>
              <w:rPr>
                <w:rFonts w:hint="eastAsia" w:ascii="仿宋" w:hAnsi="仿宋" w:eastAsia="仿宋" w:cs="仿宋"/>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1018" w:type="pct"/>
            <w:vMerge w:val="continue"/>
            <w:noWrap w:val="0"/>
            <w:vAlign w:val="center"/>
          </w:tcPr>
          <w:p>
            <w:pPr>
              <w:spacing w:line="240" w:lineRule="exact"/>
              <w:jc w:val="center"/>
              <w:rPr>
                <w:rFonts w:hint="eastAsia" w:ascii="仿宋" w:hAnsi="仿宋" w:eastAsia="仿宋" w:cs="仿宋"/>
              </w:rPr>
            </w:pPr>
          </w:p>
        </w:tc>
        <w:tc>
          <w:tcPr>
            <w:tcW w:w="255" w:type="pct"/>
            <w:vMerge w:val="continue"/>
            <w:noWrap w:val="0"/>
            <w:vAlign w:val="center"/>
          </w:tcPr>
          <w:p>
            <w:pPr>
              <w:spacing w:line="240" w:lineRule="exact"/>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资金使用</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合规性（4分）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预算资金使用是否符合相关的财务管理制度规定，用以反映和考核预算资金的规范运行情况。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①是否符合国家财经法规和财务管理制度以及有关专项资金管理办法的规定；</w:t>
            </w:r>
          </w:p>
          <w:p>
            <w:pPr>
              <w:spacing w:line="240" w:lineRule="exact"/>
              <w:ind w:right="105" w:rightChars="50" w:firstLine="105" w:firstLineChars="50"/>
              <w:rPr>
                <w:rFonts w:hint="eastAsia" w:ascii="仿宋" w:hAnsi="仿宋" w:eastAsia="仿宋" w:cs="仿宋"/>
              </w:rPr>
            </w:pPr>
            <w:r>
              <w:rPr>
                <w:rFonts w:hint="eastAsia" w:ascii="仿宋" w:hAnsi="仿宋" w:eastAsia="仿宋" w:cs="仿宋"/>
              </w:rPr>
              <w:t>②资金的拨付是否有完整的审批程序和手续；</w:t>
            </w:r>
          </w:p>
          <w:p>
            <w:pPr>
              <w:spacing w:line="240" w:lineRule="exact"/>
              <w:ind w:right="105" w:rightChars="50" w:firstLine="105" w:firstLineChars="50"/>
              <w:rPr>
                <w:rFonts w:hint="eastAsia" w:ascii="仿宋" w:hAnsi="仿宋" w:eastAsia="仿宋" w:cs="仿宋"/>
              </w:rPr>
            </w:pPr>
            <w:r>
              <w:rPr>
                <w:rFonts w:hint="eastAsia" w:ascii="仿宋" w:hAnsi="仿宋" w:eastAsia="仿宋" w:cs="仿宋"/>
              </w:rPr>
              <w:t>③是否符合预算支出预算批复或合同规定的用途；</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5" w:hRule="atLeast"/>
          <w:jc w:val="center"/>
        </w:trPr>
        <w:tc>
          <w:tcPr>
            <w:tcW w:w="1018" w:type="pct"/>
            <w:vMerge w:val="continue"/>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rPr>
            </w:pPr>
          </w:p>
        </w:tc>
        <w:tc>
          <w:tcPr>
            <w:tcW w:w="255"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组织</w:t>
            </w:r>
          </w:p>
          <w:p>
            <w:pPr>
              <w:spacing w:line="240" w:lineRule="exact"/>
              <w:jc w:val="center"/>
              <w:rPr>
                <w:rFonts w:hint="eastAsia" w:ascii="仿宋" w:hAnsi="仿宋" w:eastAsia="仿宋" w:cs="仿宋"/>
              </w:rPr>
            </w:pPr>
            <w:r>
              <w:rPr>
                <w:rFonts w:hint="eastAsia" w:ascii="仿宋" w:hAnsi="仿宋" w:eastAsia="仿宋" w:cs="仿宋"/>
              </w:rPr>
              <w:t>实施（8分）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管理制度</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健全性（4分）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预算支出实施单位的财务和业务管理制度是否健全，用以反映和考核财务和业务管理制度对预算支出顺利实施的保障情况。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①是否已制定或具有相应的业务管理制度；</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8" w:type="pct"/>
            <w:vMerge w:val="continue"/>
            <w:noWrap w:val="0"/>
            <w:vAlign w:val="center"/>
          </w:tcPr>
          <w:p>
            <w:pPr>
              <w:spacing w:line="240" w:lineRule="exact"/>
              <w:rPr>
                <w:rFonts w:hint="eastAsia" w:ascii="仿宋" w:hAnsi="仿宋" w:eastAsia="仿宋" w:cs="仿宋"/>
              </w:rPr>
            </w:pPr>
          </w:p>
        </w:tc>
        <w:tc>
          <w:tcPr>
            <w:tcW w:w="255" w:type="pct"/>
            <w:vMerge w:val="continue"/>
            <w:noWrap w:val="0"/>
            <w:vAlign w:val="center"/>
          </w:tcPr>
          <w:p>
            <w:pPr>
              <w:spacing w:line="240" w:lineRule="exact"/>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制度执行</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有效性（4分）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4</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预算支出实施是否符合相关业务管理规定，用以反映和考核业务管理制度的有效执行情况。</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评价要点：</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①是否遵守相关法律法规和相关管理规定；</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②预算支出调整及支出调整手续是否完备；</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③预算支出合同书、验收报告、技术鉴定等资料是否齐全并及时归档；</w:t>
            </w:r>
          </w:p>
          <w:p>
            <w:pPr>
              <w:spacing w:line="240" w:lineRule="exact"/>
              <w:ind w:left="105" w:leftChars="50" w:right="105" w:rightChars="50"/>
              <w:rPr>
                <w:rFonts w:hint="eastAsia" w:ascii="仿宋" w:hAnsi="仿宋" w:eastAsia="仿宋" w:cs="仿宋"/>
              </w:rPr>
            </w:pPr>
            <w:r>
              <w:rPr>
                <w:rFonts w:hint="eastAsia" w:ascii="仿宋" w:hAnsi="仿宋" w:eastAsia="仿宋" w:cs="仿宋"/>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1018"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rPr>
            </w:pPr>
            <w:r>
              <w:rPr>
                <w:rFonts w:hint="eastAsia" w:ascii="仿宋" w:hAnsi="仿宋" w:eastAsia="仿宋" w:cs="仿宋"/>
              </w:rPr>
              <w:t>产   出（40分）</w:t>
            </w:r>
          </w:p>
        </w:tc>
        <w:tc>
          <w:tcPr>
            <w:tcW w:w="255"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产出</w:t>
            </w:r>
          </w:p>
          <w:p>
            <w:pPr>
              <w:spacing w:line="240" w:lineRule="exact"/>
              <w:jc w:val="center"/>
              <w:rPr>
                <w:rFonts w:hint="eastAsia" w:ascii="仿宋" w:hAnsi="仿宋" w:eastAsia="仿宋" w:cs="仿宋"/>
              </w:rPr>
            </w:pPr>
            <w:r>
              <w:rPr>
                <w:rFonts w:hint="eastAsia" w:ascii="仿宋" w:hAnsi="仿宋" w:eastAsia="仿宋" w:cs="仿宋"/>
              </w:rPr>
              <w:t>数量（10分）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实际</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完成率（10分）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9</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预算支出实施的实际产出数与计划产出数的比率，用以反映和考核预算支出产出数量目标的实现程度。</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实际完成率=（实际产出数/计划产出数）×100%。</w:t>
            </w:r>
          </w:p>
          <w:p>
            <w:pPr>
              <w:spacing w:line="240" w:lineRule="exact"/>
              <w:ind w:left="105" w:leftChars="50" w:right="105" w:rightChars="50"/>
              <w:rPr>
                <w:rFonts w:hint="eastAsia" w:ascii="仿宋" w:hAnsi="仿宋" w:eastAsia="仿宋" w:cs="仿宋"/>
              </w:rPr>
            </w:pPr>
            <w:r>
              <w:rPr>
                <w:rFonts w:hint="eastAsia" w:ascii="仿宋" w:hAnsi="仿宋" w:eastAsia="仿宋" w:cs="仿宋"/>
              </w:rPr>
              <w:t>实际产出数：一定时期（本年度或预算支出期）内预算支出实际产出的产品或提供的服务数量。</w:t>
            </w:r>
          </w:p>
          <w:p>
            <w:pPr>
              <w:spacing w:line="240" w:lineRule="exact"/>
              <w:ind w:left="105" w:leftChars="50" w:right="105" w:rightChars="50"/>
              <w:rPr>
                <w:rFonts w:hint="eastAsia" w:ascii="仿宋" w:hAnsi="仿宋" w:eastAsia="仿宋" w:cs="仿宋"/>
              </w:rPr>
            </w:pPr>
            <w:r>
              <w:rPr>
                <w:rFonts w:hint="eastAsia" w:ascii="仿宋" w:hAnsi="仿宋" w:eastAsia="仿宋" w:cs="仿宋"/>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1018" w:type="pct"/>
            <w:vMerge w:val="continue"/>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rPr>
            </w:pPr>
          </w:p>
        </w:tc>
        <w:tc>
          <w:tcPr>
            <w:tcW w:w="255"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产出</w:t>
            </w:r>
          </w:p>
          <w:p>
            <w:pPr>
              <w:spacing w:line="240" w:lineRule="exact"/>
              <w:jc w:val="center"/>
              <w:rPr>
                <w:rFonts w:hint="eastAsia" w:ascii="仿宋" w:hAnsi="仿宋" w:eastAsia="仿宋" w:cs="仿宋"/>
              </w:rPr>
            </w:pPr>
            <w:r>
              <w:rPr>
                <w:rFonts w:hint="eastAsia" w:ascii="仿宋" w:hAnsi="仿宋" w:eastAsia="仿宋" w:cs="仿宋"/>
              </w:rPr>
              <w:t>质量（10分）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质量</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达标率（10分）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9</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预算支出完成的质量达标产出数与实际产出数的比率，用以反映和考核预算支出产出质量目标的实现程度。</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质量达标率=（质量达标产出数/实际产出数）×100%。</w:t>
            </w:r>
          </w:p>
          <w:p>
            <w:pPr>
              <w:spacing w:line="240" w:lineRule="exact"/>
              <w:ind w:left="105" w:leftChars="50" w:right="105" w:rightChars="50"/>
              <w:rPr>
                <w:rFonts w:hint="eastAsia" w:ascii="仿宋" w:hAnsi="仿宋" w:eastAsia="仿宋" w:cs="仿宋"/>
              </w:rPr>
            </w:pPr>
            <w:r>
              <w:rPr>
                <w:rFonts w:hint="eastAsia" w:ascii="仿宋" w:hAnsi="仿宋" w:eastAsia="仿宋" w:cs="仿宋"/>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7" w:hRule="atLeast"/>
          <w:jc w:val="center"/>
        </w:trPr>
        <w:tc>
          <w:tcPr>
            <w:tcW w:w="1018" w:type="pct"/>
            <w:noWrap/>
            <w:tcMar>
              <w:top w:w="10" w:type="dxa"/>
              <w:left w:w="10" w:type="dxa"/>
              <w:bottom w:w="0" w:type="dxa"/>
              <w:right w:w="10" w:type="dxa"/>
            </w:tcMar>
            <w:vAlign w:val="center"/>
          </w:tcPr>
          <w:p>
            <w:pPr>
              <w:spacing w:line="240" w:lineRule="exact"/>
              <w:ind w:left="113"/>
              <w:rPr>
                <w:rFonts w:hint="eastAsia" w:ascii="仿宋" w:hAnsi="仿宋" w:eastAsia="仿宋" w:cs="仿宋"/>
              </w:rPr>
            </w:pPr>
            <w:r>
              <w:rPr>
                <w:rFonts w:hint="eastAsia" w:ascii="仿宋" w:hAnsi="仿宋" w:eastAsia="仿宋" w:cs="仿宋"/>
              </w:rPr>
              <w:t>产   出（40分）</w:t>
            </w:r>
          </w:p>
        </w:tc>
        <w:tc>
          <w:tcPr>
            <w:tcW w:w="255"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产出</w:t>
            </w:r>
          </w:p>
          <w:p>
            <w:pPr>
              <w:spacing w:line="240" w:lineRule="exact"/>
              <w:jc w:val="center"/>
              <w:rPr>
                <w:rFonts w:hint="eastAsia" w:ascii="仿宋" w:hAnsi="仿宋" w:eastAsia="仿宋" w:cs="仿宋"/>
              </w:rPr>
            </w:pPr>
            <w:r>
              <w:rPr>
                <w:rFonts w:hint="eastAsia" w:ascii="仿宋" w:hAnsi="仿宋" w:eastAsia="仿宋" w:cs="仿宋"/>
              </w:rPr>
              <w:t>时效（10分）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完成</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及时性（10分）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210" w:firstLineChars="100"/>
              <w:rPr>
                <w:rFonts w:hint="eastAsia" w:ascii="仿宋" w:hAnsi="仿宋" w:eastAsia="仿宋" w:cs="仿宋"/>
              </w:rPr>
            </w:pPr>
            <w:r>
              <w:rPr>
                <w:rFonts w:hint="eastAsia" w:ascii="仿宋" w:hAnsi="仿宋" w:eastAsia="仿宋" w:cs="仿宋"/>
              </w:rPr>
              <w:t>10</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预算支出实际完成时间与计划完成时间的比较，用以反映和考核预算支出产出时效目标的实现程度。</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实际完成时间：预算支出实施单位完成该预算支出实际所耗用的时间。</w:t>
            </w:r>
          </w:p>
          <w:p>
            <w:pPr>
              <w:spacing w:line="240" w:lineRule="exact"/>
              <w:ind w:left="105" w:leftChars="50" w:right="105" w:rightChars="50"/>
              <w:rPr>
                <w:rFonts w:hint="eastAsia" w:ascii="仿宋" w:hAnsi="仿宋" w:eastAsia="仿宋" w:cs="仿宋"/>
              </w:rPr>
            </w:pPr>
            <w:r>
              <w:rPr>
                <w:rFonts w:hint="eastAsia" w:ascii="仿宋" w:hAnsi="仿宋" w:eastAsia="仿宋" w:cs="仿宋"/>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9" w:hRule="atLeast"/>
          <w:jc w:val="center"/>
        </w:trPr>
        <w:tc>
          <w:tcPr>
            <w:tcW w:w="1018" w:type="pct"/>
            <w:noWrap/>
            <w:tcMar>
              <w:top w:w="10" w:type="dxa"/>
              <w:left w:w="10" w:type="dxa"/>
              <w:bottom w:w="0" w:type="dxa"/>
              <w:right w:w="10" w:type="dxa"/>
            </w:tcMar>
            <w:vAlign w:val="center"/>
          </w:tcPr>
          <w:p>
            <w:pPr>
              <w:spacing w:line="240" w:lineRule="exact"/>
              <w:ind w:left="113"/>
              <w:rPr>
                <w:rFonts w:hint="eastAsia" w:ascii="仿宋" w:hAnsi="仿宋" w:eastAsia="仿宋" w:cs="仿宋"/>
              </w:rPr>
            </w:pPr>
          </w:p>
        </w:tc>
        <w:tc>
          <w:tcPr>
            <w:tcW w:w="255"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产出</w:t>
            </w:r>
          </w:p>
          <w:p>
            <w:pPr>
              <w:spacing w:line="240" w:lineRule="exact"/>
              <w:jc w:val="center"/>
              <w:rPr>
                <w:rFonts w:hint="eastAsia" w:ascii="仿宋" w:hAnsi="仿宋" w:eastAsia="仿宋" w:cs="仿宋"/>
              </w:rPr>
            </w:pPr>
            <w:r>
              <w:rPr>
                <w:rFonts w:hint="eastAsia" w:ascii="仿宋" w:hAnsi="仿宋" w:eastAsia="仿宋" w:cs="仿宋"/>
              </w:rPr>
              <w:t>成本（10分）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成本</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节约率（10分）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8</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完成预算支出计划工作目标的实际节约成本与计划成本的比率，用以反映和考核预算支出的成本节约程度。</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成本节约率=[（计划成本-实际成本）/计划成本]×100%。</w:t>
            </w:r>
          </w:p>
          <w:p>
            <w:pPr>
              <w:spacing w:line="240" w:lineRule="exact"/>
              <w:ind w:left="105" w:leftChars="50" w:right="105" w:rightChars="50"/>
              <w:rPr>
                <w:rFonts w:hint="eastAsia" w:ascii="仿宋" w:hAnsi="仿宋" w:eastAsia="仿宋" w:cs="仿宋"/>
              </w:rPr>
            </w:pPr>
            <w:r>
              <w:rPr>
                <w:rFonts w:hint="eastAsia" w:ascii="仿宋" w:hAnsi="仿宋" w:eastAsia="仿宋" w:cs="仿宋"/>
              </w:rPr>
              <w:t>实际成本：预算支出实施单位如期、保质、保量完成既定工作目标实际所耗费的支出。</w:t>
            </w:r>
          </w:p>
          <w:p>
            <w:pPr>
              <w:spacing w:line="240" w:lineRule="exact"/>
              <w:ind w:left="105" w:leftChars="50" w:right="105" w:rightChars="50"/>
              <w:rPr>
                <w:rFonts w:hint="eastAsia" w:ascii="仿宋" w:hAnsi="仿宋" w:eastAsia="仿宋" w:cs="仿宋"/>
              </w:rPr>
            </w:pPr>
            <w:r>
              <w:rPr>
                <w:rFonts w:hint="eastAsia" w:ascii="仿宋" w:hAnsi="仿宋" w:eastAsia="仿宋" w:cs="仿宋"/>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4" w:hRule="atLeast"/>
          <w:jc w:val="center"/>
        </w:trPr>
        <w:tc>
          <w:tcPr>
            <w:tcW w:w="1018" w:type="pc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rPr>
            </w:pPr>
            <w:r>
              <w:rPr>
                <w:rFonts w:hint="eastAsia" w:ascii="仿宋" w:hAnsi="仿宋" w:eastAsia="仿宋" w:cs="仿宋"/>
              </w:rPr>
              <w:t>效   益（20分）</w:t>
            </w:r>
          </w:p>
        </w:tc>
        <w:tc>
          <w:tcPr>
            <w:tcW w:w="255"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rPr>
            </w:pPr>
            <w:r>
              <w:rPr>
                <w:rFonts w:hint="eastAsia" w:ascii="仿宋" w:hAnsi="仿宋" w:eastAsia="仿宋" w:cs="仿宋"/>
              </w:rPr>
              <w:t>预算支出</w:t>
            </w:r>
          </w:p>
          <w:p>
            <w:pPr>
              <w:spacing w:line="240" w:lineRule="exact"/>
              <w:jc w:val="center"/>
              <w:rPr>
                <w:rFonts w:hint="eastAsia" w:ascii="仿宋" w:hAnsi="仿宋" w:eastAsia="仿宋" w:cs="仿宋"/>
              </w:rPr>
            </w:pPr>
            <w:r>
              <w:rPr>
                <w:rFonts w:hint="eastAsia" w:ascii="仿宋" w:hAnsi="仿宋" w:eastAsia="仿宋" w:cs="仿宋"/>
              </w:rPr>
              <w:t>效益（20分）</w:t>
            </w: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实施效益（10分）</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9</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预算支出实施所产生的效益。</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0" w:hRule="atLeast"/>
          <w:jc w:val="center"/>
        </w:trPr>
        <w:tc>
          <w:tcPr>
            <w:tcW w:w="1018" w:type="pct"/>
            <w:noWrap/>
            <w:tcMar>
              <w:top w:w="10" w:type="dxa"/>
              <w:left w:w="10" w:type="dxa"/>
              <w:bottom w:w="0" w:type="dxa"/>
              <w:right w:w="10" w:type="dxa"/>
            </w:tcMar>
            <w:vAlign w:val="center"/>
          </w:tcPr>
          <w:p>
            <w:pPr>
              <w:spacing w:line="240" w:lineRule="exact"/>
              <w:rPr>
                <w:rFonts w:hint="eastAsia" w:ascii="仿宋" w:hAnsi="仿宋" w:eastAsia="仿宋" w:cs="仿宋"/>
              </w:rPr>
            </w:pPr>
          </w:p>
        </w:tc>
        <w:tc>
          <w:tcPr>
            <w:tcW w:w="255" w:type="pct"/>
            <w:noWrap w:val="0"/>
            <w:tcMar>
              <w:top w:w="10" w:type="dxa"/>
              <w:left w:w="10" w:type="dxa"/>
              <w:bottom w:w="0" w:type="dxa"/>
              <w:right w:w="10" w:type="dxa"/>
            </w:tcMar>
            <w:vAlign w:val="center"/>
          </w:tcPr>
          <w:p>
            <w:pPr>
              <w:spacing w:line="240" w:lineRule="exact"/>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社会公众</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或服务（10分）对</w:t>
            </w:r>
          </w:p>
          <w:p>
            <w:pPr>
              <w:spacing w:line="240" w:lineRule="exact"/>
              <w:ind w:left="105" w:leftChars="50" w:right="105" w:rightChars="50"/>
              <w:jc w:val="center"/>
              <w:rPr>
                <w:rFonts w:hint="eastAsia" w:ascii="仿宋" w:hAnsi="仿宋" w:eastAsia="仿宋" w:cs="仿宋"/>
              </w:rPr>
            </w:pPr>
            <w:r>
              <w:rPr>
                <w:rFonts w:hint="eastAsia" w:ascii="仿宋" w:hAnsi="仿宋" w:eastAsia="仿宋" w:cs="仿宋"/>
              </w:rPr>
              <w:t>象满意度</w:t>
            </w:r>
          </w:p>
        </w:tc>
        <w:tc>
          <w:tcPr>
            <w:tcW w:w="389" w:type="pct"/>
            <w:noWrap w:val="0"/>
            <w:vAlign w:val="top"/>
          </w:tcPr>
          <w:p>
            <w:pPr>
              <w:spacing w:line="240" w:lineRule="exact"/>
              <w:ind w:left="105" w:leftChars="50" w:right="105" w:rightChars="5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315" w:firstLineChars="150"/>
              <w:rPr>
                <w:rFonts w:hint="eastAsia" w:ascii="仿宋" w:hAnsi="仿宋" w:eastAsia="仿宋" w:cs="仿宋"/>
              </w:rPr>
            </w:pPr>
            <w:r>
              <w:rPr>
                <w:rFonts w:hint="eastAsia" w:ascii="仿宋" w:hAnsi="仿宋" w:eastAsia="仿宋" w:cs="仿宋"/>
              </w:rPr>
              <w:t>8</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社会公众或服务对象对预算支出实施效果的满意程度。</w:t>
            </w: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r>
              <w:rPr>
                <w:rFonts w:hint="eastAsia" w:ascii="仿宋" w:hAnsi="仿宋" w:eastAsia="仿宋" w:cs="仿宋"/>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1018" w:type="pct"/>
            <w:noWrap/>
            <w:tcMar>
              <w:top w:w="10" w:type="dxa"/>
              <w:left w:w="10" w:type="dxa"/>
              <w:bottom w:w="0" w:type="dxa"/>
              <w:right w:w="10" w:type="dxa"/>
            </w:tcMar>
            <w:vAlign w:val="center"/>
          </w:tcPr>
          <w:p>
            <w:pPr>
              <w:spacing w:line="240" w:lineRule="exact"/>
              <w:rPr>
                <w:rFonts w:hint="eastAsia" w:ascii="仿宋" w:hAnsi="仿宋" w:eastAsia="仿宋" w:cs="仿宋"/>
              </w:rPr>
            </w:pPr>
            <w:r>
              <w:rPr>
                <w:rFonts w:hint="eastAsia" w:ascii="仿宋" w:hAnsi="仿宋" w:eastAsia="仿宋" w:cs="仿宋"/>
              </w:rPr>
              <w:t>总分</w:t>
            </w:r>
          </w:p>
        </w:tc>
        <w:tc>
          <w:tcPr>
            <w:tcW w:w="255" w:type="pct"/>
            <w:noWrap w:val="0"/>
            <w:tcMar>
              <w:top w:w="10" w:type="dxa"/>
              <w:left w:w="10" w:type="dxa"/>
              <w:bottom w:w="0" w:type="dxa"/>
              <w:right w:w="10" w:type="dxa"/>
            </w:tcMar>
            <w:vAlign w:val="center"/>
          </w:tcPr>
          <w:p>
            <w:pPr>
              <w:spacing w:line="240" w:lineRule="exact"/>
              <w:rPr>
                <w:rFonts w:hint="eastAsia" w:ascii="仿宋" w:hAnsi="仿宋" w:eastAsia="仿宋" w:cs="仿宋"/>
              </w:rPr>
            </w:pPr>
          </w:p>
        </w:tc>
        <w:tc>
          <w:tcPr>
            <w:tcW w:w="409" w:type="pct"/>
            <w:noWrap w:val="0"/>
            <w:tcMar>
              <w:top w:w="10" w:type="dxa"/>
              <w:left w:w="10" w:type="dxa"/>
              <w:bottom w:w="0" w:type="dxa"/>
              <w:right w:w="10" w:type="dxa"/>
            </w:tcMar>
            <w:vAlign w:val="center"/>
          </w:tcPr>
          <w:p>
            <w:pPr>
              <w:spacing w:line="240" w:lineRule="exact"/>
              <w:ind w:left="105" w:leftChars="50" w:right="105" w:rightChars="50"/>
              <w:jc w:val="center"/>
              <w:rPr>
                <w:rFonts w:hint="eastAsia" w:ascii="仿宋" w:hAnsi="仿宋" w:eastAsia="仿宋" w:cs="仿宋"/>
              </w:rPr>
            </w:pPr>
          </w:p>
        </w:tc>
        <w:tc>
          <w:tcPr>
            <w:tcW w:w="389" w:type="pct"/>
            <w:noWrap w:val="0"/>
            <w:vAlign w:val="top"/>
          </w:tcPr>
          <w:p>
            <w:pPr>
              <w:ind w:firstLine="210" w:firstLineChars="100"/>
              <w:rPr>
                <w:rFonts w:hint="eastAsia" w:ascii="仿宋" w:hAnsi="仿宋" w:eastAsia="仿宋" w:cs="仿宋"/>
              </w:rPr>
            </w:pPr>
          </w:p>
          <w:p>
            <w:pPr>
              <w:ind w:firstLine="210" w:firstLineChars="100"/>
              <w:rPr>
                <w:rFonts w:hint="eastAsia" w:ascii="仿宋" w:hAnsi="仿宋" w:eastAsia="仿宋" w:cs="仿宋"/>
              </w:rPr>
            </w:pPr>
            <w:r>
              <w:rPr>
                <w:rFonts w:hint="eastAsia" w:ascii="仿宋" w:hAnsi="仿宋" w:eastAsia="仿宋" w:cs="仿宋"/>
              </w:rPr>
              <w:t>92</w:t>
            </w:r>
          </w:p>
        </w:tc>
        <w:tc>
          <w:tcPr>
            <w:tcW w:w="828"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p>
        </w:tc>
        <w:tc>
          <w:tcPr>
            <w:tcW w:w="2099" w:type="pct"/>
            <w:noWrap w:val="0"/>
            <w:tcMar>
              <w:top w:w="10" w:type="dxa"/>
              <w:left w:w="10" w:type="dxa"/>
              <w:bottom w:w="0" w:type="dxa"/>
              <w:right w:w="10" w:type="dxa"/>
            </w:tcMar>
            <w:vAlign w:val="center"/>
          </w:tcPr>
          <w:p>
            <w:pPr>
              <w:spacing w:line="240" w:lineRule="exact"/>
              <w:ind w:left="105" w:leftChars="50" w:right="105" w:rightChars="50"/>
              <w:rPr>
                <w:rFonts w:hint="eastAsia" w:ascii="仿宋" w:hAnsi="仿宋" w:eastAsia="仿宋" w:cs="仿宋"/>
              </w:rPr>
            </w:pPr>
          </w:p>
        </w:tc>
      </w:tr>
    </w:tbl>
    <w:p>
      <w:pPr>
        <w:autoSpaceDE w:val="0"/>
        <w:autoSpaceDN w:val="0"/>
        <w:adjustRightInd w:val="0"/>
        <w:spacing w:line="640" w:lineRule="exact"/>
        <w:ind w:right="180"/>
        <w:rPr>
          <w:rFonts w:hint="eastAsia" w:ascii="宋体" w:cs="黑体"/>
          <w:b/>
          <w:sz w:val="28"/>
          <w:szCs w:val="28"/>
          <w:highlight w:val="white"/>
          <w:lang w:val="zh-CN"/>
        </w:rPr>
      </w:pPr>
    </w:p>
    <w:p/>
    <w:sectPr>
      <w:pgSz w:w="11906" w:h="16838"/>
      <w:pgMar w:top="1134" w:right="1531" w:bottom="1134" w:left="1531" w:header="708" w:footer="709"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0873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2023-06-19T10:52:40Z</dcterms:created>
  <dc:creator>admin-3</dc:creator>
  <cp:lastModifiedBy>admin-3</cp:lastModifiedBy>
  <dcterms:modified xsi:type="dcterms:W3CDTF">2023-06-19T10:52:57Z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2173F708A7974A078BE4744BE0186213_12</vt:lpwstr>
  </property>
</Properties>
</file>