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益阳市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赫山区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笔架山乡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人民政府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2021年“革命老区资金”</w:t>
      </w:r>
    </w:p>
    <w:p>
      <w:pPr>
        <w:keepNext w:val="0"/>
        <w:keepLines w:val="0"/>
        <w:pageBreakBefore w:val="0"/>
        <w:widowControl w:val="0"/>
        <w:tabs>
          <w:tab w:val="left" w:pos="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项目支出自评报告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（一）项目基本情况：</w:t>
      </w:r>
      <w:r>
        <w:rPr>
          <w:rFonts w:hint="eastAsia" w:ascii="仿宋" w:hAnsi="仿宋" w:eastAsia="仿宋" w:cs="仿宋"/>
          <w:sz w:val="30"/>
          <w:szCs w:val="30"/>
        </w:rPr>
        <w:t>2021年区政府安排我乡革命老区资金60万元，我乡依据财政部《革命老区转移支付资金管理办法》决定主要用于我乡10个村（社区）进行人居环境整治等民生事务。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（二）绩效目标设定及指标完成情况：</w:t>
      </w:r>
      <w:r>
        <w:rPr>
          <w:rFonts w:hint="eastAsia" w:ascii="仿宋" w:hAnsi="仿宋" w:eastAsia="仿宋" w:cs="仿宋"/>
          <w:sz w:val="30"/>
          <w:szCs w:val="30"/>
        </w:rPr>
        <w:t>通过宣传发动、清扫清运垃圾、河道保洁等工作，合全乡人民之力全力打造我乡干净、整洁、宜居的社会居住环境，充分发挥财政资金的社会效益。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（一）绩效评价目的：</w:t>
      </w:r>
      <w:r>
        <w:rPr>
          <w:rFonts w:hint="eastAsia" w:ascii="仿宋" w:hAnsi="仿宋" w:eastAsia="仿宋" w:cs="仿宋"/>
          <w:sz w:val="30"/>
          <w:szCs w:val="30"/>
        </w:rPr>
        <w:t>财政资金使用精准、安全、高效，人民群众有充分的获得感、幸福感。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（二）项目资金：2021年财政革命老区资金60万元，并整合其他财政资金全部用于对10村(社区)人居环境整治进行补助。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（三）项目组织情况：</w:t>
      </w:r>
      <w:r>
        <w:rPr>
          <w:rFonts w:hint="eastAsia" w:ascii="仿宋" w:hAnsi="仿宋" w:eastAsia="仿宋" w:cs="仿宋"/>
          <w:sz w:val="30"/>
          <w:szCs w:val="30"/>
        </w:rPr>
        <w:t>由乡人居办组织各村（社区）成立人居工作组，购置相应垃圾清扫清运设备，设立公益性岗位开展工作。全乡共配置垃圾桶8300多个，安排保洁员52名，垃圾车52辆。乡人居办每天不定期检查，并时刻接受上级督导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（四）项目管理情况：</w:t>
      </w:r>
      <w:r>
        <w:rPr>
          <w:rFonts w:hint="eastAsia" w:ascii="仿宋" w:hAnsi="仿宋" w:eastAsia="仿宋" w:cs="仿宋"/>
          <w:sz w:val="30"/>
          <w:szCs w:val="30"/>
        </w:rPr>
        <w:t>乡成立人居环境治理工作领导小组，负责领导全乡人居环境整治工作，领导小组下设办公室负责人居环境治理的日常管理工作，包括制定工作方案、资金管理使用制度、日常工作计划等。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，我乡人居环境整治工作通过加强政策宣传、加大工作力度、明确奖惩措施，取得了较好的成绩。一是人居环境治理工作深入人心，做到了家喻户晓，群众意识得到了极大的提高；二是人民群众的居住环境得到了极大的改善，山更绿了，水更清了，村庄更整洁了；三是增加了一些公益性岗位，改善了部分困难群众就近就业的问题；四是进一步完善了基础设施建设并使之成为了一项制度化、常态化的工作。经乡政府组织各部门的联合督导评估、下村走访调查，群众对乡党委、政府工作的安排与协调满意度很高，相关项目的实施极大改善了当地群众生产与生活环境，群众的获得感与幸福感大大提升，电话调查与实人谈话的满意率在98%以上。资金分配合理，管理和使用合规，资金拨付及时，不存在挪用、在帐滞留闲置的情况，财政资金使用精准，社会效益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（一）专项管理方面的问题：</w:t>
      </w:r>
      <w:r>
        <w:rPr>
          <w:rFonts w:hint="eastAsia" w:ascii="仿宋" w:hAnsi="仿宋" w:eastAsia="仿宋" w:cs="仿宋"/>
          <w:sz w:val="30"/>
          <w:szCs w:val="30"/>
        </w:rPr>
        <w:t>2021年我乡的人居环境整治工作，是按上级有关文件要求来开展工作，资金管理办法还不很完善，相关制度在实践中也有一些待改进的方面。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（二）资金分配方面的问题：</w:t>
      </w:r>
      <w:r>
        <w:rPr>
          <w:rFonts w:hint="eastAsia" w:ascii="仿宋" w:hAnsi="仿宋" w:eastAsia="仿宋" w:cs="仿宋"/>
          <w:sz w:val="30"/>
          <w:szCs w:val="30"/>
        </w:rPr>
        <w:t>人居环境工作资金，我乡进行了整合，将年度预算内农村环境整治资金、公益性岗位补助资金、革命老区资金等整合使用。根据2021年的实际，还有一些缺口。资金分配虽然做到了公平公正，但还是不能完全满足此项工作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（三）资金拨付方面的问题：</w:t>
      </w:r>
      <w:r>
        <w:rPr>
          <w:rFonts w:hint="eastAsia" w:ascii="仿宋" w:hAnsi="仿宋" w:eastAsia="仿宋" w:cs="仿宋"/>
          <w:sz w:val="30"/>
          <w:szCs w:val="30"/>
        </w:rPr>
        <w:t>收到指标资金为2021年12月，由于各村工作上存在差异、资金拨付审批流程等问题，部分村资金拨付出现了夸年的情况，但不存挪用、在帐滞留闲置的情况。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一）</w:t>
      </w:r>
      <w:r>
        <w:rPr>
          <w:rFonts w:hint="eastAsia" w:ascii="仿宋" w:hAnsi="仿宋" w:eastAsia="仿宋" w:cs="仿宋"/>
          <w:sz w:val="30"/>
          <w:szCs w:val="30"/>
        </w:rPr>
        <w:t>继续争取中央和省市级财政的支持，整合相关财政资金，加大基础设施建设等民生事务方面的投入力度。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形式将所有资金分配到各行政村，做到公平公开公正透明。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三）</w:t>
      </w:r>
      <w:r>
        <w:rPr>
          <w:rFonts w:hint="eastAsia" w:ascii="仿宋" w:hAnsi="仿宋" w:eastAsia="仿宋" w:cs="仿宋"/>
          <w:sz w:val="30"/>
          <w:szCs w:val="30"/>
        </w:rPr>
        <w:t>加强资金管理，完善相关制度和资金审批程序，保证资金安全、高效。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sz w:val="30"/>
          <w:szCs w:val="30"/>
        </w:rPr>
        <w:t>规范立项，乡党委、政府根据资金项目及支出内容用文件的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附加：</w:t>
      </w:r>
      <w:r>
        <w:rPr>
          <w:rFonts w:hint="eastAsia" w:ascii="仿宋" w:hAnsi="仿宋" w:eastAsia="仿宋" w:cs="仿宋"/>
          <w:sz w:val="30"/>
          <w:szCs w:val="30"/>
        </w:rPr>
        <w:t>2021年项目支出绩效自评指标计分表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left="3002" w:firstLine="793"/>
        <w:rPr>
          <w:rFonts w:hint="eastAsia" w:ascii="仿宋" w:hAnsi="仿宋" w:eastAsia="仿宋"/>
          <w:sz w:val="32"/>
        </w:rPr>
      </w:pPr>
    </w:p>
    <w:p>
      <w:pPr>
        <w:ind w:left="3002" w:firstLine="793"/>
        <w:rPr>
          <w:rFonts w:hint="eastAsia" w:ascii="仿宋" w:hAnsi="仿宋" w:eastAsia="仿宋"/>
          <w:sz w:val="32"/>
        </w:rPr>
      </w:pPr>
    </w:p>
    <w:p>
      <w:pPr>
        <w:ind w:left="3002" w:firstLine="793"/>
        <w:rPr>
          <w:rFonts w:hint="eastAsia" w:ascii="仿宋" w:hAnsi="仿宋" w:eastAsia="仿宋"/>
          <w:sz w:val="32"/>
        </w:rPr>
      </w:pPr>
    </w:p>
    <w:p>
      <w:pPr>
        <w:ind w:left="3002" w:firstLine="793"/>
        <w:rPr>
          <w:rFonts w:hint="eastAsia" w:ascii="仿宋" w:hAnsi="仿宋" w:eastAsia="仿宋"/>
          <w:sz w:val="32"/>
        </w:rPr>
      </w:pPr>
    </w:p>
    <w:p>
      <w:pPr>
        <w:ind w:left="3002" w:firstLine="793"/>
        <w:rPr>
          <w:rFonts w:hint="eastAsia" w:ascii="仿宋" w:hAnsi="仿宋" w:eastAsia="仿宋"/>
          <w:sz w:val="32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widowControl/>
        <w:autoSpaceDE w:val="0"/>
        <w:autoSpaceDN w:val="0"/>
        <w:spacing w:line="480" w:lineRule="exact"/>
        <w:ind w:left="0" w:firstLine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2021年项目支出绩效自评指标计分表</w:t>
      </w:r>
    </w:p>
    <w:tbl>
      <w:tblPr>
        <w:tblStyle w:val="2"/>
        <w:tblpPr w:leftFromText="180" w:rightFromText="180" w:vertAnchor="text" w:horzAnchor="page" w:tblpX="1495" w:tblpY="20"/>
        <w:tblOverlap w:val="never"/>
        <w:tblW w:w="8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811"/>
        <w:gridCol w:w="1065"/>
        <w:gridCol w:w="639"/>
        <w:gridCol w:w="2769"/>
        <w:gridCol w:w="2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一级指标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二级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指标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三级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指标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自评分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具体指标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决策（20分）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目标（4分）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目标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内容（4分）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设立了项目绩效目标；目标明确；目标细化；目标量化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设有目标（1分）   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目标明确（1分）   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目标细化（1分）    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目标量化（1分）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决策过程（8分）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决策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依据（4分）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部门年度工作计划（1分）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针对某一实际问题和需求（1分）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决策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程序（4分）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项目调整履行了相应手续（1分）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资金分配（8分）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分配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办法（3分）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有相应的资金管理办法（1分）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办法健全、规范（1分）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因素全面合理（1分）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分配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结果（5分）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资金分配符合相关管理办法；分配结果公平合理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符合分配办法（2分）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分配公平合理（3分）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管理 （25分）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资金到位（5分）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到位率（3分）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实际到位/计划到位*100%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根据项目资金的实际到位率计算得分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到位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时效（2分）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资金及时到位；若未及时到位，是否影响项目进度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到位及时（2分）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不及时但未影响项目进度 （1分）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不及时并影响项目进度（0.5分）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资金管理（10分）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使用（7分）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虚列套取扣4-7分 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依据不合规扣2分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截留、挤占、挪用    扣3-6分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超标准开支扣2-5分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超预算扣2-5分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财务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管理（3分）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组织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实施（10分）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组织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机构（1分）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机构健全、分工明确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200" w:hanging="20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机构健全、分工明确  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实施（3分）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项目按计划开工；按计划进度开展；按计划完工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按计划开工（1分）   按计划开展（1分）   按计划完工（1分）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管理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制度（6分）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项目管理制度健全；严格执行相关管理制度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管理制度健全（2分）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制度执行严格（4分）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绩效（55分）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产出（15分）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产出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数量（5分）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根据该项目实际，标识具体明确的产出数量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产出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质量（4分）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根据该项目实际，标识具体明确的产出质量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产出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时效（3分）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根据该项目实际，标识具体明确的产出时效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产出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成本（3分）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根据该项目实际，标识具体明确的产出成本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rPr>
                <w:rFonts w:ascii="宋体" w:hAnsi="宋体" w:cs="宋体"/>
              </w:rPr>
            </w:pP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效果（40分）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经济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效益（8分）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根据项目实际，标识所产生的直接或间接的经济效益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社会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效益（8分）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7.5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根据项目实际，标识所产生的社会效益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环境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效益（8分）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根据项目实际，标识对环境所产生的积极或消极影响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可持续影响（8分）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项目产出能持续运用（4分）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所依赖的政策制度能持续执行（4分）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ind w:left="0" w:firstLine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服务</w:t>
            </w:r>
          </w:p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对象满意度（8分）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项目预期服务对象对项目实施的满意程度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总分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　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60" w:lineRule="exact"/>
              <w:ind w:left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　</w:t>
            </w:r>
          </w:p>
        </w:tc>
      </w:tr>
    </w:tbl>
    <w:p>
      <w:pPr>
        <w:widowControl/>
        <w:autoSpaceDE w:val="0"/>
        <w:autoSpaceDN w:val="0"/>
        <w:spacing w:line="80" w:lineRule="exact"/>
        <w:ind w:left="0" w:firstLine="0"/>
        <w:rPr>
          <w:rFonts w:ascii="黑体" w:hAnsi="黑体" w:eastAsia="黑体" w:cs="黑体"/>
          <w:sz w:val="21"/>
          <w:szCs w:val="21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DRkNTkxMzRiYWQ3ODFjNjM3YTMzZWRlYjFjZmQifQ=="/>
  </w:docVars>
  <w:rsids>
    <w:rsidRoot w:val="00000000"/>
    <w:rsid w:val="135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2023-06-25T07:08:04Z</dcterms:created>
  <dc:creator>admin-3</dc:creator>
  <cp:lastModifiedBy>admin-3</cp:lastModifiedBy>
  <dcterms:modified xsi:type="dcterms:W3CDTF">2023-06-25T07:08:38Z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369FE6AA3A8B4301978760AC01ECC1F8_12</vt:lpwstr>
  </property>
</Properties>
</file>