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bidi w:val="0"/>
        <w:spacing w:line="600" w:lineRule="exact"/>
        <w:jc w:val="center"/>
        <w:textAlignment w:val="auto"/>
        <w:rPr>
          <w:rFonts w:hint="eastAsia" w:ascii="黑体" w:hAnsi="黑体" w:eastAsia="黑体" w:cs="黑体"/>
          <w:kern w:val="0"/>
          <w:sz w:val="36"/>
          <w:szCs w:val="36"/>
          <w:lang w:val="en-US" w:eastAsia="zh-CN"/>
        </w:rPr>
      </w:pPr>
    </w:p>
    <w:p>
      <w:pPr>
        <w:pStyle w:val="6"/>
        <w:pageBreakBefore w:val="0"/>
        <w:kinsoku/>
        <w:wordWrap/>
        <w:overflowPunct/>
        <w:topLinePunct w:val="0"/>
        <w:bidi w:val="0"/>
        <w:spacing w:line="600" w:lineRule="exact"/>
        <w:jc w:val="center"/>
        <w:textAlignment w:val="auto"/>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益阳市</w:t>
      </w:r>
      <w:r>
        <w:rPr>
          <w:rFonts w:hint="eastAsia" w:hAnsi="黑体" w:cs="黑体"/>
          <w:kern w:val="0"/>
          <w:sz w:val="36"/>
          <w:szCs w:val="36"/>
          <w:lang w:val="en-US" w:eastAsia="zh-CN"/>
        </w:rPr>
        <w:t>赫山区</w:t>
      </w:r>
      <w:r>
        <w:rPr>
          <w:rFonts w:hint="eastAsia" w:ascii="黑体" w:hAnsi="黑体" w:eastAsia="黑体" w:cs="黑体"/>
          <w:kern w:val="0"/>
          <w:sz w:val="36"/>
          <w:szCs w:val="36"/>
          <w:lang w:val="en-US" w:eastAsia="zh-CN"/>
        </w:rPr>
        <w:t>泥江口镇人民政府2021年</w:t>
      </w:r>
      <w:r>
        <w:rPr>
          <w:rFonts w:hint="eastAsia" w:hAnsi="黑体" w:cs="黑体"/>
          <w:kern w:val="0"/>
          <w:sz w:val="36"/>
          <w:szCs w:val="36"/>
          <w:lang w:val="en-US" w:eastAsia="zh-CN"/>
        </w:rPr>
        <w:t>度</w:t>
      </w:r>
      <w:r>
        <w:rPr>
          <w:rFonts w:hint="eastAsia" w:ascii="黑体" w:hAnsi="黑体" w:eastAsia="黑体" w:cs="黑体"/>
          <w:kern w:val="0"/>
          <w:sz w:val="36"/>
          <w:szCs w:val="36"/>
          <w:lang w:val="en-US" w:eastAsia="zh-CN"/>
        </w:rPr>
        <w:t>部门</w:t>
      </w:r>
    </w:p>
    <w:p>
      <w:pPr>
        <w:pStyle w:val="6"/>
        <w:pageBreakBefore w:val="0"/>
        <w:kinsoku/>
        <w:wordWrap/>
        <w:overflowPunct/>
        <w:topLinePunct w:val="0"/>
        <w:bidi w:val="0"/>
        <w:spacing w:line="600" w:lineRule="exact"/>
        <w:jc w:val="center"/>
        <w:textAlignment w:val="auto"/>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整体支出绩效自评报告</w:t>
      </w:r>
    </w:p>
    <w:p>
      <w:pPr>
        <w:pageBreakBefore w:val="0"/>
        <w:widowControl/>
        <w:shd w:val="clear" w:color="auto" w:fill="FFFFFF"/>
        <w:kinsoku/>
        <w:wordWrap/>
        <w:overflowPunct/>
        <w:topLinePunct w:val="0"/>
        <w:bidi w:val="0"/>
        <w:spacing w:line="600" w:lineRule="exact"/>
        <w:ind w:firstLine="602" w:firstLineChars="200"/>
        <w:jc w:val="center"/>
        <w:textAlignment w:val="auto"/>
        <w:outlineLvl w:val="1"/>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 xml:space="preserve">            </w:t>
      </w:r>
    </w:p>
    <w:p>
      <w:pPr>
        <w:pageBreakBefore w:val="0"/>
        <w:kinsoku/>
        <w:wordWrap/>
        <w:overflowPunct/>
        <w:topLinePunct w:val="0"/>
        <w:bidi w:val="0"/>
        <w:adjustRightInd w:val="0"/>
        <w:snapToGrid w:val="0"/>
        <w:spacing w:line="600" w:lineRule="exact"/>
        <w:ind w:firstLine="600" w:firstLineChars="200"/>
        <w:textAlignment w:val="auto"/>
        <w:rPr>
          <w:rFonts w:hint="eastAsia" w:ascii="仿宋" w:hAnsi="仿宋" w:eastAsia="仿宋" w:cs="仿宋"/>
          <w:b/>
          <w:sz w:val="30"/>
          <w:szCs w:val="30"/>
        </w:rPr>
      </w:pPr>
      <w:r>
        <w:rPr>
          <w:rFonts w:hint="eastAsia" w:ascii="仿宋" w:hAnsi="仿宋" w:eastAsia="仿宋" w:cs="仿宋"/>
          <w:sz w:val="30"/>
          <w:szCs w:val="30"/>
        </w:rPr>
        <w:t>根据</w:t>
      </w:r>
      <w:r>
        <w:rPr>
          <w:rFonts w:hint="eastAsia" w:ascii="仿宋" w:hAnsi="仿宋" w:eastAsia="仿宋" w:cs="仿宋"/>
          <w:sz w:val="30"/>
          <w:szCs w:val="30"/>
          <w:lang w:eastAsia="zh-CN"/>
        </w:rPr>
        <w:t>《</w:t>
      </w:r>
      <w:r>
        <w:rPr>
          <w:rFonts w:hint="eastAsia" w:ascii="仿宋" w:hAnsi="仿宋" w:eastAsia="仿宋" w:cs="仿宋"/>
          <w:sz w:val="30"/>
          <w:szCs w:val="30"/>
        </w:rPr>
        <w:t>益阳市赫山区</w:t>
      </w:r>
      <w:r>
        <w:rPr>
          <w:rFonts w:hint="eastAsia" w:ascii="仿宋" w:hAnsi="仿宋" w:eastAsia="仿宋" w:cs="仿宋"/>
          <w:sz w:val="30"/>
          <w:szCs w:val="30"/>
          <w:lang w:eastAsia="zh-CN"/>
        </w:rPr>
        <w:t>财政局关于做好</w:t>
      </w:r>
      <w:r>
        <w:rPr>
          <w:rFonts w:hint="eastAsia" w:ascii="仿宋" w:hAnsi="仿宋" w:eastAsia="仿宋" w:cs="仿宋"/>
          <w:sz w:val="30"/>
          <w:szCs w:val="30"/>
          <w:lang w:val="en-US" w:eastAsia="zh-CN"/>
        </w:rPr>
        <w:t>2021年度预算绩效自评工作的通知</w:t>
      </w:r>
      <w:r>
        <w:rPr>
          <w:rFonts w:hint="eastAsia" w:ascii="仿宋" w:hAnsi="仿宋" w:eastAsia="仿宋" w:cs="仿宋"/>
          <w:sz w:val="30"/>
          <w:szCs w:val="30"/>
        </w:rPr>
        <w:t>》（益赫</w:t>
      </w:r>
      <w:r>
        <w:rPr>
          <w:rFonts w:hint="eastAsia" w:ascii="仿宋" w:hAnsi="仿宋" w:eastAsia="仿宋" w:cs="仿宋"/>
          <w:sz w:val="30"/>
          <w:szCs w:val="30"/>
          <w:lang w:eastAsia="zh-CN"/>
        </w:rPr>
        <w:t>财绩</w:t>
      </w: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〕1号）文件精神，</w:t>
      </w:r>
      <w:r>
        <w:rPr>
          <w:rFonts w:hint="eastAsia" w:ascii="仿宋" w:hAnsi="仿宋" w:eastAsia="仿宋" w:cs="仿宋"/>
          <w:sz w:val="30"/>
          <w:szCs w:val="30"/>
          <w:lang w:eastAsia="zh-CN"/>
        </w:rPr>
        <w:t>本部门</w:t>
      </w:r>
      <w:r>
        <w:rPr>
          <w:rFonts w:hint="eastAsia" w:ascii="仿宋" w:hAnsi="仿宋" w:eastAsia="仿宋" w:cs="仿宋"/>
          <w:sz w:val="30"/>
          <w:szCs w:val="30"/>
        </w:rPr>
        <w:t>认真负责、客观公正地展开</w:t>
      </w: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年度部门整体支出绩效自评工作，现将相关情况报告如下：</w:t>
      </w:r>
    </w:p>
    <w:p>
      <w:pPr>
        <w:pageBreakBefore w:val="0"/>
        <w:kinsoku/>
        <w:wordWrap/>
        <w:overflowPunct/>
        <w:topLinePunct w:val="0"/>
        <w:bidi w:val="0"/>
        <w:adjustRightInd w:val="0"/>
        <w:snapToGrid w:val="0"/>
        <w:spacing w:line="600" w:lineRule="exact"/>
        <w:ind w:firstLine="600" w:firstLineChars="200"/>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一、部门、单位基本情况</w:t>
      </w:r>
    </w:p>
    <w:p>
      <w:pPr>
        <w:pageBreakBefore w:val="0"/>
        <w:widowControl/>
        <w:shd w:val="clear" w:color="auto" w:fill="FFFFFF"/>
        <w:kinsoku/>
        <w:wordWrap/>
        <w:overflowPunct/>
        <w:topLinePunct w:val="0"/>
        <w:bidi w:val="0"/>
        <w:adjustRightInd w:val="0"/>
        <w:snapToGrid w:val="0"/>
        <w:spacing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泥江口镇人民政府(简称本单位)是赫山区人民政府直接管理的正科级行政机关。本单位主要职责为：1、执行本级人民代表大会决议和上级国家行政机关的决定和命令，发布决定和命令;落实国家政策，严格依法行政。2、执行本乡镇区域内的经济和社会发展计划、预算，管理本乡镇区域内的经济、教育、科学、文化、体育事业和财政、民政、公安、司法行政、计划生育等行政工作;发展乡村经济、文化和社会事业，提供公共服务。3、保护社会主义全民所有制的财产和劳动群众集体所有制的财产，保护公民私人所有的合法财产，维护社会稳定，保障公民的人身权利、民主权利和其他权利。4、保护各种经济组织的合法权益。5、办理上级人民政府交办的其他事项</w:t>
      </w:r>
      <w:r>
        <w:rPr>
          <w:rFonts w:hint="eastAsia" w:ascii="仿宋" w:hAnsi="仿宋" w:eastAsia="仿宋" w:cs="仿宋"/>
          <w:sz w:val="30"/>
          <w:szCs w:val="30"/>
          <w:highlight w:val="none"/>
          <w:lang w:eastAsia="zh-CN"/>
        </w:rPr>
        <w:t>。</w:t>
      </w:r>
    </w:p>
    <w:p>
      <w:pPr>
        <w:pageBreakBefore w:val="0"/>
        <w:widowControl/>
        <w:shd w:val="clear" w:color="auto" w:fill="FFFFFF"/>
        <w:kinsoku/>
        <w:wordWrap/>
        <w:overflowPunct/>
        <w:topLinePunct w:val="0"/>
        <w:bidi w:val="0"/>
        <w:adjustRightInd w:val="0"/>
        <w:snapToGrid w:val="0"/>
        <w:spacing w:line="600" w:lineRule="exact"/>
        <w:ind w:firstLine="600" w:firstLineChars="200"/>
        <w:jc w:val="left"/>
        <w:textAlignment w:val="auto"/>
        <w:rPr>
          <w:rFonts w:hint="eastAsia" w:ascii="仿宋" w:hAnsi="仿宋" w:eastAsia="仿宋" w:cs="仿宋"/>
          <w:b/>
          <w:sz w:val="30"/>
          <w:szCs w:val="30"/>
          <w:highlight w:val="none"/>
        </w:rPr>
      </w:pPr>
      <w:r>
        <w:rPr>
          <w:rFonts w:hint="eastAsia" w:ascii="仿宋" w:hAnsi="仿宋" w:eastAsia="仿宋" w:cs="仿宋"/>
          <w:sz w:val="30"/>
          <w:szCs w:val="30"/>
          <w:highlight w:val="none"/>
        </w:rPr>
        <w:t>本单位机关包括党委、政府、人大、政协联络组四个领导机构、1</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个内设部门站所及</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个垂直部门站所（1、内设部门：党政办</w:t>
      </w:r>
      <w:r>
        <w:rPr>
          <w:rFonts w:hint="eastAsia" w:ascii="仿宋" w:hAnsi="仿宋" w:eastAsia="仿宋" w:cs="仿宋"/>
          <w:sz w:val="30"/>
          <w:szCs w:val="30"/>
          <w:highlight w:val="none"/>
          <w:lang w:eastAsia="zh-CN"/>
        </w:rPr>
        <w:t>公室</w:t>
      </w:r>
      <w:r>
        <w:rPr>
          <w:rFonts w:hint="eastAsia" w:ascii="仿宋" w:hAnsi="仿宋" w:eastAsia="仿宋" w:cs="仿宋"/>
          <w:sz w:val="30"/>
          <w:szCs w:val="30"/>
          <w:highlight w:val="none"/>
        </w:rPr>
        <w:t>、党建</w:t>
      </w:r>
      <w:r>
        <w:rPr>
          <w:rFonts w:hint="eastAsia" w:ascii="仿宋" w:hAnsi="仿宋" w:eastAsia="仿宋" w:cs="仿宋"/>
          <w:sz w:val="30"/>
          <w:szCs w:val="30"/>
          <w:highlight w:val="none"/>
          <w:lang w:eastAsia="zh-CN"/>
        </w:rPr>
        <w:t>办公室</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经济发展办公室</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社会事务办公室、自然资源和生态环境办公室、社会治安和应急管理办</w:t>
      </w:r>
      <w:r>
        <w:rPr>
          <w:rFonts w:hint="eastAsia" w:ascii="仿宋" w:hAnsi="仿宋" w:eastAsia="仿宋" w:cs="仿宋"/>
          <w:sz w:val="30"/>
          <w:szCs w:val="30"/>
          <w:highlight w:val="none"/>
        </w:rPr>
        <w:t>综治办</w:t>
      </w:r>
      <w:r>
        <w:rPr>
          <w:rFonts w:hint="eastAsia" w:ascii="仿宋" w:hAnsi="仿宋" w:eastAsia="仿宋" w:cs="仿宋"/>
          <w:sz w:val="30"/>
          <w:szCs w:val="30"/>
          <w:highlight w:val="none"/>
          <w:lang w:eastAsia="zh-CN"/>
        </w:rPr>
        <w:t>公室</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财政财务管理办公室、综合行政执法大队、社会事务综合服务中心、农业综合服务中心、党群和政务服务中心、退役军人服务中心、</w:t>
      </w:r>
      <w:r>
        <w:rPr>
          <w:rFonts w:hint="eastAsia" w:ascii="仿宋" w:hAnsi="仿宋" w:eastAsia="仿宋" w:cs="仿宋"/>
          <w:sz w:val="30"/>
          <w:szCs w:val="30"/>
          <w:highlight w:val="none"/>
        </w:rPr>
        <w:t>2垂直部门：司法所、</w:t>
      </w:r>
      <w:r>
        <w:rPr>
          <w:rFonts w:hint="eastAsia" w:ascii="仿宋" w:hAnsi="仿宋" w:eastAsia="仿宋" w:cs="仿宋"/>
          <w:sz w:val="30"/>
          <w:szCs w:val="30"/>
          <w:highlight w:val="none"/>
          <w:lang w:eastAsia="zh-CN"/>
        </w:rPr>
        <w:t>市场食品药品监督管理所</w:t>
      </w:r>
      <w:r>
        <w:rPr>
          <w:rFonts w:hint="eastAsia" w:ascii="仿宋" w:hAnsi="仿宋" w:eastAsia="仿宋" w:cs="仿宋"/>
          <w:sz w:val="30"/>
          <w:szCs w:val="30"/>
          <w:highlight w:val="none"/>
        </w:rPr>
        <w:t>）。截止</w:t>
      </w:r>
      <w:r>
        <w:rPr>
          <w:rFonts w:hint="eastAsia" w:ascii="仿宋" w:hAnsi="仿宋" w:eastAsia="仿宋" w:cs="仿宋"/>
          <w:sz w:val="30"/>
          <w:szCs w:val="30"/>
          <w:highlight w:val="none"/>
          <w:lang w:eastAsia="zh-CN"/>
        </w:rPr>
        <w:t>20</w:t>
      </w:r>
      <w:r>
        <w:rPr>
          <w:rFonts w:hint="eastAsia" w:ascii="仿宋" w:hAnsi="仿宋" w:eastAsia="仿宋" w:cs="仿宋"/>
          <w:sz w:val="30"/>
          <w:szCs w:val="30"/>
          <w:highlight w:val="none"/>
          <w:lang w:val="en-US" w:eastAsia="zh-CN"/>
        </w:rPr>
        <w:t>21</w:t>
      </w:r>
      <w:r>
        <w:rPr>
          <w:rFonts w:hint="eastAsia" w:ascii="仿宋" w:hAnsi="仿宋" w:eastAsia="仿宋" w:cs="仿宋"/>
          <w:sz w:val="30"/>
          <w:szCs w:val="30"/>
          <w:highlight w:val="none"/>
        </w:rPr>
        <w:t>年12月31日，本单位经区编委核定的编制人数为</w:t>
      </w:r>
      <w:r>
        <w:rPr>
          <w:rFonts w:hint="eastAsia" w:ascii="仿宋" w:hAnsi="仿宋" w:eastAsia="仿宋" w:cs="仿宋"/>
          <w:sz w:val="30"/>
          <w:szCs w:val="30"/>
          <w:highlight w:val="none"/>
          <w:lang w:val="en-US" w:eastAsia="zh-CN"/>
        </w:rPr>
        <w:t>98</w:t>
      </w:r>
      <w:r>
        <w:rPr>
          <w:rFonts w:hint="eastAsia" w:ascii="仿宋" w:hAnsi="仿宋" w:eastAsia="仿宋" w:cs="仿宋"/>
          <w:sz w:val="30"/>
          <w:szCs w:val="30"/>
          <w:highlight w:val="none"/>
        </w:rPr>
        <w:t>人(其中行政编制</w:t>
      </w:r>
      <w:r>
        <w:rPr>
          <w:rFonts w:hint="eastAsia" w:ascii="仿宋" w:hAnsi="仿宋" w:eastAsia="仿宋" w:cs="仿宋"/>
          <w:sz w:val="30"/>
          <w:szCs w:val="30"/>
          <w:highlight w:val="none"/>
          <w:lang w:val="en-US" w:eastAsia="zh-CN"/>
        </w:rPr>
        <w:t>42</w:t>
      </w:r>
      <w:r>
        <w:rPr>
          <w:rFonts w:hint="eastAsia" w:ascii="仿宋" w:hAnsi="仿宋" w:eastAsia="仿宋" w:cs="仿宋"/>
          <w:sz w:val="30"/>
          <w:szCs w:val="30"/>
          <w:highlight w:val="none"/>
        </w:rPr>
        <w:t>人，事业编制</w:t>
      </w:r>
      <w:r>
        <w:rPr>
          <w:rFonts w:hint="eastAsia" w:ascii="仿宋" w:hAnsi="仿宋" w:eastAsia="仿宋" w:cs="仿宋"/>
          <w:sz w:val="30"/>
          <w:szCs w:val="30"/>
          <w:highlight w:val="none"/>
          <w:lang w:val="en-US" w:eastAsia="zh-CN"/>
        </w:rPr>
        <w:t>54</w:t>
      </w:r>
      <w:r>
        <w:rPr>
          <w:rFonts w:hint="eastAsia" w:ascii="仿宋" w:hAnsi="仿宋" w:eastAsia="仿宋" w:cs="仿宋"/>
          <w:sz w:val="30"/>
          <w:szCs w:val="30"/>
          <w:highlight w:val="none"/>
        </w:rPr>
        <w:t>人</w:t>
      </w:r>
      <w:r>
        <w:rPr>
          <w:rFonts w:hint="eastAsia" w:ascii="仿宋" w:hAnsi="仿宋" w:eastAsia="仿宋" w:cs="仿宋"/>
          <w:sz w:val="30"/>
          <w:szCs w:val="30"/>
          <w:highlight w:val="none"/>
          <w:lang w:eastAsia="zh-CN"/>
        </w:rPr>
        <w:t>，机关工勤</w:t>
      </w:r>
      <w:r>
        <w:rPr>
          <w:rFonts w:hint="eastAsia" w:ascii="仿宋" w:hAnsi="仿宋" w:eastAsia="仿宋" w:cs="仿宋"/>
          <w:sz w:val="30"/>
          <w:szCs w:val="30"/>
          <w:highlight w:val="none"/>
          <w:lang w:val="en-US" w:eastAsia="zh-CN"/>
        </w:rPr>
        <w:t>2人</w:t>
      </w:r>
      <w:r>
        <w:rPr>
          <w:rFonts w:hint="eastAsia" w:ascii="仿宋" w:hAnsi="仿宋" w:eastAsia="仿宋" w:cs="仿宋"/>
          <w:sz w:val="30"/>
          <w:szCs w:val="30"/>
          <w:highlight w:val="none"/>
        </w:rPr>
        <w:t>)，年末实有人数</w:t>
      </w:r>
      <w:r>
        <w:rPr>
          <w:rFonts w:hint="eastAsia" w:ascii="仿宋" w:hAnsi="仿宋" w:eastAsia="仿宋" w:cs="仿宋"/>
          <w:sz w:val="30"/>
          <w:szCs w:val="30"/>
          <w:highlight w:val="none"/>
          <w:lang w:val="en-US" w:eastAsia="zh-CN"/>
        </w:rPr>
        <w:t>84</w:t>
      </w:r>
      <w:r>
        <w:rPr>
          <w:rFonts w:hint="eastAsia" w:ascii="仿宋" w:hAnsi="仿宋" w:eastAsia="仿宋" w:cs="仿宋"/>
          <w:sz w:val="30"/>
          <w:szCs w:val="30"/>
          <w:highlight w:val="none"/>
        </w:rPr>
        <w:t>人(行政编制</w:t>
      </w:r>
      <w:r>
        <w:rPr>
          <w:rFonts w:hint="eastAsia" w:ascii="仿宋" w:hAnsi="仿宋" w:eastAsia="仿宋" w:cs="仿宋"/>
          <w:sz w:val="30"/>
          <w:szCs w:val="30"/>
          <w:highlight w:val="none"/>
          <w:lang w:val="en-US" w:eastAsia="zh-CN"/>
        </w:rPr>
        <w:t>29</w:t>
      </w:r>
      <w:r>
        <w:rPr>
          <w:rFonts w:hint="eastAsia" w:ascii="仿宋" w:hAnsi="仿宋" w:eastAsia="仿宋" w:cs="仿宋"/>
          <w:sz w:val="30"/>
          <w:szCs w:val="30"/>
          <w:highlight w:val="none"/>
        </w:rPr>
        <w:t>人，事业编制</w:t>
      </w:r>
      <w:r>
        <w:rPr>
          <w:rFonts w:hint="eastAsia" w:ascii="仿宋" w:hAnsi="仿宋" w:eastAsia="仿宋" w:cs="仿宋"/>
          <w:sz w:val="30"/>
          <w:szCs w:val="30"/>
          <w:highlight w:val="none"/>
          <w:lang w:val="en-US" w:eastAsia="zh-CN"/>
        </w:rPr>
        <w:t>53</w:t>
      </w:r>
      <w:r>
        <w:rPr>
          <w:rFonts w:hint="eastAsia" w:ascii="仿宋" w:hAnsi="仿宋" w:eastAsia="仿宋" w:cs="仿宋"/>
          <w:sz w:val="30"/>
          <w:szCs w:val="30"/>
          <w:highlight w:val="none"/>
        </w:rPr>
        <w:t>人</w:t>
      </w:r>
      <w:r>
        <w:rPr>
          <w:rFonts w:hint="eastAsia" w:ascii="仿宋" w:hAnsi="仿宋" w:eastAsia="仿宋" w:cs="仿宋"/>
          <w:sz w:val="30"/>
          <w:szCs w:val="30"/>
          <w:highlight w:val="none"/>
          <w:lang w:eastAsia="zh-CN"/>
        </w:rPr>
        <w:t>，机关工勤</w:t>
      </w:r>
      <w:r>
        <w:rPr>
          <w:rFonts w:hint="eastAsia" w:ascii="仿宋" w:hAnsi="仿宋" w:eastAsia="仿宋" w:cs="仿宋"/>
          <w:sz w:val="30"/>
          <w:szCs w:val="30"/>
          <w:highlight w:val="none"/>
          <w:lang w:val="en-US" w:eastAsia="zh-CN"/>
        </w:rPr>
        <w:t>2人</w:t>
      </w:r>
      <w:r>
        <w:rPr>
          <w:rFonts w:hint="eastAsia" w:ascii="仿宋" w:hAnsi="仿宋" w:eastAsia="仿宋" w:cs="仿宋"/>
          <w:sz w:val="30"/>
          <w:szCs w:val="30"/>
          <w:highlight w:val="none"/>
        </w:rPr>
        <w:t>)。</w:t>
      </w:r>
    </w:p>
    <w:p>
      <w:pPr>
        <w:pageBreakBefore w:val="0"/>
        <w:kinsoku/>
        <w:wordWrap/>
        <w:overflowPunct/>
        <w:topLinePunct w:val="0"/>
        <w:bidi w:val="0"/>
        <w:adjustRightInd w:val="0"/>
        <w:snapToGrid w:val="0"/>
        <w:spacing w:line="600" w:lineRule="exact"/>
        <w:ind w:firstLine="600" w:firstLineChars="200"/>
        <w:textAlignment w:val="auto"/>
        <w:rPr>
          <w:rFonts w:hint="eastAsia" w:ascii="黑体" w:hAnsi="黑体" w:eastAsia="黑体" w:cs="黑体"/>
          <w:b w:val="0"/>
          <w:bCs/>
          <w:sz w:val="30"/>
          <w:szCs w:val="30"/>
          <w:highlight w:val="none"/>
          <w:lang w:val="en-US" w:eastAsia="zh-CN"/>
        </w:rPr>
      </w:pPr>
      <w:r>
        <w:rPr>
          <w:rFonts w:hint="eastAsia" w:ascii="黑体" w:hAnsi="黑体" w:eastAsia="黑体" w:cs="黑体"/>
          <w:b w:val="0"/>
          <w:bCs/>
          <w:sz w:val="30"/>
          <w:szCs w:val="30"/>
          <w:highlight w:val="none"/>
          <w:lang w:val="en-US" w:eastAsia="zh-CN"/>
        </w:rPr>
        <w:t>二、一般公共预算支出情况</w:t>
      </w:r>
    </w:p>
    <w:p>
      <w:pPr>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eastAsia="zh-CN"/>
        </w:rPr>
        <w:t>（一）基本支出情况</w:t>
      </w:r>
    </w:p>
    <w:p>
      <w:pPr>
        <w:pageBreakBefore w:val="0"/>
        <w:kinsoku/>
        <w:wordWrap/>
        <w:overflowPunct/>
        <w:topLinePunct w:val="0"/>
        <w:bidi w:val="0"/>
        <w:adjustRightInd w:val="0"/>
        <w:snapToGrid w:val="0"/>
        <w:spacing w:line="60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lang w:eastAsia="zh-CN"/>
        </w:rPr>
        <w:t>2021</w:t>
      </w:r>
      <w:r>
        <w:rPr>
          <w:rFonts w:hint="eastAsia" w:ascii="仿宋" w:hAnsi="仿宋" w:eastAsia="仿宋" w:cs="仿宋"/>
          <w:sz w:val="30"/>
          <w:szCs w:val="30"/>
          <w:highlight w:val="none"/>
        </w:rPr>
        <w:t>年部门决算</w:t>
      </w:r>
      <w:r>
        <w:rPr>
          <w:rFonts w:hint="eastAsia" w:ascii="仿宋" w:hAnsi="仿宋" w:eastAsia="仿宋" w:cs="仿宋"/>
          <w:sz w:val="30"/>
          <w:szCs w:val="30"/>
          <w:highlight w:val="none"/>
          <w:lang w:val="en-US" w:eastAsia="zh-CN"/>
        </w:rPr>
        <w:t>支出2664.34</w:t>
      </w:r>
      <w:r>
        <w:rPr>
          <w:rFonts w:hint="eastAsia" w:ascii="仿宋" w:hAnsi="仿宋" w:eastAsia="仿宋" w:cs="仿宋"/>
          <w:sz w:val="30"/>
          <w:szCs w:val="30"/>
          <w:highlight w:val="none"/>
        </w:rPr>
        <w:t>万元，其中</w:t>
      </w:r>
      <w:r>
        <w:rPr>
          <w:rFonts w:hint="eastAsia" w:ascii="仿宋" w:hAnsi="仿宋" w:eastAsia="仿宋" w:cs="仿宋"/>
          <w:sz w:val="30"/>
          <w:szCs w:val="30"/>
          <w:highlight w:val="none"/>
          <w:lang w:eastAsia="zh-CN"/>
        </w:rPr>
        <w:t>基本支出</w:t>
      </w:r>
      <w:r>
        <w:rPr>
          <w:rFonts w:hint="eastAsia" w:ascii="仿宋" w:hAnsi="仿宋" w:eastAsia="仿宋" w:cs="仿宋"/>
          <w:sz w:val="30"/>
          <w:szCs w:val="30"/>
          <w:highlight w:val="none"/>
          <w:lang w:val="en-US" w:eastAsia="zh-CN"/>
        </w:rPr>
        <w:t>1868.75万元，</w:t>
      </w:r>
      <w:r>
        <w:rPr>
          <w:rFonts w:hint="eastAsia" w:ascii="仿宋" w:hAnsi="仿宋" w:eastAsia="仿宋" w:cs="仿宋"/>
          <w:sz w:val="30"/>
          <w:szCs w:val="30"/>
          <w:highlight w:val="none"/>
        </w:rPr>
        <w:t>按功能分类</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一般公共服务支出</w:t>
      </w:r>
      <w:r>
        <w:rPr>
          <w:rFonts w:hint="eastAsia" w:ascii="仿宋" w:hAnsi="仿宋" w:eastAsia="仿宋" w:cs="仿宋"/>
          <w:sz w:val="30"/>
          <w:szCs w:val="30"/>
          <w:highlight w:val="none"/>
          <w:lang w:val="en-US" w:eastAsia="zh-CN"/>
        </w:rPr>
        <w:t>950.08</w:t>
      </w:r>
      <w:r>
        <w:rPr>
          <w:rFonts w:hint="eastAsia" w:ascii="仿宋" w:hAnsi="仿宋" w:eastAsia="仿宋" w:cs="仿宋"/>
          <w:sz w:val="30"/>
          <w:szCs w:val="30"/>
          <w:highlight w:val="none"/>
        </w:rPr>
        <w:t>万元、</w:t>
      </w:r>
      <w:r>
        <w:rPr>
          <w:rFonts w:hint="eastAsia" w:ascii="仿宋" w:hAnsi="仿宋" w:eastAsia="仿宋" w:cs="仿宋"/>
          <w:sz w:val="30"/>
          <w:szCs w:val="30"/>
          <w:highlight w:val="none"/>
          <w:lang w:eastAsia="zh-CN"/>
        </w:rPr>
        <w:t>科学技术支出</w:t>
      </w:r>
      <w:r>
        <w:rPr>
          <w:rFonts w:hint="eastAsia" w:ascii="仿宋" w:hAnsi="仿宋" w:eastAsia="仿宋" w:cs="仿宋"/>
          <w:sz w:val="30"/>
          <w:szCs w:val="30"/>
          <w:highlight w:val="none"/>
          <w:lang w:val="en-US" w:eastAsia="zh-CN"/>
        </w:rPr>
        <w:t>46.5万元、</w:t>
      </w:r>
      <w:r>
        <w:rPr>
          <w:rFonts w:hint="eastAsia" w:ascii="仿宋" w:hAnsi="仿宋" w:eastAsia="仿宋" w:cs="仿宋"/>
          <w:sz w:val="30"/>
          <w:szCs w:val="30"/>
          <w:highlight w:val="none"/>
        </w:rPr>
        <w:t>文化</w:t>
      </w:r>
      <w:r>
        <w:rPr>
          <w:rFonts w:hint="eastAsia" w:ascii="仿宋" w:hAnsi="仿宋" w:eastAsia="仿宋" w:cs="仿宋"/>
          <w:sz w:val="30"/>
          <w:szCs w:val="30"/>
          <w:highlight w:val="none"/>
          <w:lang w:eastAsia="zh-CN"/>
        </w:rPr>
        <w:t>旅游</w:t>
      </w:r>
      <w:r>
        <w:rPr>
          <w:rFonts w:hint="eastAsia" w:ascii="仿宋" w:hAnsi="仿宋" w:eastAsia="仿宋" w:cs="仿宋"/>
          <w:sz w:val="30"/>
          <w:szCs w:val="30"/>
          <w:highlight w:val="none"/>
        </w:rPr>
        <w:t>体育与传媒支出</w:t>
      </w:r>
      <w:r>
        <w:rPr>
          <w:rFonts w:hint="eastAsia" w:ascii="仿宋" w:hAnsi="仿宋" w:eastAsia="仿宋" w:cs="仿宋"/>
          <w:sz w:val="30"/>
          <w:szCs w:val="30"/>
          <w:highlight w:val="none"/>
          <w:lang w:val="en-US" w:eastAsia="zh-CN"/>
        </w:rPr>
        <w:t>175.08</w:t>
      </w:r>
      <w:r>
        <w:rPr>
          <w:rFonts w:hint="eastAsia" w:ascii="仿宋" w:hAnsi="仿宋" w:eastAsia="仿宋" w:cs="仿宋"/>
          <w:sz w:val="30"/>
          <w:szCs w:val="30"/>
          <w:highlight w:val="none"/>
        </w:rPr>
        <w:t>万元、社会保障和就业支出</w:t>
      </w:r>
      <w:r>
        <w:rPr>
          <w:rFonts w:hint="eastAsia" w:ascii="仿宋" w:hAnsi="仿宋" w:eastAsia="仿宋" w:cs="仿宋"/>
          <w:sz w:val="30"/>
          <w:szCs w:val="30"/>
          <w:highlight w:val="none"/>
          <w:lang w:val="en-US" w:eastAsia="zh-CN"/>
        </w:rPr>
        <w:t>97.58</w:t>
      </w:r>
      <w:r>
        <w:rPr>
          <w:rFonts w:hint="eastAsia" w:ascii="仿宋" w:hAnsi="仿宋" w:eastAsia="仿宋" w:cs="仿宋"/>
          <w:sz w:val="30"/>
          <w:szCs w:val="30"/>
          <w:highlight w:val="none"/>
        </w:rPr>
        <w:t>万元、</w:t>
      </w:r>
      <w:r>
        <w:rPr>
          <w:rFonts w:hint="eastAsia" w:ascii="仿宋" w:hAnsi="仿宋" w:eastAsia="仿宋" w:cs="仿宋"/>
          <w:sz w:val="30"/>
          <w:szCs w:val="30"/>
          <w:highlight w:val="none"/>
          <w:lang w:eastAsia="zh-CN"/>
        </w:rPr>
        <w:t>卫生健康</w:t>
      </w:r>
      <w:r>
        <w:rPr>
          <w:rFonts w:hint="eastAsia" w:ascii="仿宋" w:hAnsi="仿宋" w:eastAsia="仿宋" w:cs="仿宋"/>
          <w:sz w:val="30"/>
          <w:szCs w:val="30"/>
          <w:highlight w:val="none"/>
        </w:rPr>
        <w:t>支出</w:t>
      </w:r>
      <w:r>
        <w:rPr>
          <w:rFonts w:hint="eastAsia" w:ascii="仿宋" w:hAnsi="仿宋" w:eastAsia="仿宋" w:cs="仿宋"/>
          <w:sz w:val="30"/>
          <w:szCs w:val="30"/>
          <w:highlight w:val="none"/>
          <w:lang w:val="en-US" w:eastAsia="zh-CN"/>
        </w:rPr>
        <w:t>64.17</w:t>
      </w:r>
      <w:r>
        <w:rPr>
          <w:rFonts w:hint="eastAsia" w:ascii="仿宋" w:hAnsi="仿宋" w:eastAsia="仿宋" w:cs="仿宋"/>
          <w:sz w:val="30"/>
          <w:szCs w:val="30"/>
          <w:highlight w:val="none"/>
        </w:rPr>
        <w:t>万元、农林水支出</w:t>
      </w:r>
      <w:r>
        <w:rPr>
          <w:rFonts w:hint="eastAsia" w:ascii="仿宋" w:hAnsi="仿宋" w:eastAsia="仿宋" w:cs="仿宋"/>
          <w:sz w:val="30"/>
          <w:szCs w:val="30"/>
          <w:highlight w:val="none"/>
          <w:lang w:val="en-US" w:eastAsia="zh-CN"/>
        </w:rPr>
        <w:t>477.34</w:t>
      </w:r>
      <w:r>
        <w:rPr>
          <w:rFonts w:hint="eastAsia" w:ascii="仿宋" w:hAnsi="仿宋" w:eastAsia="仿宋" w:cs="仿宋"/>
          <w:sz w:val="30"/>
          <w:szCs w:val="30"/>
          <w:highlight w:val="none"/>
        </w:rPr>
        <w:t>万元</w:t>
      </w:r>
      <w:r>
        <w:rPr>
          <w:rFonts w:hint="eastAsia" w:ascii="仿宋" w:hAnsi="仿宋" w:eastAsia="仿宋" w:cs="仿宋"/>
          <w:sz w:val="30"/>
          <w:szCs w:val="30"/>
          <w:highlight w:val="none"/>
          <w:lang w:eastAsia="zh-CN"/>
        </w:rPr>
        <w:t>、商业服务业等支出</w:t>
      </w:r>
      <w:r>
        <w:rPr>
          <w:rFonts w:hint="eastAsia" w:ascii="仿宋" w:hAnsi="仿宋" w:eastAsia="仿宋" w:cs="仿宋"/>
          <w:sz w:val="30"/>
          <w:szCs w:val="30"/>
          <w:highlight w:val="none"/>
          <w:lang w:val="en-US" w:eastAsia="zh-CN"/>
        </w:rPr>
        <w:t>10万元、住房保障支出48万元</w:t>
      </w:r>
      <w:r>
        <w:rPr>
          <w:rFonts w:hint="eastAsia" w:ascii="仿宋" w:hAnsi="仿宋" w:eastAsia="仿宋" w:cs="仿宋"/>
          <w:sz w:val="30"/>
          <w:szCs w:val="30"/>
          <w:highlight w:val="none"/>
          <w:lang w:eastAsia="zh-CN"/>
        </w:rPr>
        <w:t>。与上年决算数相比减少</w:t>
      </w:r>
      <w:r>
        <w:rPr>
          <w:rFonts w:hint="eastAsia" w:ascii="仿宋" w:hAnsi="仿宋" w:eastAsia="仿宋" w:cs="仿宋"/>
          <w:sz w:val="30"/>
          <w:szCs w:val="30"/>
          <w:highlight w:val="none"/>
          <w:lang w:val="en-US" w:eastAsia="zh-CN"/>
        </w:rPr>
        <w:t>31.18万元，主要原因是</w:t>
      </w:r>
      <w:r>
        <w:rPr>
          <w:rFonts w:hint="eastAsia" w:ascii="仿宋" w:hAnsi="仿宋" w:eastAsia="仿宋" w:cs="仿宋"/>
          <w:color w:val="auto"/>
          <w:kern w:val="2"/>
          <w:sz w:val="30"/>
          <w:szCs w:val="30"/>
          <w:highlight w:val="none"/>
          <w:lang w:val="en-US" w:eastAsia="zh-CN" w:bidi="ar-SA"/>
        </w:rPr>
        <w:t>认真贯彻落实中央“八项规定”精神和厉行节约要求，压减办公品、文印等各类运行开支</w:t>
      </w:r>
      <w:r>
        <w:rPr>
          <w:rFonts w:hint="eastAsia" w:ascii="仿宋" w:hAnsi="仿宋" w:eastAsia="仿宋" w:cs="仿宋"/>
          <w:sz w:val="30"/>
          <w:szCs w:val="30"/>
          <w:highlight w:val="none"/>
          <w:lang w:eastAsia="zh-CN" w:bidi="ar-SA"/>
        </w:rPr>
        <w:t>。</w:t>
      </w:r>
    </w:p>
    <w:p>
      <w:pPr>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二</w:t>
      </w:r>
      <w:r>
        <w:rPr>
          <w:rFonts w:hint="eastAsia" w:ascii="仿宋" w:hAnsi="仿宋" w:eastAsia="仿宋" w:cs="仿宋"/>
          <w:b/>
          <w:bCs/>
          <w:sz w:val="30"/>
          <w:szCs w:val="30"/>
          <w:highlight w:val="none"/>
          <w:lang w:eastAsia="zh-CN"/>
        </w:rPr>
        <w:t>）项目支出情况</w:t>
      </w:r>
    </w:p>
    <w:p>
      <w:pPr>
        <w:pageBreakBefore w:val="0"/>
        <w:kinsoku/>
        <w:wordWrap/>
        <w:overflowPunct/>
        <w:topLinePunct w:val="0"/>
        <w:bidi w:val="0"/>
        <w:adjustRightInd w:val="0"/>
        <w:snapToGrid w:val="0"/>
        <w:spacing w:line="60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项目支出795.59万元，</w:t>
      </w:r>
      <w:r>
        <w:rPr>
          <w:rFonts w:hint="eastAsia" w:ascii="仿宋" w:hAnsi="仿宋" w:eastAsia="仿宋" w:cs="仿宋"/>
          <w:sz w:val="30"/>
          <w:szCs w:val="30"/>
        </w:rPr>
        <w:t>按功能分类</w:t>
      </w:r>
      <w:r>
        <w:rPr>
          <w:rFonts w:hint="eastAsia" w:ascii="仿宋" w:hAnsi="仿宋" w:eastAsia="仿宋" w:cs="仿宋"/>
          <w:sz w:val="30"/>
          <w:szCs w:val="30"/>
          <w:lang w:eastAsia="zh-CN"/>
        </w:rPr>
        <w:t>：</w:t>
      </w:r>
      <w:r>
        <w:rPr>
          <w:rFonts w:hint="eastAsia" w:ascii="仿宋" w:hAnsi="仿宋" w:eastAsia="仿宋" w:cs="仿宋"/>
          <w:sz w:val="30"/>
          <w:szCs w:val="30"/>
        </w:rPr>
        <w:t>一般公共服务支出</w:t>
      </w:r>
      <w:r>
        <w:rPr>
          <w:rFonts w:hint="eastAsia" w:ascii="仿宋" w:hAnsi="仿宋" w:eastAsia="仿宋" w:cs="仿宋"/>
          <w:sz w:val="30"/>
          <w:szCs w:val="30"/>
          <w:lang w:val="en-US" w:eastAsia="zh-CN"/>
        </w:rPr>
        <w:t>108万元，</w:t>
      </w:r>
      <w:r>
        <w:rPr>
          <w:rFonts w:hint="eastAsia" w:ascii="仿宋" w:hAnsi="仿宋" w:eastAsia="仿宋" w:cs="仿宋"/>
          <w:sz w:val="30"/>
          <w:szCs w:val="30"/>
        </w:rPr>
        <w:t>文化</w:t>
      </w:r>
      <w:r>
        <w:rPr>
          <w:rFonts w:hint="eastAsia" w:ascii="仿宋" w:hAnsi="仿宋" w:eastAsia="仿宋" w:cs="仿宋"/>
          <w:sz w:val="30"/>
          <w:szCs w:val="30"/>
          <w:lang w:eastAsia="zh-CN"/>
        </w:rPr>
        <w:t>旅游</w:t>
      </w:r>
      <w:r>
        <w:rPr>
          <w:rFonts w:hint="eastAsia" w:ascii="仿宋" w:hAnsi="仿宋" w:eastAsia="仿宋" w:cs="仿宋"/>
          <w:sz w:val="30"/>
          <w:szCs w:val="30"/>
        </w:rPr>
        <w:t>体育与传媒支出</w:t>
      </w:r>
      <w:r>
        <w:rPr>
          <w:rFonts w:hint="eastAsia" w:ascii="仿宋" w:hAnsi="仿宋" w:eastAsia="仿宋" w:cs="仿宋"/>
          <w:sz w:val="30"/>
          <w:szCs w:val="30"/>
          <w:lang w:val="en-US" w:eastAsia="zh-CN"/>
        </w:rPr>
        <w:t>5万元，</w:t>
      </w:r>
      <w:r>
        <w:rPr>
          <w:rFonts w:hint="eastAsia" w:ascii="仿宋" w:hAnsi="仿宋" w:eastAsia="仿宋" w:cs="仿宋"/>
          <w:sz w:val="30"/>
          <w:szCs w:val="30"/>
        </w:rPr>
        <w:t>节能环保支出</w:t>
      </w:r>
      <w:r>
        <w:rPr>
          <w:rFonts w:hint="eastAsia" w:ascii="仿宋" w:hAnsi="仿宋" w:eastAsia="仿宋" w:cs="仿宋"/>
          <w:sz w:val="30"/>
          <w:szCs w:val="30"/>
          <w:lang w:val="en-US" w:eastAsia="zh-CN"/>
        </w:rPr>
        <w:t>137.90</w:t>
      </w:r>
      <w:r>
        <w:rPr>
          <w:rFonts w:hint="eastAsia" w:ascii="仿宋" w:hAnsi="仿宋" w:eastAsia="仿宋" w:cs="仿宋"/>
          <w:sz w:val="30"/>
          <w:szCs w:val="30"/>
        </w:rPr>
        <w:t>万元、城乡社区支出</w:t>
      </w:r>
      <w:r>
        <w:rPr>
          <w:rFonts w:hint="eastAsia" w:ascii="仿宋" w:hAnsi="仿宋" w:eastAsia="仿宋" w:cs="仿宋"/>
          <w:sz w:val="30"/>
          <w:szCs w:val="30"/>
          <w:lang w:val="en-US" w:eastAsia="zh-CN"/>
        </w:rPr>
        <w:t>28万元，</w:t>
      </w:r>
      <w:r>
        <w:rPr>
          <w:rFonts w:hint="eastAsia" w:ascii="仿宋" w:hAnsi="仿宋" w:eastAsia="仿宋" w:cs="仿宋"/>
          <w:sz w:val="30"/>
          <w:szCs w:val="30"/>
        </w:rPr>
        <w:t>农林水支出</w:t>
      </w:r>
      <w:r>
        <w:rPr>
          <w:rFonts w:hint="eastAsia" w:ascii="仿宋" w:hAnsi="仿宋" w:eastAsia="仿宋" w:cs="仿宋"/>
          <w:sz w:val="30"/>
          <w:szCs w:val="30"/>
          <w:lang w:val="en-US" w:eastAsia="zh-CN"/>
        </w:rPr>
        <w:t>506.06万元，交通运输支出10.64万元。</w:t>
      </w:r>
      <w:r>
        <w:rPr>
          <w:rFonts w:hint="eastAsia" w:ascii="仿宋" w:hAnsi="仿宋" w:eastAsia="仿宋" w:cs="仿宋"/>
          <w:sz w:val="30"/>
          <w:szCs w:val="30"/>
          <w:lang w:eastAsia="zh-CN"/>
        </w:rPr>
        <w:t>与上年决算数相比减少</w:t>
      </w:r>
      <w:r>
        <w:rPr>
          <w:rFonts w:hint="eastAsia" w:ascii="仿宋" w:hAnsi="仿宋" w:eastAsia="仿宋" w:cs="仿宋"/>
          <w:sz w:val="30"/>
          <w:szCs w:val="30"/>
          <w:lang w:val="en-US" w:eastAsia="zh-CN"/>
        </w:rPr>
        <w:t>380.59万元，主要原因是疫情防控支出减少。</w:t>
      </w:r>
    </w:p>
    <w:p>
      <w:pPr>
        <w:pageBreakBefore w:val="0"/>
        <w:kinsoku/>
        <w:wordWrap/>
        <w:overflowPunct/>
        <w:topLinePunct w:val="0"/>
        <w:bidi w:val="0"/>
        <w:adjustRightInd w:val="0"/>
        <w:snapToGrid w:val="0"/>
        <w:spacing w:line="600" w:lineRule="exact"/>
        <w:ind w:firstLine="600" w:firstLineChars="200"/>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三、政府性基金预算支出情况</w:t>
      </w:r>
    </w:p>
    <w:p>
      <w:pPr>
        <w:pageBreakBefore w:val="0"/>
        <w:numPr>
          <w:ilvl w:val="0"/>
          <w:numId w:val="0"/>
        </w:numPr>
        <w:tabs>
          <w:tab w:val="left" w:pos="1665"/>
        </w:tabs>
        <w:kinsoku/>
        <w:wordWrap/>
        <w:overflowPunct/>
        <w:topLinePunct w:val="0"/>
        <w:bidi w:val="0"/>
        <w:adjustRightInd w:val="0"/>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政府性基金上年结转</w:t>
      </w:r>
      <w:r>
        <w:rPr>
          <w:rFonts w:hint="eastAsia" w:ascii="仿宋" w:hAnsi="仿宋" w:eastAsia="仿宋" w:cs="仿宋"/>
          <w:sz w:val="30"/>
          <w:szCs w:val="30"/>
          <w:lang w:val="en-US" w:eastAsia="zh-CN"/>
        </w:rPr>
        <w:t>2万元，2021年度政府性基金</w:t>
      </w:r>
      <w:r>
        <w:rPr>
          <w:rFonts w:hint="eastAsia" w:ascii="仿宋" w:hAnsi="仿宋" w:eastAsia="仿宋" w:cs="仿宋"/>
          <w:sz w:val="30"/>
          <w:szCs w:val="30"/>
          <w:lang w:eastAsia="zh-CN"/>
        </w:rPr>
        <w:t>收入</w:t>
      </w:r>
      <w:r>
        <w:rPr>
          <w:rFonts w:hint="eastAsia" w:ascii="仿宋" w:hAnsi="仿宋" w:eastAsia="仿宋" w:cs="仿宋"/>
          <w:sz w:val="30"/>
          <w:szCs w:val="30"/>
          <w:lang w:val="en-US" w:eastAsia="zh-CN"/>
        </w:rPr>
        <w:t>35万元，</w:t>
      </w:r>
      <w:r>
        <w:rPr>
          <w:rFonts w:hint="eastAsia" w:ascii="仿宋" w:hAnsi="仿宋" w:eastAsia="仿宋" w:cs="仿宋"/>
          <w:sz w:val="30"/>
          <w:szCs w:val="30"/>
        </w:rPr>
        <w:t>按功能分类</w:t>
      </w:r>
      <w:r>
        <w:rPr>
          <w:rFonts w:hint="eastAsia" w:ascii="仿宋" w:hAnsi="仿宋" w:eastAsia="仿宋" w:cs="仿宋"/>
          <w:sz w:val="30"/>
          <w:szCs w:val="30"/>
          <w:lang w:eastAsia="zh-CN"/>
        </w:rPr>
        <w:t>：城乡社区支出</w:t>
      </w:r>
      <w:r>
        <w:rPr>
          <w:rFonts w:hint="eastAsia" w:ascii="仿宋" w:hAnsi="仿宋" w:eastAsia="仿宋" w:cs="仿宋"/>
          <w:sz w:val="30"/>
          <w:szCs w:val="30"/>
          <w:lang w:val="en-US" w:eastAsia="zh-CN"/>
        </w:rPr>
        <w:t>31万元，其他支出6万元，到2021年度12月31日</w:t>
      </w:r>
      <w:r>
        <w:rPr>
          <w:rFonts w:hint="eastAsia" w:ascii="仿宋" w:hAnsi="仿宋" w:eastAsia="仿宋" w:cs="仿宋"/>
          <w:sz w:val="30"/>
          <w:szCs w:val="30"/>
        </w:rPr>
        <w:t>止</w:t>
      </w:r>
      <w:r>
        <w:rPr>
          <w:rFonts w:hint="eastAsia" w:ascii="仿宋" w:hAnsi="仿宋" w:eastAsia="仿宋" w:cs="仿宋"/>
          <w:sz w:val="30"/>
          <w:szCs w:val="30"/>
          <w:lang w:val="en-US" w:eastAsia="zh-CN"/>
        </w:rPr>
        <w:t>政府性基金结转0万元。</w:t>
      </w:r>
      <w:r>
        <w:rPr>
          <w:rFonts w:hint="eastAsia" w:ascii="仿宋" w:hAnsi="仿宋" w:eastAsia="仿宋" w:cs="仿宋"/>
          <w:sz w:val="30"/>
          <w:szCs w:val="30"/>
          <w:lang w:eastAsia="zh-CN"/>
        </w:rPr>
        <w:t>与上年决算数相比减少</w:t>
      </w:r>
      <w:r>
        <w:rPr>
          <w:rFonts w:hint="eastAsia" w:ascii="仿宋" w:hAnsi="仿宋" w:eastAsia="仿宋" w:cs="仿宋"/>
          <w:sz w:val="30"/>
          <w:szCs w:val="30"/>
          <w:lang w:val="en-US" w:eastAsia="zh-CN"/>
        </w:rPr>
        <w:t>190万元，主要原因是疫情防控支出减少。</w:t>
      </w:r>
    </w:p>
    <w:p>
      <w:pPr>
        <w:pageBreakBefore w:val="0"/>
        <w:kinsoku/>
        <w:wordWrap/>
        <w:overflowPunct/>
        <w:topLinePunct w:val="0"/>
        <w:bidi w:val="0"/>
        <w:adjustRightInd w:val="0"/>
        <w:snapToGrid w:val="0"/>
        <w:spacing w:line="600" w:lineRule="exact"/>
        <w:ind w:firstLine="600" w:firstLineChars="200"/>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四、国有资本经营预算支出情况　</w:t>
      </w:r>
    </w:p>
    <w:p>
      <w:pPr>
        <w:pageBreakBefore w:val="0"/>
        <w:numPr>
          <w:ilvl w:val="0"/>
          <w:numId w:val="0"/>
        </w:numPr>
        <w:tabs>
          <w:tab w:val="left" w:pos="1665"/>
        </w:tabs>
        <w:kinsoku/>
        <w:wordWrap/>
        <w:overflowPunct/>
        <w:topLinePunct w:val="0"/>
        <w:bidi w:val="0"/>
        <w:adjustRightInd w:val="0"/>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无</w:t>
      </w:r>
    </w:p>
    <w:p>
      <w:pPr>
        <w:pageBreakBefore w:val="0"/>
        <w:kinsoku/>
        <w:wordWrap/>
        <w:overflowPunct/>
        <w:topLinePunct w:val="0"/>
        <w:bidi w:val="0"/>
        <w:adjustRightInd w:val="0"/>
        <w:snapToGrid w:val="0"/>
        <w:spacing w:line="600" w:lineRule="exact"/>
        <w:ind w:firstLine="600" w:firstLineChars="200"/>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五、社会保险基金预算支出情况　</w:t>
      </w:r>
    </w:p>
    <w:p>
      <w:pPr>
        <w:pageBreakBefore w:val="0"/>
        <w:kinsoku/>
        <w:wordWrap/>
        <w:overflowPunct/>
        <w:topLinePunct w:val="0"/>
        <w:bidi w:val="0"/>
        <w:adjustRightInd w:val="0"/>
        <w:snapToGrid w:val="0"/>
        <w:spacing w:line="600" w:lineRule="exact"/>
        <w:ind w:firstLine="600" w:firstLineChars="200"/>
        <w:textAlignment w:val="auto"/>
        <w:rPr>
          <w:rFonts w:hint="eastAsia" w:ascii="黑体" w:hAnsi="黑体" w:eastAsia="黑体" w:cs="黑体"/>
          <w:b w:val="0"/>
          <w:bCs/>
          <w:sz w:val="30"/>
          <w:szCs w:val="30"/>
          <w:lang w:val="en-US" w:eastAsia="zh-CN"/>
        </w:rPr>
      </w:pPr>
      <w:r>
        <w:rPr>
          <w:rFonts w:hint="eastAsia" w:ascii="仿宋" w:hAnsi="仿宋" w:eastAsia="仿宋" w:cs="仿宋"/>
          <w:sz w:val="30"/>
          <w:szCs w:val="30"/>
          <w:lang w:val="en-US" w:eastAsia="zh-CN"/>
        </w:rPr>
        <w:t>无　</w:t>
      </w:r>
      <w:r>
        <w:rPr>
          <w:rFonts w:hint="eastAsia" w:ascii="黑体" w:hAnsi="黑体" w:eastAsia="黑体" w:cs="黑体"/>
          <w:b w:val="0"/>
          <w:bCs/>
          <w:sz w:val="30"/>
          <w:szCs w:val="30"/>
          <w:lang w:val="en-US" w:eastAsia="zh-CN"/>
        </w:rPr>
        <w:t>　</w:t>
      </w:r>
    </w:p>
    <w:p>
      <w:pPr>
        <w:pageBreakBefore w:val="0"/>
        <w:kinsoku/>
        <w:wordWrap/>
        <w:overflowPunct/>
        <w:topLinePunct w:val="0"/>
        <w:bidi w:val="0"/>
        <w:adjustRightInd w:val="0"/>
        <w:snapToGrid w:val="0"/>
        <w:spacing w:line="600" w:lineRule="exact"/>
        <w:ind w:firstLine="600" w:firstLineChars="200"/>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六、部门整体支出绩效情况</w:t>
      </w:r>
    </w:p>
    <w:p>
      <w:pPr>
        <w:pageBreakBefore w:val="0"/>
        <w:kinsoku/>
        <w:wordWrap/>
        <w:overflowPunct/>
        <w:topLinePunct w:val="0"/>
        <w:bidi w:val="0"/>
        <w:adjustRightInd w:val="0"/>
        <w:snapToGrid w:val="0"/>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根据上级要求，</w:t>
      </w:r>
      <w:r>
        <w:rPr>
          <w:rFonts w:hint="eastAsia" w:ascii="仿宋" w:hAnsi="仿宋" w:eastAsia="仿宋" w:cs="仿宋"/>
          <w:sz w:val="30"/>
          <w:szCs w:val="30"/>
          <w:lang w:eastAsia="zh-CN"/>
        </w:rPr>
        <w:t>2021</w:t>
      </w:r>
      <w:r>
        <w:rPr>
          <w:rFonts w:hint="eastAsia" w:ascii="仿宋" w:hAnsi="仿宋" w:eastAsia="仿宋" w:cs="仿宋"/>
          <w:sz w:val="30"/>
          <w:szCs w:val="30"/>
        </w:rPr>
        <w:t>年度预算</w:t>
      </w:r>
      <w:r>
        <w:rPr>
          <w:rFonts w:hint="eastAsia" w:ascii="仿宋" w:hAnsi="仿宋" w:eastAsia="仿宋" w:cs="仿宋"/>
          <w:sz w:val="30"/>
          <w:szCs w:val="30"/>
          <w:lang w:eastAsia="zh-CN"/>
        </w:rPr>
        <w:t>本部门</w:t>
      </w:r>
      <w:r>
        <w:rPr>
          <w:rFonts w:hint="eastAsia" w:ascii="仿宋" w:hAnsi="仿宋" w:eastAsia="仿宋" w:cs="仿宋"/>
          <w:sz w:val="30"/>
          <w:szCs w:val="30"/>
        </w:rPr>
        <w:t>已在赫山区公众信息网上公开公示。资产管理安全性和准确性逐步提高，内部管理制度得到了进一步完善，建立并严格执行预决算管理制度、预决算公开公示制度及机关财务制度、村账乡代理制度，基础信息管理力度不断加强。有关</w:t>
      </w:r>
      <w:r>
        <w:rPr>
          <w:rFonts w:hint="eastAsia" w:ascii="仿宋" w:hAnsi="仿宋" w:eastAsia="仿宋" w:cs="仿宋"/>
          <w:sz w:val="30"/>
          <w:szCs w:val="30"/>
          <w:lang w:val="en-US" w:eastAsia="zh-CN"/>
        </w:rPr>
        <w:t>民生</w:t>
      </w:r>
      <w:r>
        <w:rPr>
          <w:rFonts w:hint="eastAsia" w:ascii="仿宋" w:hAnsi="仿宋" w:eastAsia="仿宋" w:cs="仿宋"/>
          <w:sz w:val="30"/>
          <w:szCs w:val="30"/>
        </w:rPr>
        <w:t>重点项目的实施进展顺利，达到了预期效果，人民群众的获得感、幸福感、安全感持续增强</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年，泥江口镇在区委、区政府的坚强领导下，本单位通过对财政资金的使用，取得了如下绩效：</w:t>
      </w:r>
    </w:p>
    <w:p>
      <w:pPr>
        <w:pageBreakBefore w:val="0"/>
        <w:widowControl/>
        <w:numPr>
          <w:ilvl w:val="0"/>
          <w:numId w:val="0"/>
        </w:numPr>
        <w:shd w:val="clear" w:color="auto" w:fill="FFFFFF"/>
        <w:kinsoku/>
        <w:wordWrap/>
        <w:overflowPunct/>
        <w:topLinePunct w:val="0"/>
        <w:bidi w:val="0"/>
        <w:adjustRightInd w:val="0"/>
        <w:snapToGrid w:val="0"/>
        <w:spacing w:line="600" w:lineRule="exact"/>
        <w:ind w:left="-60" w:leftChars="0" w:firstLine="600" w:firstLineChars="200"/>
        <w:jc w:val="left"/>
        <w:textAlignment w:val="auto"/>
        <w:rPr>
          <w:rFonts w:hint="eastAsia" w:ascii="仿宋" w:hAnsi="仿宋" w:eastAsia="仿宋" w:cs="仿宋"/>
          <w:b w:val="0"/>
          <w:bCs w:val="0"/>
          <w:kern w:val="2"/>
          <w:sz w:val="30"/>
          <w:szCs w:val="30"/>
          <w:lang w:val="en-US" w:eastAsia="zh-CN" w:bidi="ar-SA"/>
        </w:rPr>
      </w:pPr>
      <w:r>
        <w:rPr>
          <w:rFonts w:hint="default" w:ascii="仿宋" w:hAnsi="仿宋" w:eastAsia="仿宋" w:cs="仿宋"/>
          <w:b w:val="0"/>
          <w:bCs w:val="0"/>
          <w:kern w:val="2"/>
          <w:sz w:val="30"/>
          <w:szCs w:val="30"/>
          <w:lang w:val="en-US" w:eastAsia="zh-CN" w:bidi="ar-SA"/>
        </w:rPr>
        <w:t>1.</w:t>
      </w:r>
      <w:r>
        <w:rPr>
          <w:rFonts w:hint="eastAsia" w:ascii="仿宋" w:hAnsi="仿宋" w:eastAsia="仿宋" w:cs="仿宋"/>
          <w:b w:val="0"/>
          <w:bCs w:val="0"/>
          <w:kern w:val="2"/>
          <w:sz w:val="30"/>
          <w:szCs w:val="30"/>
        </w:rPr>
        <w:t>坚持发展第一，总量与质量并行，经济运行平稳向好。全年实现总产值19.7亿元，同比增长18%，完成财税收入2310万元，城乡居民可支配收入达21872元，同比增长5%。社会治理硕果累累，先后荣获2021年市级新型城镇化建设先进单位、市基层社会治理创新示范单位、市农村人居环境整治考核五佳乡镇、市农村人居环境整治十佳乡镇、市“扫黄打非”先进集体，赫山区年度考核全面先进单位。</w:t>
      </w:r>
    </w:p>
    <w:p>
      <w:pPr>
        <w:pageBreakBefore w:val="0"/>
        <w:widowControl/>
        <w:numPr>
          <w:ilvl w:val="0"/>
          <w:numId w:val="0"/>
        </w:numPr>
        <w:shd w:val="clear" w:color="auto" w:fill="FFFFFF"/>
        <w:kinsoku/>
        <w:wordWrap/>
        <w:overflowPunct/>
        <w:topLinePunct w:val="0"/>
        <w:bidi w:val="0"/>
        <w:adjustRightInd w:val="0"/>
        <w:snapToGrid w:val="0"/>
        <w:spacing w:line="600" w:lineRule="exact"/>
        <w:ind w:left="-60" w:leftChars="0" w:firstLine="600" w:firstLineChars="200"/>
        <w:jc w:val="left"/>
        <w:textAlignment w:val="auto"/>
        <w:rPr>
          <w:rFonts w:hint="eastAsia" w:ascii="仿宋" w:hAnsi="仿宋" w:eastAsia="仿宋" w:cs="仿宋"/>
          <w:b w:val="0"/>
          <w:bCs w:val="0"/>
          <w:kern w:val="2"/>
          <w:sz w:val="30"/>
          <w:szCs w:val="30"/>
          <w:lang w:val="en-US" w:eastAsia="zh-CN" w:bidi="ar-SA"/>
        </w:rPr>
      </w:pPr>
      <w:r>
        <w:rPr>
          <w:rFonts w:hint="default" w:ascii="仿宋" w:hAnsi="仿宋" w:eastAsia="仿宋" w:cs="仿宋"/>
          <w:b w:val="0"/>
          <w:bCs w:val="0"/>
          <w:kern w:val="2"/>
          <w:sz w:val="30"/>
          <w:szCs w:val="30"/>
          <w:lang w:val="en-US" w:eastAsia="zh-CN" w:bidi="ar-SA"/>
        </w:rPr>
        <w:t>2.</w:t>
      </w:r>
      <w:r>
        <w:rPr>
          <w:rFonts w:hint="eastAsia" w:ascii="仿宋" w:hAnsi="仿宋" w:eastAsia="仿宋" w:cs="仿宋"/>
          <w:b w:val="0"/>
          <w:bCs w:val="0"/>
          <w:kern w:val="2"/>
          <w:sz w:val="30"/>
          <w:szCs w:val="30"/>
          <w:lang w:val="en-US" w:eastAsia="zh-CN" w:bidi="ar-SA"/>
        </w:rPr>
        <w:t>促进三产融合，推动产业转型升级。镇政府坚持产业强镇、特色强镇，筑牢实体经济根基，全力支持企业转型升级和创新发展，提升经济发展能效。全年竹制品产值23亿元，新进规模企业2家，全镇总计规模企业达18；以产业结构调整为契机，大力发展艾产业，种植艾叶5125亩，创新经营、收入、分配模式，通过集体经营、农民入股等方式壮大村级集体经济和促进农民增收。广场舞服饰影响力辐射全省乃至全国。传统农业不断发展。全镇完成粮食播种面积4.57万亩，其中早稻种植面积4970亩；茶叶、桑葚、吊瓜子等特色农业建设扎实推进，农产品深加工初具规模，产品附加值进一步提高。</w:t>
      </w:r>
    </w:p>
    <w:p>
      <w:pPr>
        <w:pageBreakBefore w:val="0"/>
        <w:widowControl/>
        <w:numPr>
          <w:ilvl w:val="0"/>
          <w:numId w:val="0"/>
        </w:numPr>
        <w:shd w:val="clear" w:color="auto" w:fill="FFFFFF"/>
        <w:kinsoku/>
        <w:wordWrap/>
        <w:overflowPunct/>
        <w:topLinePunct w:val="0"/>
        <w:bidi w:val="0"/>
        <w:adjustRightInd w:val="0"/>
        <w:snapToGrid w:val="0"/>
        <w:spacing w:line="600" w:lineRule="exact"/>
        <w:ind w:left="0" w:leftChars="0"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改善基础设施，提升宜居品质。全镇全年新建、改扩建道路44公里，安装公路防护栏7000米，水毁路段修复7处，危桥改造1座；“千吨万人饮用水工程”七里冲水库治理项目顺利竣工；高标准农田建设井然有序。重点项目高效推进：500KV宁复线建设基本完工；七里江美丽屋场建设工程全面启动；公立幼儿园建设和工农学校改扩建完成征拆；3000亩严格管控区调整为艾叶种植；污水处理厂4公里管网增铺项目动工建设；安置基地建设土地平整及泉泥线11户桩基础工作完成；太阳庵至大桥冲公路提质改造工程全面启动；G234国道项目征拆工作顺利推进。公共项目有序实施：入户污水支管建设、公益性公墓建设、改厕工作、危房改造等有序推进。</w:t>
      </w:r>
    </w:p>
    <w:p>
      <w:pPr>
        <w:pageBreakBefore w:val="0"/>
        <w:widowControl/>
        <w:numPr>
          <w:ilvl w:val="0"/>
          <w:numId w:val="0"/>
        </w:numPr>
        <w:shd w:val="clear" w:color="auto" w:fill="FFFFFF"/>
        <w:kinsoku/>
        <w:wordWrap/>
        <w:overflowPunct/>
        <w:topLinePunct w:val="0"/>
        <w:bidi w:val="0"/>
        <w:adjustRightInd w:val="0"/>
        <w:snapToGrid w:val="0"/>
        <w:spacing w:line="600" w:lineRule="exact"/>
        <w:ind w:left="0" w:leftChars="0"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4.坚持以人为本，增进民生福祉。全年新纳入56人监测户；加强政策落实力度，累计发放雨露计划专项补助资金265500元、防返贫帮扶资金24000元，大力开展小额信贷，支持建档立卡户和监测户发展产业。新增残疾人护理补贴78人、生活补贴39人，发放救助金额346600元，救助374人次，强化民生兜底保障。民造福力推进疫苗接种，用实际行动守护泥江口6.3万群众的生命健康。</w:t>
      </w:r>
    </w:p>
    <w:p>
      <w:pPr>
        <w:pageBreakBefore w:val="0"/>
        <w:widowControl/>
        <w:numPr>
          <w:ilvl w:val="0"/>
          <w:numId w:val="0"/>
        </w:numPr>
        <w:shd w:val="clear" w:color="auto" w:fill="FFFFFF"/>
        <w:kinsoku/>
        <w:wordWrap/>
        <w:overflowPunct/>
        <w:topLinePunct w:val="0"/>
        <w:bidi w:val="0"/>
        <w:adjustRightInd w:val="0"/>
        <w:snapToGrid w:val="0"/>
        <w:spacing w:line="600" w:lineRule="exact"/>
        <w:ind w:left="0" w:leftChars="0" w:firstLine="600" w:firstLineChars="200"/>
        <w:jc w:val="left"/>
        <w:textAlignment w:val="auto"/>
        <w:rPr>
          <w:rFonts w:hint="eastAsia" w:ascii="仿宋" w:hAnsi="仿宋" w:eastAsia="仿宋" w:cs="仿宋"/>
          <w:kern w:val="2"/>
          <w:sz w:val="30"/>
          <w:szCs w:val="30"/>
        </w:rPr>
      </w:pPr>
      <w:r>
        <w:rPr>
          <w:rFonts w:hint="eastAsia" w:ascii="仿宋" w:hAnsi="仿宋" w:eastAsia="仿宋" w:cs="仿宋"/>
          <w:b w:val="0"/>
          <w:bCs w:val="0"/>
          <w:kern w:val="2"/>
          <w:sz w:val="30"/>
          <w:szCs w:val="30"/>
          <w:lang w:val="en-US" w:eastAsia="zh-CN" w:bidi="ar-SA"/>
        </w:rPr>
        <w:t>5.加快职能转变，方便群众办事。持续深化“放管服”改革，“减证便民”行动持续深入，政务服务“一张网”加快打造。为民服务落到实处。认真听取群众心声，全力解决群众诉求，全镇“一门式”服务，“一窗受理平台”办件3907条；平台外办件15223条；全年累计接待群众达2万人次；12345热线工单办理600余件。</w:t>
      </w:r>
    </w:p>
    <w:p>
      <w:pPr>
        <w:pStyle w:val="3"/>
        <w:pageBreakBefore w:val="0"/>
        <w:shd w:val="clear" w:color="auto" w:fill="FFFFFF"/>
        <w:kinsoku/>
        <w:wordWrap/>
        <w:overflowPunct/>
        <w:topLinePunct w:val="0"/>
        <w:bidi w:val="0"/>
        <w:adjustRightInd w:val="0"/>
        <w:snapToGrid w:val="0"/>
        <w:spacing w:before="0" w:beforeAutospacing="0" w:after="0" w:afterAutospacing="0" w:line="600" w:lineRule="exact"/>
        <w:ind w:firstLine="600" w:firstLineChars="200"/>
        <w:textAlignment w:val="auto"/>
        <w:rPr>
          <w:rFonts w:hint="eastAsia" w:ascii="黑体" w:hAnsi="黑体" w:eastAsia="黑体" w:cs="黑体"/>
          <w:b w:val="0"/>
          <w:bCs/>
          <w:kern w:val="2"/>
          <w:sz w:val="30"/>
          <w:szCs w:val="30"/>
        </w:rPr>
      </w:pPr>
      <w:r>
        <w:rPr>
          <w:rFonts w:hint="eastAsia" w:ascii="黑体" w:hAnsi="黑体" w:eastAsia="黑体" w:cs="黑体"/>
          <w:b w:val="0"/>
          <w:bCs/>
          <w:kern w:val="2"/>
          <w:sz w:val="30"/>
          <w:szCs w:val="30"/>
          <w:lang w:eastAsia="zh-CN"/>
        </w:rPr>
        <w:t>七</w:t>
      </w:r>
      <w:r>
        <w:rPr>
          <w:rFonts w:hint="eastAsia" w:ascii="黑体" w:hAnsi="黑体" w:eastAsia="黑体" w:cs="黑体"/>
          <w:b w:val="0"/>
          <w:bCs/>
          <w:kern w:val="2"/>
          <w:sz w:val="30"/>
          <w:szCs w:val="30"/>
        </w:rPr>
        <w:t>、存在的问题</w:t>
      </w:r>
      <w:r>
        <w:rPr>
          <w:rFonts w:hint="eastAsia" w:ascii="黑体" w:hAnsi="黑体" w:eastAsia="黑体" w:cs="黑体"/>
          <w:b w:val="0"/>
          <w:bCs/>
          <w:kern w:val="2"/>
          <w:sz w:val="30"/>
          <w:szCs w:val="30"/>
          <w:lang w:eastAsia="zh-CN"/>
        </w:rPr>
        <w:t>及原因分析</w:t>
      </w:r>
    </w:p>
    <w:p>
      <w:pPr>
        <w:pStyle w:val="3"/>
        <w:pageBreakBefore w:val="0"/>
        <w:shd w:val="clear" w:color="auto" w:fill="FFFFFF"/>
        <w:kinsoku/>
        <w:wordWrap/>
        <w:overflowPunct/>
        <w:topLinePunct w:val="0"/>
        <w:bidi w:val="0"/>
        <w:adjustRightInd w:val="0"/>
        <w:snapToGrid w:val="0"/>
        <w:spacing w:before="0" w:beforeAutospacing="0" w:after="0" w:afterAutospacing="0" w:line="60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lang w:eastAsia="zh-CN"/>
        </w:rPr>
        <w:t>（</w:t>
      </w:r>
      <w:r>
        <w:rPr>
          <w:rFonts w:hint="eastAsia" w:ascii="仿宋" w:hAnsi="仿宋" w:eastAsia="仿宋" w:cs="仿宋"/>
          <w:kern w:val="2"/>
          <w:sz w:val="30"/>
          <w:szCs w:val="30"/>
          <w:lang w:val="en-US" w:eastAsia="zh-CN"/>
        </w:rPr>
        <w:t>一</w:t>
      </w:r>
      <w:r>
        <w:rPr>
          <w:rFonts w:hint="eastAsia" w:ascii="仿宋" w:hAnsi="仿宋" w:eastAsia="仿宋" w:cs="仿宋"/>
          <w:kern w:val="2"/>
          <w:sz w:val="30"/>
          <w:szCs w:val="30"/>
          <w:lang w:eastAsia="zh-CN"/>
        </w:rPr>
        <w:t>）</w:t>
      </w:r>
      <w:r>
        <w:rPr>
          <w:rFonts w:hint="eastAsia" w:ascii="仿宋" w:hAnsi="仿宋" w:eastAsia="仿宋" w:cs="仿宋"/>
          <w:kern w:val="2"/>
          <w:sz w:val="30"/>
          <w:szCs w:val="30"/>
        </w:rPr>
        <w:t>工作机制有待进一步完善，由于在平时工作中未加强绩效监控工作的重视，绩效监控工作容易滞后，未形成对绩效目标进行监控的习惯。</w:t>
      </w:r>
    </w:p>
    <w:p>
      <w:pPr>
        <w:pStyle w:val="3"/>
        <w:pageBreakBefore w:val="0"/>
        <w:shd w:val="clear" w:color="auto" w:fill="FFFFFF"/>
        <w:kinsoku/>
        <w:wordWrap/>
        <w:overflowPunct/>
        <w:topLinePunct w:val="0"/>
        <w:bidi w:val="0"/>
        <w:adjustRightInd w:val="0"/>
        <w:snapToGrid w:val="0"/>
        <w:spacing w:before="0" w:beforeAutospacing="0" w:after="0" w:afterAutospacing="0"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单位各部门衔接不及时，无法及时监控预算绩效目标实施情况。</w:t>
      </w:r>
    </w:p>
    <w:p>
      <w:pPr>
        <w:pStyle w:val="3"/>
        <w:pageBreakBefore w:val="0"/>
        <w:shd w:val="clear" w:color="auto" w:fill="FFFFFF"/>
        <w:kinsoku/>
        <w:wordWrap/>
        <w:overflowPunct/>
        <w:topLinePunct w:val="0"/>
        <w:bidi w:val="0"/>
        <w:adjustRightInd w:val="0"/>
        <w:snapToGrid w:val="0"/>
        <w:spacing w:before="0" w:beforeAutospacing="0" w:after="0" w:afterAutospacing="0" w:line="600" w:lineRule="exact"/>
        <w:ind w:firstLine="600" w:firstLineChars="200"/>
        <w:textAlignment w:val="auto"/>
        <w:rPr>
          <w:rFonts w:hint="eastAsia" w:ascii="仿宋" w:hAnsi="仿宋" w:eastAsia="仿宋" w:cs="仿宋"/>
          <w:b/>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政府和财务部门在部门整体支出的资金安排和使用上仍有不可预见性，在实际工作中有资金延迟到位的情况。</w:t>
      </w:r>
    </w:p>
    <w:p>
      <w:pPr>
        <w:pStyle w:val="3"/>
        <w:pageBreakBefore w:val="0"/>
        <w:shd w:val="clear" w:color="auto" w:fill="FFFFFF"/>
        <w:kinsoku/>
        <w:wordWrap/>
        <w:overflowPunct/>
        <w:topLinePunct w:val="0"/>
        <w:bidi w:val="0"/>
        <w:adjustRightInd w:val="0"/>
        <w:snapToGrid w:val="0"/>
        <w:spacing w:before="0" w:beforeAutospacing="0" w:after="0" w:afterAutospacing="0" w:line="600" w:lineRule="exact"/>
        <w:ind w:firstLine="600" w:firstLineChars="200"/>
        <w:textAlignment w:val="auto"/>
        <w:rPr>
          <w:rFonts w:hint="eastAsia" w:ascii="黑体" w:hAnsi="黑体" w:eastAsia="黑体" w:cs="黑体"/>
          <w:b w:val="0"/>
          <w:bCs/>
          <w:kern w:val="2"/>
          <w:sz w:val="30"/>
          <w:szCs w:val="30"/>
          <w:lang w:eastAsia="zh-CN"/>
        </w:rPr>
      </w:pPr>
      <w:r>
        <w:rPr>
          <w:rFonts w:hint="eastAsia" w:ascii="黑体" w:hAnsi="黑体" w:eastAsia="黑体" w:cs="黑体"/>
          <w:b w:val="0"/>
          <w:bCs/>
          <w:kern w:val="2"/>
          <w:sz w:val="30"/>
          <w:szCs w:val="30"/>
          <w:lang w:eastAsia="zh-CN"/>
        </w:rPr>
        <w:t>八、改进措施和有关建议</w:t>
      </w:r>
    </w:p>
    <w:p>
      <w:pPr>
        <w:pageBreakBefore w:val="0"/>
        <w:widowControl/>
        <w:shd w:val="clear" w:color="auto" w:fill="FFFFFF"/>
        <w:kinsoku/>
        <w:wordWrap/>
        <w:overflowPunct/>
        <w:topLinePunct w:val="0"/>
        <w:bidi w:val="0"/>
        <w:adjustRightInd w:val="0"/>
        <w:snapToGrid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建议政府在平时工作中进一步加强对绩效目标监控的重视，定期对预算执行情况进行监督，使绩效目标监控与政府工作、财务工作挂钩，做到及时监控，及时控制，避免疏忽。</w:t>
      </w:r>
    </w:p>
    <w:p>
      <w:pPr>
        <w:pageBreakBefore w:val="0"/>
        <w:widowControl/>
        <w:shd w:val="clear" w:color="auto" w:fill="FFFFFF"/>
        <w:kinsoku/>
        <w:wordWrap/>
        <w:overflowPunct/>
        <w:topLinePunct w:val="0"/>
        <w:bidi w:val="0"/>
        <w:adjustRightInd w:val="0"/>
        <w:snapToGrid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加强各部门衔接，使预算绩效目标实施进度得到及时反馈，便于及时汇总监控。</w:t>
      </w:r>
    </w:p>
    <w:p>
      <w:pPr>
        <w:pageBreakBefore w:val="0"/>
        <w:widowControl/>
        <w:shd w:val="clear" w:color="auto" w:fill="FFFFFF"/>
        <w:kinsoku/>
        <w:wordWrap/>
        <w:overflowPunct/>
        <w:topLinePunct w:val="0"/>
        <w:bidi w:val="0"/>
        <w:adjustRightInd w:val="0"/>
        <w:snapToGrid w:val="0"/>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设置合理有效的绩效目标监控机制，科学设置预算绩效指标，合理安排经费和各项资金，使其物尽其用，更加贴合乡镇财务工作的实际情况，能够合理运用现有资源，及时协调上级争取资金保证各预算绩效指标的顺利实施。使绩效评价更客观全面，更能为发展政府经济，保障民生起到积极有效的作用。</w:t>
      </w:r>
    </w:p>
    <w:p>
      <w:pPr>
        <w:pageBreakBefore w:val="0"/>
        <w:kinsoku/>
        <w:wordWrap/>
        <w:overflowPunct/>
        <w:topLinePunct w:val="0"/>
        <w:bidi w:val="0"/>
        <w:adjustRightInd w:val="0"/>
        <w:snapToGrid w:val="0"/>
        <w:spacing w:line="600" w:lineRule="exact"/>
        <w:ind w:firstLine="600" w:firstLineChars="200"/>
        <w:textAlignment w:val="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九、其他需要说明的情况</w:t>
      </w:r>
    </w:p>
    <w:p>
      <w:pPr>
        <w:pageBreakBefore w:val="0"/>
        <w:kinsoku/>
        <w:wordWrap/>
        <w:overflowPunct/>
        <w:topLinePunct w:val="0"/>
        <w:bidi w:val="0"/>
        <w:adjustRightInd w:val="0"/>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无   </w:t>
      </w:r>
    </w:p>
    <w:p>
      <w:pPr>
        <w:pageBreakBefore w:val="0"/>
        <w:kinsoku/>
        <w:wordWrap/>
        <w:overflowPunct/>
        <w:topLinePunct w:val="0"/>
        <w:bidi w:val="0"/>
        <w:adjustRightInd w:val="0"/>
        <w:snapToGrid w:val="0"/>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附件：2021年度部门整体支出绩效自评指标计分表   </w:t>
      </w:r>
      <w:r>
        <w:rPr>
          <w:rFonts w:hint="eastAsia" w:ascii="仿宋" w:hAnsi="仿宋" w:eastAsia="仿宋" w:cs="仿宋"/>
          <w:sz w:val="30"/>
          <w:szCs w:val="30"/>
        </w:rPr>
        <w:t xml:space="preserve">      </w:t>
      </w:r>
    </w:p>
    <w:p>
      <w:pPr>
        <w:pageBreakBefore w:val="0"/>
        <w:kinsoku/>
        <w:wordWrap/>
        <w:overflowPunct/>
        <w:topLinePunct w:val="0"/>
        <w:bidi w:val="0"/>
        <w:adjustRightInd w:val="0"/>
        <w:snapToGrid w:val="0"/>
        <w:spacing w:line="600" w:lineRule="exact"/>
        <w:ind w:firstLine="600" w:firstLineChars="200"/>
        <w:textAlignment w:val="auto"/>
        <w:rPr>
          <w:rFonts w:hint="eastAsia" w:ascii="仿宋" w:hAnsi="仿宋" w:eastAsia="仿宋" w:cs="仿宋"/>
          <w:sz w:val="30"/>
          <w:szCs w:val="30"/>
        </w:rPr>
      </w:pPr>
    </w:p>
    <w:p>
      <w:pPr>
        <w:pageBreakBefore w:val="0"/>
        <w:kinsoku/>
        <w:wordWrap/>
        <w:overflowPunct/>
        <w:topLinePunct w:val="0"/>
        <w:bidi w:val="0"/>
        <w:spacing w:before="156" w:beforeLines="50" w:after="156" w:afterLines="50" w:line="600" w:lineRule="exact"/>
        <w:ind w:firstLine="600" w:firstLineChars="200"/>
        <w:jc w:val="center"/>
        <w:textAlignment w:val="auto"/>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rPr>
      </w:pPr>
      <w:bookmarkStart w:id="0" w:name="_GoBack"/>
      <w:bookmarkEnd w:id="0"/>
    </w:p>
    <w:p>
      <w:pPr>
        <w:pageBreakBefore w:val="0"/>
        <w:kinsoku/>
        <w:wordWrap/>
        <w:overflowPunct/>
        <w:topLinePunct w:val="0"/>
        <w:bidi w:val="0"/>
        <w:spacing w:before="156" w:beforeLines="50" w:after="156" w:afterLines="50" w:line="60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202</w:t>
      </w:r>
      <w:r>
        <w:rPr>
          <w:rFonts w:hint="eastAsia" w:ascii="黑体" w:hAnsi="黑体" w:eastAsia="黑体" w:cs="黑体"/>
          <w:sz w:val="30"/>
          <w:szCs w:val="30"/>
          <w:lang w:val="en-US" w:eastAsia="zh-CN"/>
        </w:rPr>
        <w:t>1</w:t>
      </w:r>
      <w:r>
        <w:rPr>
          <w:rFonts w:hint="eastAsia" w:ascii="黑体" w:hAnsi="黑体" w:eastAsia="黑体" w:cs="黑体"/>
          <w:sz w:val="30"/>
          <w:szCs w:val="30"/>
        </w:rPr>
        <w:t>年度部门整体支出绩效自评指标计分表</w:t>
      </w:r>
    </w:p>
    <w:tbl>
      <w:tblPr>
        <w:tblStyle w:val="4"/>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707"/>
        <w:gridCol w:w="943"/>
        <w:gridCol w:w="707"/>
        <w:gridCol w:w="2973"/>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579" w:type="dxa"/>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707" w:type="dxa"/>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943" w:type="dxa"/>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707" w:type="dxa"/>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2973" w:type="dxa"/>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3522" w:type="dxa"/>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579"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70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707" w:type="dxa"/>
            <w:vAlign w:val="center"/>
          </w:tcPr>
          <w:p>
            <w:pPr>
              <w:numPr>
                <w:ilvl w:val="0"/>
                <w:numId w:val="0"/>
              </w:numPr>
              <w:tabs>
                <w:tab w:val="left" w:pos="2604"/>
              </w:tabs>
              <w:spacing w:line="240" w:lineRule="exact"/>
              <w:ind w:left="420" w:leftChars="0" w:right="105" w:rightChars="50"/>
              <w:jc w:val="center"/>
              <w:rPr>
                <w:rFonts w:hint="eastAsia" w:ascii="宋体" w:eastAsia="宋体" w:cs="宋体"/>
                <w:lang w:val="en-US" w:eastAsia="zh-CN"/>
              </w:rPr>
            </w:pPr>
            <w:r>
              <w:rPr>
                <w:rFonts w:hint="eastAsia" w:ascii="宋体" w:cs="宋体"/>
                <w:lang w:val="en-US" w:eastAsia="zh-CN"/>
              </w:rPr>
              <w:t>2</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579" w:type="dxa"/>
            <w:vMerge w:val="continue"/>
            <w:vAlign w:val="center"/>
          </w:tcPr>
          <w:p>
            <w:pPr>
              <w:spacing w:line="240" w:lineRule="exact"/>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3</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579" w:type="dxa"/>
            <w:vMerge w:val="continue"/>
            <w:vAlign w:val="center"/>
          </w:tcPr>
          <w:p>
            <w:pPr>
              <w:spacing w:line="240" w:lineRule="exact"/>
              <w:rPr>
                <w:rFonts w:ascii="宋体" w:cs="宋体"/>
              </w:rPr>
            </w:pPr>
          </w:p>
        </w:tc>
        <w:tc>
          <w:tcPr>
            <w:tcW w:w="70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79" w:type="dxa"/>
            <w:vMerge w:val="continue"/>
            <w:vAlign w:val="center"/>
          </w:tcPr>
          <w:p>
            <w:pPr>
              <w:spacing w:line="240" w:lineRule="exact"/>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579" w:type="dxa"/>
            <w:vMerge w:val="continue"/>
            <w:vAlign w:val="center"/>
          </w:tcPr>
          <w:p>
            <w:pPr>
              <w:spacing w:line="240" w:lineRule="exact"/>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579"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70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3</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79" w:type="dxa"/>
            <w:vMerge w:val="continue"/>
            <w:vAlign w:val="center"/>
          </w:tcPr>
          <w:p>
            <w:pPr>
              <w:spacing w:line="240" w:lineRule="exact"/>
              <w:jc w:val="center"/>
              <w:rPr>
                <w:rFonts w:ascii="宋体" w:cs="宋体"/>
              </w:rPr>
            </w:pPr>
          </w:p>
        </w:tc>
        <w:tc>
          <w:tcPr>
            <w:tcW w:w="707" w:type="dxa"/>
            <w:vMerge w:val="continue"/>
            <w:vAlign w:val="center"/>
          </w:tcPr>
          <w:p>
            <w:pPr>
              <w:spacing w:line="240" w:lineRule="exact"/>
              <w:jc w:val="center"/>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579" w:type="dxa"/>
            <w:vMerge w:val="continue"/>
            <w:vAlign w:val="center"/>
          </w:tcPr>
          <w:p>
            <w:pPr>
              <w:spacing w:line="240" w:lineRule="exact"/>
              <w:jc w:val="center"/>
              <w:rPr>
                <w:rFonts w:ascii="宋体" w:cs="宋体"/>
              </w:rPr>
            </w:pPr>
          </w:p>
        </w:tc>
        <w:tc>
          <w:tcPr>
            <w:tcW w:w="707" w:type="dxa"/>
            <w:vMerge w:val="continue"/>
            <w:vAlign w:val="center"/>
          </w:tcPr>
          <w:p>
            <w:pPr>
              <w:spacing w:line="240" w:lineRule="exact"/>
              <w:jc w:val="center"/>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79" w:type="dxa"/>
            <w:vMerge w:val="continue"/>
            <w:tcMar>
              <w:top w:w="10" w:type="dxa"/>
              <w:left w:w="10" w:type="dxa"/>
              <w:bottom w:w="0" w:type="dxa"/>
              <w:right w:w="10" w:type="dxa"/>
            </w:tcMar>
            <w:textDirection w:val="tbRlV"/>
            <w:vAlign w:val="center"/>
          </w:tcPr>
          <w:p>
            <w:pPr>
              <w:spacing w:line="240" w:lineRule="exact"/>
              <w:jc w:val="center"/>
              <w:rPr>
                <w:rFonts w:ascii="宋体" w:cs="宋体"/>
              </w:rPr>
            </w:pPr>
          </w:p>
        </w:tc>
        <w:tc>
          <w:tcPr>
            <w:tcW w:w="707" w:type="dxa"/>
            <w:vMerge w:val="continue"/>
            <w:tcMar>
              <w:top w:w="10" w:type="dxa"/>
              <w:left w:w="10" w:type="dxa"/>
              <w:bottom w:w="0" w:type="dxa"/>
              <w:right w:w="10" w:type="dxa"/>
            </w:tcMar>
            <w:vAlign w:val="center"/>
          </w:tcPr>
          <w:p>
            <w:pPr>
              <w:spacing w:line="240" w:lineRule="exact"/>
              <w:jc w:val="center"/>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79" w:type="dxa"/>
            <w:vMerge w:val="continue"/>
            <w:vAlign w:val="center"/>
          </w:tcPr>
          <w:p>
            <w:pPr>
              <w:spacing w:line="240" w:lineRule="exact"/>
              <w:jc w:val="center"/>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579" w:type="dxa"/>
            <w:vMerge w:val="continue"/>
            <w:vAlign w:val="center"/>
          </w:tcPr>
          <w:p>
            <w:pPr>
              <w:spacing w:line="240" w:lineRule="exact"/>
              <w:jc w:val="center"/>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579" w:type="dxa"/>
            <w:vMerge w:val="continue"/>
            <w:vAlign w:val="center"/>
          </w:tcPr>
          <w:p>
            <w:pPr>
              <w:spacing w:line="240" w:lineRule="exact"/>
              <w:jc w:val="center"/>
              <w:rPr>
                <w:rFonts w:ascii="宋体" w:cs="宋体"/>
              </w:rPr>
            </w:pPr>
          </w:p>
        </w:tc>
        <w:tc>
          <w:tcPr>
            <w:tcW w:w="707" w:type="dxa"/>
            <w:vMerge w:val="continue"/>
            <w:vAlign w:val="center"/>
          </w:tcPr>
          <w:p>
            <w:pPr>
              <w:spacing w:line="240" w:lineRule="exact"/>
              <w:jc w:val="center"/>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579" w:type="dxa"/>
            <w:vMerge w:val="continue"/>
            <w:vAlign w:val="center"/>
          </w:tcPr>
          <w:p>
            <w:pPr>
              <w:spacing w:line="240" w:lineRule="exact"/>
              <w:jc w:val="center"/>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3</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579" w:type="dxa"/>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70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579" w:type="dxa"/>
            <w:vMerge w:val="continue"/>
            <w:vAlign w:val="center"/>
          </w:tcPr>
          <w:p>
            <w:pPr>
              <w:spacing w:line="240" w:lineRule="exact"/>
              <w:jc w:val="center"/>
              <w:rPr>
                <w:rFonts w:ascii="宋体" w:cs="宋体"/>
              </w:rPr>
            </w:pPr>
          </w:p>
        </w:tc>
        <w:tc>
          <w:tcPr>
            <w:tcW w:w="707" w:type="dxa"/>
            <w:vMerge w:val="continue"/>
            <w:vAlign w:val="center"/>
          </w:tcPr>
          <w:p>
            <w:pPr>
              <w:spacing w:line="240" w:lineRule="exact"/>
              <w:jc w:val="center"/>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579" w:type="dxa"/>
            <w:vMerge w:val="continue"/>
            <w:vAlign w:val="center"/>
          </w:tcPr>
          <w:p>
            <w:pPr>
              <w:spacing w:line="240" w:lineRule="exact"/>
              <w:jc w:val="center"/>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579" w:type="dxa"/>
            <w:vMerge w:val="continue"/>
            <w:vAlign w:val="center"/>
          </w:tcPr>
          <w:p>
            <w:pPr>
              <w:spacing w:line="240" w:lineRule="exact"/>
              <w:jc w:val="center"/>
              <w:rPr>
                <w:rFonts w:ascii="宋体" w:cs="宋体"/>
              </w:rPr>
            </w:pPr>
          </w:p>
        </w:tc>
        <w:tc>
          <w:tcPr>
            <w:tcW w:w="707" w:type="dxa"/>
            <w:vMerge w:val="continue"/>
            <w:vAlign w:val="center"/>
          </w:tcPr>
          <w:p>
            <w:pPr>
              <w:spacing w:line="240" w:lineRule="exact"/>
              <w:jc w:val="center"/>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579" w:type="dxa"/>
            <w:vMerge w:val="continue"/>
            <w:tcMar>
              <w:top w:w="10" w:type="dxa"/>
              <w:left w:w="10" w:type="dxa"/>
              <w:bottom w:w="0" w:type="dxa"/>
              <w:right w:w="10" w:type="dxa"/>
            </w:tcMar>
            <w:textDirection w:val="tbRlV"/>
            <w:vAlign w:val="center"/>
          </w:tcPr>
          <w:p>
            <w:pPr>
              <w:spacing w:line="240" w:lineRule="exact"/>
              <w:jc w:val="center"/>
              <w:rPr>
                <w:rFonts w:ascii="宋体" w:cs="宋体"/>
              </w:rPr>
            </w:pPr>
          </w:p>
        </w:tc>
        <w:tc>
          <w:tcPr>
            <w:tcW w:w="70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579" w:type="dxa"/>
            <w:vMerge w:val="continue"/>
            <w:vAlign w:val="center"/>
          </w:tcPr>
          <w:p>
            <w:pPr>
              <w:spacing w:line="240" w:lineRule="exact"/>
              <w:jc w:val="center"/>
              <w:rPr>
                <w:rFonts w:ascii="宋体" w:cs="宋体"/>
              </w:rPr>
            </w:pPr>
          </w:p>
        </w:tc>
        <w:tc>
          <w:tcPr>
            <w:tcW w:w="707" w:type="dxa"/>
            <w:vMerge w:val="continue"/>
            <w:vAlign w:val="center"/>
          </w:tcPr>
          <w:p>
            <w:pPr>
              <w:spacing w:line="240" w:lineRule="exact"/>
              <w:jc w:val="center"/>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707" w:type="dxa"/>
            <w:vAlign w:val="center"/>
          </w:tcPr>
          <w:p>
            <w:pPr>
              <w:tabs>
                <w:tab w:val="left" w:pos="761"/>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2973" w:type="dxa"/>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579" w:type="dxa"/>
            <w:vMerge w:val="continue"/>
            <w:vAlign w:val="center"/>
          </w:tcPr>
          <w:p>
            <w:pPr>
              <w:spacing w:line="240" w:lineRule="exact"/>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579"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70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cs="宋体"/>
              </w:rPr>
            </w:pPr>
            <w:r>
              <w:rPr>
                <w:rFonts w:hint="eastAsia" w:ascii="宋体" w:hAnsi="宋体" w:cs="宋体"/>
              </w:rPr>
              <w:t>完成率（</w:t>
            </w:r>
            <w:r>
              <w:rPr>
                <w:rFonts w:ascii="宋体" w:hAnsi="宋体" w:cs="宋体"/>
              </w:rPr>
              <w:t>8</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7</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579" w:type="dxa"/>
            <w:vMerge w:val="continue"/>
            <w:textDirection w:val="tbRlV"/>
            <w:vAlign w:val="center"/>
          </w:tcPr>
          <w:p>
            <w:pPr>
              <w:spacing w:line="240" w:lineRule="exact"/>
              <w:ind w:left="113"/>
              <w:jc w:val="center"/>
              <w:rPr>
                <w:rFonts w:ascii="宋体" w:cs="宋体"/>
              </w:rPr>
            </w:pPr>
          </w:p>
        </w:tc>
        <w:tc>
          <w:tcPr>
            <w:tcW w:w="707" w:type="dxa"/>
            <w:vMerge w:val="continue"/>
            <w:vAlign w:val="center"/>
          </w:tcPr>
          <w:p>
            <w:pPr>
              <w:spacing w:line="240" w:lineRule="exact"/>
              <w:jc w:val="center"/>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cs="宋体"/>
              </w:rPr>
            </w:pPr>
            <w:r>
              <w:rPr>
                <w:rFonts w:hint="eastAsia" w:ascii="宋体" w:hAnsi="宋体" w:cs="宋体"/>
              </w:rPr>
              <w:t>及时率（</w:t>
            </w:r>
            <w:r>
              <w:rPr>
                <w:rFonts w:ascii="宋体" w:hAnsi="宋体" w:cs="宋体"/>
              </w:rPr>
              <w:t>4</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79" w:type="dxa"/>
            <w:vMerge w:val="continue"/>
            <w:vAlign w:val="center"/>
          </w:tcPr>
          <w:p>
            <w:pPr>
              <w:spacing w:line="240" w:lineRule="exact"/>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cs="宋体"/>
              </w:rPr>
            </w:pPr>
            <w:r>
              <w:rPr>
                <w:rFonts w:hint="eastAsia" w:ascii="宋体" w:hAnsi="宋体" w:cs="宋体"/>
              </w:rPr>
              <w:t>达标率（</w:t>
            </w:r>
            <w:r>
              <w:rPr>
                <w:rFonts w:ascii="宋体" w:hAnsi="宋体" w:cs="宋体"/>
              </w:rPr>
              <w:t>8</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7</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79" w:type="dxa"/>
            <w:vMerge w:val="continue"/>
            <w:vAlign w:val="center"/>
          </w:tcPr>
          <w:p>
            <w:pPr>
              <w:spacing w:line="240" w:lineRule="exact"/>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9</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79"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707"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3522" w:type="dxa"/>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79" w:type="dxa"/>
            <w:vMerge w:val="continue"/>
            <w:vAlign w:val="center"/>
          </w:tcPr>
          <w:p>
            <w:pPr>
              <w:spacing w:line="240" w:lineRule="exact"/>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3522" w:type="dxa"/>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79" w:type="dxa"/>
            <w:vMerge w:val="continue"/>
            <w:vAlign w:val="center"/>
          </w:tcPr>
          <w:p>
            <w:pPr>
              <w:spacing w:line="240" w:lineRule="exact"/>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3522" w:type="dxa"/>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579" w:type="dxa"/>
            <w:vMerge w:val="continue"/>
            <w:vAlign w:val="center"/>
          </w:tcPr>
          <w:p>
            <w:pPr>
              <w:spacing w:line="240" w:lineRule="exact"/>
              <w:rPr>
                <w:rFonts w:ascii="宋体" w:cs="宋体"/>
              </w:rPr>
            </w:pPr>
          </w:p>
        </w:tc>
        <w:tc>
          <w:tcPr>
            <w:tcW w:w="707" w:type="dxa"/>
            <w:vMerge w:val="continue"/>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79" w:type="dxa"/>
            <w:vAlign w:val="center"/>
          </w:tcPr>
          <w:p>
            <w:pPr>
              <w:spacing w:line="240" w:lineRule="exact"/>
              <w:rPr>
                <w:rFonts w:ascii="宋体" w:cs="宋体"/>
              </w:rPr>
            </w:pPr>
            <w:r>
              <w:rPr>
                <w:rFonts w:hint="eastAsia" w:ascii="宋体" w:hAnsi="宋体" w:cs="宋体"/>
              </w:rPr>
              <w:t>总分</w:t>
            </w:r>
          </w:p>
        </w:tc>
        <w:tc>
          <w:tcPr>
            <w:tcW w:w="707" w:type="dxa"/>
            <w:vAlign w:val="center"/>
          </w:tcPr>
          <w:p>
            <w:pPr>
              <w:spacing w:line="240" w:lineRule="exact"/>
              <w:rPr>
                <w:rFonts w:ascii="宋体" w:cs="宋体"/>
              </w:rPr>
            </w:pPr>
          </w:p>
        </w:tc>
        <w:tc>
          <w:tcPr>
            <w:tcW w:w="943" w:type="dxa"/>
            <w:tcMar>
              <w:top w:w="10" w:type="dxa"/>
              <w:left w:w="10" w:type="dxa"/>
              <w:bottom w:w="0" w:type="dxa"/>
              <w:right w:w="10" w:type="dxa"/>
            </w:tcMar>
            <w:vAlign w:val="center"/>
          </w:tcPr>
          <w:p>
            <w:pPr>
              <w:spacing w:line="240" w:lineRule="exact"/>
              <w:jc w:val="center"/>
              <w:rPr>
                <w:rFonts w:ascii="宋体" w:cs="宋体"/>
              </w:rPr>
            </w:pPr>
          </w:p>
        </w:tc>
        <w:tc>
          <w:tcPr>
            <w:tcW w:w="707" w:type="dxa"/>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93</w:t>
            </w:r>
          </w:p>
        </w:tc>
        <w:tc>
          <w:tcPr>
            <w:tcW w:w="297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3522" w:type="dxa"/>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Pr>
        <w:ind w:firstLine="640" w:firstLineChars="200"/>
        <w:jc w:val="left"/>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rPr>
          <w:rFonts w:cs="黑体" w:asciiTheme="minorEastAsia" w:hAnsiTheme="minorEastAsia"/>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79B9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2023-06-26T05:16:19Z</dcterms:created>
  <dc:creator>admin-3</dc:creator>
  <cp:lastModifiedBy>admin-3</cp:lastModifiedBy>
  <dcterms:modified xsi:type="dcterms:W3CDTF">2023-06-26T05:16:45Z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C6CD37D300CD411098C628B8E7EFE2AF_12</vt:lpwstr>
  </property>
</Properties>
</file>