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600" w:lineRule="exact"/>
        <w:jc w:val="center"/>
        <w:textAlignment w:val="auto"/>
        <w:rPr>
          <w:rFonts w:hint="eastAsia" w:ascii="黑体" w:hAnsi="黑体" w:eastAsia="黑体" w:cs="黑体"/>
          <w:b w:val="0"/>
          <w:bCs/>
          <w:color w:val="000000"/>
          <w:kern w:val="0"/>
          <w:sz w:val="36"/>
          <w:szCs w:val="36"/>
          <w:lang w:val="en-US" w:eastAsia="zh-CN"/>
        </w:rPr>
      </w:pPr>
    </w:p>
    <w:p>
      <w:pPr>
        <w:keepNext w:val="0"/>
        <w:keepLines w:val="0"/>
        <w:pageBreakBefore w:val="0"/>
        <w:kinsoku/>
        <w:wordWrap/>
        <w:overflowPunct/>
        <w:topLinePunct w:val="0"/>
        <w:bidi w:val="0"/>
        <w:snapToGrid/>
        <w:spacing w:line="600" w:lineRule="exact"/>
        <w:jc w:val="center"/>
        <w:textAlignment w:val="auto"/>
        <w:rPr>
          <w:rFonts w:hint="eastAsia" w:ascii="黑体" w:hAnsi="黑体" w:eastAsia="黑体" w:cs="黑体"/>
          <w:b w:val="0"/>
          <w:bCs/>
          <w:color w:val="000000"/>
          <w:kern w:val="0"/>
          <w:sz w:val="36"/>
          <w:szCs w:val="36"/>
          <w:lang w:val="en-US" w:eastAsia="zh-CN"/>
        </w:rPr>
      </w:pPr>
      <w:r>
        <w:rPr>
          <w:rFonts w:hint="eastAsia" w:ascii="黑体" w:hAnsi="黑体" w:eastAsia="黑体" w:cs="黑体"/>
          <w:b w:val="0"/>
          <w:bCs/>
          <w:color w:val="000000"/>
          <w:kern w:val="0"/>
          <w:sz w:val="36"/>
          <w:szCs w:val="36"/>
          <w:lang w:val="en-US" w:eastAsia="zh-CN"/>
        </w:rPr>
        <w:t>益阳市赫山区桃花仑街道办事处</w:t>
      </w:r>
      <w:r>
        <w:rPr>
          <w:rFonts w:hint="eastAsia" w:ascii="黑体" w:hAnsi="黑体" w:eastAsia="黑体" w:cs="黑体"/>
          <w:b w:val="0"/>
          <w:bCs/>
          <w:color w:val="000000"/>
          <w:kern w:val="0"/>
          <w:sz w:val="36"/>
          <w:szCs w:val="36"/>
        </w:rPr>
        <w:t>2021年度</w:t>
      </w:r>
      <w:r>
        <w:rPr>
          <w:rFonts w:hint="eastAsia" w:ascii="黑体" w:hAnsi="黑体" w:eastAsia="黑体" w:cs="黑体"/>
          <w:b w:val="0"/>
          <w:bCs/>
          <w:color w:val="000000"/>
          <w:kern w:val="0"/>
          <w:sz w:val="36"/>
          <w:szCs w:val="36"/>
          <w:lang w:val="en-US" w:eastAsia="zh-CN"/>
        </w:rPr>
        <w:t>部门</w:t>
      </w:r>
    </w:p>
    <w:p>
      <w:pPr>
        <w:keepNext w:val="0"/>
        <w:keepLines w:val="0"/>
        <w:pageBreakBefore w:val="0"/>
        <w:kinsoku/>
        <w:wordWrap/>
        <w:overflowPunct/>
        <w:topLinePunct w:val="0"/>
        <w:bidi w:val="0"/>
        <w:snapToGrid/>
        <w:spacing w:line="600" w:lineRule="exact"/>
        <w:jc w:val="center"/>
        <w:textAlignment w:val="auto"/>
        <w:rPr>
          <w:rFonts w:hint="eastAsia" w:ascii="黑体" w:hAnsi="黑体" w:eastAsia="黑体" w:cs="黑体"/>
          <w:b w:val="0"/>
          <w:bCs/>
          <w:color w:val="000000"/>
          <w:kern w:val="0"/>
          <w:sz w:val="36"/>
          <w:szCs w:val="36"/>
        </w:rPr>
      </w:pPr>
      <w:r>
        <w:rPr>
          <w:rFonts w:hint="eastAsia" w:ascii="黑体" w:hAnsi="黑体" w:eastAsia="黑体" w:cs="黑体"/>
          <w:b w:val="0"/>
          <w:bCs/>
          <w:color w:val="000000"/>
          <w:kern w:val="0"/>
          <w:sz w:val="36"/>
          <w:szCs w:val="36"/>
        </w:rPr>
        <w:t>整体支出绩效评价报告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Lines="0" w:after="0" w:afterLines="0" w:line="600" w:lineRule="exact"/>
        <w:ind w:left="0" w:right="0" w:firstLine="600" w:firstLineChars="200"/>
        <w:jc w:val="both"/>
        <w:textAlignment w:val="auto"/>
        <w:outlineLvl w:val="9"/>
        <w:rPr>
          <w:rFonts w:hint="eastAsia" w:ascii="仿宋" w:hAnsi="仿宋" w:eastAsia="仿宋" w:cs="仿宋"/>
          <w:snapToGrid/>
          <w:color w:val="auto"/>
          <w:spacing w:val="0"/>
          <w:w w:val="100"/>
          <w:kern w:val="2"/>
          <w:position w:val="0"/>
          <w:sz w:val="30"/>
          <w:szCs w:val="30"/>
          <w:u w:val="none" w:color="auto"/>
          <w:vertAlign w:val="baseline"/>
          <w:lang w:val="en-US" w:eastAsia="zh-CN" w:bidi="ar-SA"/>
        </w:rPr>
      </w:pP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t xml:space="preserve">根据《益阳市赫山区财政局关做好2021年度预算绩效自评工作的通知》等有关文件精神，我单位组织力量对2021年部门预算整体支出进行了绩效评价，现将部门整体支出绩效评价情况报告如下：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Lines="0" w:after="0" w:afterLines="0" w:line="600" w:lineRule="exact"/>
        <w:ind w:left="0" w:right="0" w:firstLine="600" w:firstLineChars="200"/>
        <w:jc w:val="both"/>
        <w:textAlignment w:val="auto"/>
        <w:outlineLvl w:val="9"/>
        <w:rPr>
          <w:rFonts w:hint="eastAsia" w:ascii="黑体" w:hAnsi="黑体" w:eastAsia="黑体" w:cs="黑体"/>
          <w:snapToGrid/>
          <w:color w:val="auto"/>
          <w:spacing w:val="0"/>
          <w:w w:val="100"/>
          <w:kern w:val="2"/>
          <w:position w:val="0"/>
          <w:sz w:val="30"/>
          <w:szCs w:val="30"/>
          <w:u w:val="none" w:color="auto"/>
          <w:vertAlign w:val="baseline"/>
          <w:lang w:val="en-US" w:eastAsia="zh-CN" w:bidi="ar-SA"/>
        </w:rPr>
      </w:pPr>
      <w:r>
        <w:rPr>
          <w:rFonts w:hint="eastAsia" w:ascii="黑体" w:hAnsi="黑体" w:eastAsia="黑体" w:cs="黑体"/>
          <w:snapToGrid/>
          <w:color w:val="auto"/>
          <w:spacing w:val="0"/>
          <w:w w:val="100"/>
          <w:kern w:val="2"/>
          <w:position w:val="0"/>
          <w:sz w:val="30"/>
          <w:szCs w:val="30"/>
          <w:u w:val="none" w:color="auto"/>
          <w:vertAlign w:val="baseline"/>
          <w:lang w:val="en-US" w:eastAsia="zh-CN" w:bidi="ar-SA"/>
        </w:rPr>
        <w:t>一、基本情况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Lines="0" w:after="0" w:afterLines="0" w:line="600" w:lineRule="exact"/>
        <w:ind w:left="0" w:right="0" w:firstLine="602" w:firstLineChars="200"/>
        <w:jc w:val="both"/>
        <w:textAlignment w:val="auto"/>
        <w:outlineLvl w:val="9"/>
        <w:rPr>
          <w:rFonts w:hint="eastAsia" w:ascii="仿宋" w:hAnsi="仿宋" w:eastAsia="仿宋" w:cs="仿宋"/>
          <w:b/>
          <w:bCs/>
          <w:snapToGrid/>
          <w:color w:val="auto"/>
          <w:spacing w:val="0"/>
          <w:w w:val="100"/>
          <w:kern w:val="2"/>
          <w:position w:val="0"/>
          <w:sz w:val="30"/>
          <w:szCs w:val="30"/>
          <w:u w:val="none" w:color="auto"/>
          <w:vertAlign w:val="baseline"/>
          <w:lang w:val="en-US" w:eastAsia="zh-CN" w:bidi="ar-SA"/>
        </w:rPr>
      </w:pPr>
      <w:r>
        <w:rPr>
          <w:rFonts w:hint="eastAsia" w:ascii="仿宋" w:hAnsi="仿宋" w:eastAsia="仿宋" w:cs="仿宋"/>
          <w:b/>
          <w:bCs/>
          <w:snapToGrid/>
          <w:color w:val="auto"/>
          <w:spacing w:val="0"/>
          <w:w w:val="100"/>
          <w:kern w:val="2"/>
          <w:position w:val="0"/>
          <w:sz w:val="30"/>
          <w:szCs w:val="30"/>
          <w:u w:val="none" w:color="auto"/>
          <w:vertAlign w:val="baseline"/>
          <w:lang w:val="en-US" w:eastAsia="zh-CN" w:bidi="ar-SA"/>
        </w:rPr>
        <w:t>（一）部门基本情况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Lines="0" w:after="0" w:afterLines="0" w:line="600" w:lineRule="exact"/>
        <w:ind w:left="0" w:right="0" w:firstLine="600" w:firstLineChars="200"/>
        <w:jc w:val="both"/>
        <w:textAlignment w:val="auto"/>
        <w:outlineLvl w:val="9"/>
        <w:rPr>
          <w:rFonts w:hint="eastAsia" w:ascii="仿宋" w:hAnsi="仿宋" w:eastAsia="仿宋" w:cs="仿宋"/>
          <w:snapToGrid/>
          <w:color w:val="auto"/>
          <w:spacing w:val="0"/>
          <w:w w:val="100"/>
          <w:kern w:val="2"/>
          <w:position w:val="0"/>
          <w:sz w:val="30"/>
          <w:szCs w:val="30"/>
          <w:u w:val="none" w:color="auto"/>
          <w:vertAlign w:val="baseline"/>
          <w:lang w:val="en-US" w:eastAsia="zh-CN" w:bidi="ar-SA"/>
        </w:rPr>
      </w:pP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t>桃花仑街道办事处属区人民政府的派出机关，财务隶属于区级财政；设党政办、党建办、财政所、经济发展办、社会事务办、社会事务综合服务中心、社会治安和应急管理办、自然资源和生态环境办、党群和政府服务中心、退役军人服务站、综合行政执法大队等机构。行政编制数43人，事业编制28人，事业编制中，全额拨款人数19名，自收自支编制9人，2021年12月31日实际在职人员72人。单位主要职责：1.贯彻执行党和国家的路线方针、政策以及市、区关于街道工作方面的指示，制订具体的管理办法并组织实施；2.指导、搞好辖区内居委会的工作；3.负责街道的</w:t>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fldChar w:fldCharType="begin"/>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instrText xml:space="preserve">HYPERLINK "http://baike.sogou.com/lemma/ShowInnerLink.htm?lemmaId=301875"</w:instrText>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fldChar w:fldCharType="separate"/>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t>人民调解</w:t>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fldChar w:fldCharType="end"/>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t>、加强对违法青少年的帮教转化，保护老人、妇女、儿童的合法权益；4.协助有关部门做好辖区</w:t>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fldChar w:fldCharType="begin"/>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instrText xml:space="preserve">HYPERLINK "http://baike.sogou.com/lemma/ShowInnerLink.htm?lemmaId=8324950"</w:instrText>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fldChar w:fldCharType="separate"/>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t>拥军优属</w:t>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fldChar w:fldCharType="end"/>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t>、</w:t>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fldChar w:fldCharType="begin"/>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instrText xml:space="preserve">HYPERLINK "http://baike.sogou.com/lemma/ShowInnerLink.htm?lemmaId=66777445"</w:instrText>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fldChar w:fldCharType="separate"/>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t>优抚安置</w:t>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fldChar w:fldCharType="end"/>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t>、</w:t>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fldChar w:fldCharType="begin"/>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instrText xml:space="preserve">HYPERLINK "http://baike.sogou.com/lemma/ShowInnerLink.htm?lemmaId=374432"</w:instrText>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fldChar w:fldCharType="separate"/>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t>社会救济</w:t>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fldChar w:fldCharType="end"/>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t>、</w:t>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fldChar w:fldCharType="begin"/>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instrText xml:space="preserve">HYPERLINK "http://baike.sogou.com/lemma/ShowInnerLink.htm?lemmaId=9020418"</w:instrText>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fldChar w:fldCharType="separate"/>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t>殡葬改革</w:t>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fldChar w:fldCharType="end"/>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t>、残疾人就业等工作；5.会同有关部门做好辖区内常住和流动人口的管理工作；6.协助武装部门做好辖区</w:t>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fldChar w:fldCharType="begin"/>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instrText xml:space="preserve">HYPERLINK "http://baike.sogou.com/lemma/ShowInnerLink.htm?lemmaId=7602576"</w:instrText>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fldChar w:fldCharType="separate"/>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t>民兵训练</w:t>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fldChar w:fldCharType="end"/>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t>和公民服兵役工作；7.负责在辖区开展</w:t>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fldChar w:fldCharType="begin"/>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instrText xml:space="preserve">HYPERLINK "http://baike.sogou.com/lemma/ShowInnerLink.htm?lemmaId=57077760"</w:instrText>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fldChar w:fldCharType="separate"/>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t>普法教育</w:t>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fldChar w:fldCharType="end"/>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t>工作，做好</w:t>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fldChar w:fldCharType="begin"/>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instrText xml:space="preserve">HYPERLINK "http://baike.sogou.com/lemma/ShowInnerLink.htm?lemmaId=7680267"</w:instrText>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fldChar w:fldCharType="separate"/>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t>民事调解</w:t>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fldChar w:fldCharType="end"/>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t>，开展</w:t>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fldChar w:fldCharType="begin"/>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instrText xml:space="preserve">HYPERLINK "http://baike.sogou.com/lemma/ShowInnerLink.htm?lemmaId=795841"</w:instrText>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fldChar w:fldCharType="separate"/>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t>法律咨询</w:t>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fldChar w:fldCharType="end"/>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t>、服务等工作，维护居民的合法权益，搞好辖区内</w:t>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fldChar w:fldCharType="begin"/>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instrText xml:space="preserve">HYPERLINK "http://baike.sogou.com/lemma/ShowInnerLink.htm?lemmaId=457829"</w:instrText>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fldChar w:fldCharType="separate"/>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t>社会治安综合治理</w:t>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fldChar w:fldCharType="end"/>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t>工作；8.负责辖区的城市管理工作，发动群众开展</w:t>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fldChar w:fldCharType="begin"/>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instrText xml:space="preserve">HYPERLINK "http://baike.sogou.com/lemma/ShowInnerLink.htm?lemmaId=399101"</w:instrText>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fldChar w:fldCharType="separate"/>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t>爱国卫生运动</w:t>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fldChar w:fldCharType="end"/>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t>，绿化、美化、净化</w:t>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fldChar w:fldCharType="begin"/>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instrText xml:space="preserve">HYPERLINK "http://baike.sogou.com/lemma/ShowInnerLink.htm?lemmaId=46351"</w:instrText>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fldChar w:fldCharType="separate"/>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t>城市环境</w:t>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fldChar w:fldCharType="end"/>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t>；9.负责研究辖区经济发展的规划，协助有关部门抓好辖区内的三防、抢险救灾、</w:t>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fldChar w:fldCharType="begin"/>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instrText xml:space="preserve">HYPERLINK "http://baike.sogou.com/lemma/ShowInnerLink.htm?lemmaId=6602079"</w:instrText>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fldChar w:fldCharType="separate"/>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t>安全生产检查</w:t>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fldChar w:fldCharType="end"/>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t>、居民迁移等工作；10.承办赫山区党委、区政府交办的其它事项。</w:t>
      </w:r>
    </w:p>
    <w:p>
      <w:pPr>
        <w:shd w:val="clear" w:color="auto" w:fill="FFFFFF"/>
        <w:wordWrap w:val="0"/>
        <w:spacing w:line="600" w:lineRule="exact"/>
        <w:ind w:firstLine="602" w:firstLineChars="200"/>
        <w:rPr>
          <w:rFonts w:ascii="黑体" w:hAnsi="黑体" w:eastAsia="黑体" w:cs="黑体"/>
          <w:bCs/>
          <w:color w:val="333333"/>
          <w:sz w:val="30"/>
          <w:szCs w:val="30"/>
        </w:rPr>
      </w:pPr>
      <w:r>
        <w:rPr>
          <w:rFonts w:hint="eastAsia" w:ascii="仿宋" w:hAnsi="仿宋" w:eastAsia="仿宋" w:cs="仿宋"/>
          <w:b/>
          <w:bCs/>
          <w:snapToGrid/>
          <w:color w:val="auto"/>
          <w:spacing w:val="0"/>
          <w:w w:val="100"/>
          <w:kern w:val="2"/>
          <w:position w:val="0"/>
          <w:sz w:val="30"/>
          <w:szCs w:val="30"/>
          <w:u w:val="none" w:color="auto"/>
          <w:vertAlign w:val="baseline"/>
          <w:lang w:val="en-US" w:eastAsia="zh-CN" w:bidi="ar-SA"/>
        </w:rPr>
        <w:t>（二）</w:t>
      </w:r>
      <w:r>
        <w:rPr>
          <w:rFonts w:hint="eastAsia" w:ascii="黑体" w:hAnsi="黑体" w:eastAsia="黑体" w:cs="黑体"/>
          <w:bCs/>
          <w:color w:val="333333"/>
          <w:sz w:val="30"/>
          <w:szCs w:val="30"/>
        </w:rPr>
        <w:t>一般公共预算支出情况</w:t>
      </w:r>
    </w:p>
    <w:p>
      <w:pPr>
        <w:shd w:val="clear" w:color="auto" w:fill="FFFFFF"/>
        <w:spacing w:line="600" w:lineRule="exact"/>
        <w:ind w:firstLine="602" w:firstLineChars="200"/>
        <w:jc w:val="left"/>
        <w:rPr>
          <w:rFonts w:ascii="仿宋" w:hAnsi="仿宋" w:eastAsia="仿宋" w:cs="仿宋"/>
          <w:b/>
          <w:color w:val="333333"/>
          <w:sz w:val="30"/>
          <w:szCs w:val="30"/>
          <w:shd w:val="clear" w:color="auto" w:fill="FFFFFF"/>
        </w:rPr>
      </w:pPr>
      <w:r>
        <w:rPr>
          <w:rFonts w:hint="eastAsia" w:ascii="仿宋" w:hAnsi="仿宋" w:eastAsia="仿宋" w:cs="仿宋"/>
          <w:b/>
          <w:color w:val="333333"/>
          <w:sz w:val="30"/>
          <w:szCs w:val="30"/>
          <w:shd w:val="clear" w:color="auto" w:fill="FFFFFF"/>
          <w:lang w:val="en-US" w:eastAsia="zh-CN"/>
        </w:rPr>
        <w:t>1.</w:t>
      </w:r>
      <w:r>
        <w:rPr>
          <w:rFonts w:hint="eastAsia" w:ascii="仿宋" w:hAnsi="仿宋" w:eastAsia="仿宋" w:cs="仿宋"/>
          <w:b/>
          <w:color w:val="333333"/>
          <w:sz w:val="30"/>
          <w:szCs w:val="30"/>
          <w:shd w:val="clear" w:color="auto" w:fill="FFFFFF"/>
        </w:rPr>
        <w:t>基本支出情况</w:t>
      </w:r>
    </w:p>
    <w:p>
      <w:pPr>
        <w:shd w:val="clear" w:color="auto" w:fill="FFFFFF"/>
        <w:spacing w:line="600" w:lineRule="exact"/>
        <w:ind w:firstLine="600" w:firstLineChars="200"/>
        <w:jc w:val="left"/>
        <w:rPr>
          <w:rFonts w:ascii="仿宋" w:hAnsi="仿宋" w:eastAsia="仿宋" w:cs="仿宋"/>
          <w:color w:val="333333"/>
          <w:sz w:val="30"/>
          <w:szCs w:val="30"/>
        </w:rPr>
      </w:pPr>
      <w:r>
        <w:rPr>
          <w:rFonts w:hint="eastAsia" w:ascii="仿宋" w:hAnsi="仿宋" w:eastAsia="仿宋" w:cs="仿宋"/>
          <w:i w:val="0"/>
          <w:caps w:val="0"/>
          <w:color w:val="333333"/>
          <w:spacing w:val="0"/>
          <w:kern w:val="0"/>
          <w:sz w:val="30"/>
          <w:szCs w:val="30"/>
          <w:shd w:val="clear" w:fill="FFFFFF"/>
          <w:lang w:val="en-US" w:eastAsia="zh-CN" w:bidi="ar"/>
        </w:rPr>
        <w:t>基本支出是指为保障单位机构正常运转、完成日常工作任务而发生的各项支出，</w:t>
      </w:r>
      <w:r>
        <w:rPr>
          <w:rFonts w:hint="eastAsia" w:ascii="仿宋" w:hAnsi="仿宋" w:eastAsia="仿宋" w:cs="仿宋"/>
          <w:sz w:val="30"/>
          <w:szCs w:val="30"/>
        </w:rPr>
        <w:t>包括用于基本工资、津贴补贴等人员经费以及办公费、印刷费、水电费、办公设备购置等日常公用经费。2021年</w:t>
      </w:r>
      <w:r>
        <w:rPr>
          <w:rFonts w:hint="eastAsia" w:ascii="仿宋" w:hAnsi="仿宋" w:eastAsia="仿宋" w:cs="仿宋"/>
          <w:sz w:val="30"/>
          <w:szCs w:val="30"/>
          <w:lang w:val="en-US" w:eastAsia="zh-CN"/>
        </w:rPr>
        <w:t>基本</w:t>
      </w:r>
      <w:r>
        <w:rPr>
          <w:rFonts w:hint="eastAsia" w:ascii="仿宋" w:hAnsi="仿宋" w:eastAsia="仿宋" w:cs="仿宋"/>
          <w:sz w:val="30"/>
          <w:szCs w:val="30"/>
        </w:rPr>
        <w:t>支出为</w:t>
      </w:r>
      <w:r>
        <w:rPr>
          <w:rFonts w:hint="eastAsia" w:ascii="仿宋" w:hAnsi="仿宋" w:eastAsia="仿宋" w:cs="仿宋"/>
          <w:color w:val="333333"/>
          <w:sz w:val="30"/>
          <w:szCs w:val="30"/>
          <w:lang w:val="en-US" w:eastAsia="zh-CN"/>
        </w:rPr>
        <w:t>1669.03</w:t>
      </w:r>
      <w:r>
        <w:rPr>
          <w:rFonts w:hint="eastAsia" w:ascii="仿宋" w:hAnsi="仿宋" w:eastAsia="仿宋" w:cs="仿宋"/>
          <w:color w:val="333333"/>
          <w:sz w:val="30"/>
          <w:szCs w:val="30"/>
        </w:rPr>
        <w:t>万元，</w:t>
      </w:r>
      <w:r>
        <w:rPr>
          <w:rFonts w:hint="eastAsia" w:ascii="仿宋" w:hAnsi="仿宋" w:eastAsia="仿宋" w:cs="仿宋"/>
          <w:color w:val="333333"/>
          <w:sz w:val="30"/>
          <w:szCs w:val="30"/>
          <w:lang w:val="en-US" w:eastAsia="zh-CN"/>
        </w:rPr>
        <w:t>较上年</w:t>
      </w:r>
      <w:r>
        <w:rPr>
          <w:rFonts w:hint="eastAsia" w:ascii="仿宋" w:hAnsi="仿宋" w:eastAsia="仿宋" w:cs="仿宋"/>
          <w:color w:val="333333"/>
          <w:sz w:val="30"/>
          <w:szCs w:val="30"/>
        </w:rPr>
        <w:t>一般公共预算基本支出</w:t>
      </w:r>
      <w:r>
        <w:rPr>
          <w:rFonts w:hint="eastAsia" w:ascii="仿宋" w:hAnsi="仿宋" w:eastAsia="仿宋" w:cs="仿宋"/>
          <w:color w:val="333333"/>
          <w:sz w:val="30"/>
          <w:szCs w:val="30"/>
          <w:highlight w:val="none"/>
          <w:lang w:val="en-US" w:eastAsia="zh-CN"/>
        </w:rPr>
        <w:t>1180.53</w:t>
      </w:r>
      <w:r>
        <w:rPr>
          <w:rFonts w:hint="eastAsia" w:ascii="仿宋" w:hAnsi="仿宋" w:eastAsia="仿宋" w:cs="仿宋"/>
          <w:color w:val="333333"/>
          <w:sz w:val="30"/>
          <w:szCs w:val="30"/>
        </w:rPr>
        <w:t>万元，</w:t>
      </w:r>
      <w:r>
        <w:rPr>
          <w:rFonts w:hint="eastAsia" w:ascii="仿宋" w:hAnsi="仿宋" w:eastAsia="仿宋" w:cs="仿宋"/>
          <w:color w:val="333333"/>
          <w:sz w:val="30"/>
          <w:szCs w:val="30"/>
          <w:lang w:val="en-US" w:eastAsia="zh-CN"/>
        </w:rPr>
        <w:t>增加488.5万元，</w:t>
      </w:r>
      <w:r>
        <w:rPr>
          <w:rFonts w:hint="eastAsia" w:ascii="仿宋" w:hAnsi="仿宋" w:eastAsia="仿宋" w:cs="仿宋"/>
          <w:color w:val="333333"/>
          <w:sz w:val="30"/>
          <w:szCs w:val="30"/>
        </w:rPr>
        <w:t>增加</w:t>
      </w:r>
      <w:r>
        <w:rPr>
          <w:rFonts w:hint="eastAsia" w:ascii="仿宋" w:hAnsi="仿宋" w:eastAsia="仿宋" w:cs="仿宋"/>
          <w:color w:val="333333"/>
          <w:sz w:val="30"/>
          <w:szCs w:val="30"/>
          <w:lang w:val="en-US" w:eastAsia="zh-CN"/>
        </w:rPr>
        <w:t>41.38</w:t>
      </w:r>
      <w:r>
        <w:rPr>
          <w:rFonts w:hint="eastAsia" w:ascii="仿宋" w:hAnsi="仿宋" w:eastAsia="仿宋" w:cs="仿宋"/>
          <w:color w:val="333333"/>
          <w:sz w:val="30"/>
          <w:szCs w:val="30"/>
        </w:rPr>
        <w:t>%，</w:t>
      </w:r>
      <w:r>
        <w:rPr>
          <w:rFonts w:hint="eastAsia" w:ascii="仿宋" w:hAnsi="仿宋" w:eastAsia="仿宋" w:cs="仿宋"/>
          <w:color w:val="333333"/>
          <w:sz w:val="30"/>
          <w:szCs w:val="30"/>
          <w:lang w:eastAsia="zh-CN"/>
        </w:rPr>
        <w:t>主要原因是机关维修改造、垃圾分类、及创文固卫导致的支出增加</w:t>
      </w:r>
      <w:r>
        <w:rPr>
          <w:rFonts w:hint="eastAsia" w:ascii="仿宋" w:hAnsi="仿宋" w:eastAsia="仿宋" w:cs="仿宋"/>
          <w:color w:val="333333"/>
          <w:sz w:val="30"/>
          <w:szCs w:val="30"/>
          <w:lang w:val="en-US" w:eastAsia="zh-CN"/>
        </w:rPr>
        <w:t>，</w:t>
      </w:r>
      <w:r>
        <w:rPr>
          <w:rFonts w:hint="eastAsia" w:ascii="仿宋" w:hAnsi="仿宋" w:eastAsia="仿宋" w:cs="仿宋"/>
          <w:color w:val="333333"/>
          <w:sz w:val="30"/>
          <w:szCs w:val="30"/>
        </w:rPr>
        <w:t>其中人员经费</w:t>
      </w:r>
      <w:r>
        <w:rPr>
          <w:rFonts w:hint="eastAsia" w:ascii="仿宋" w:hAnsi="仿宋" w:eastAsia="仿宋" w:cs="仿宋"/>
          <w:color w:val="333333"/>
          <w:sz w:val="30"/>
          <w:szCs w:val="30"/>
          <w:lang w:val="en-US" w:eastAsia="zh-CN"/>
        </w:rPr>
        <w:t>855.54</w:t>
      </w:r>
      <w:r>
        <w:rPr>
          <w:rFonts w:hint="eastAsia" w:ascii="仿宋" w:hAnsi="仿宋" w:eastAsia="仿宋" w:cs="仿宋"/>
          <w:color w:val="333333"/>
          <w:sz w:val="30"/>
          <w:szCs w:val="30"/>
        </w:rPr>
        <w:t>万元，占比</w:t>
      </w:r>
      <w:r>
        <w:rPr>
          <w:rFonts w:hint="eastAsia" w:ascii="仿宋" w:hAnsi="仿宋" w:eastAsia="仿宋" w:cs="仿宋"/>
          <w:color w:val="333333"/>
          <w:sz w:val="30"/>
          <w:szCs w:val="30"/>
          <w:lang w:val="en-US" w:eastAsia="zh-CN"/>
        </w:rPr>
        <w:t>51.26</w:t>
      </w:r>
      <w:r>
        <w:rPr>
          <w:rFonts w:hint="eastAsia" w:ascii="仿宋" w:hAnsi="仿宋" w:eastAsia="仿宋" w:cs="仿宋"/>
          <w:color w:val="333333"/>
          <w:sz w:val="30"/>
          <w:szCs w:val="30"/>
        </w:rPr>
        <w:t>%；公用经费</w:t>
      </w:r>
      <w:r>
        <w:rPr>
          <w:rFonts w:hint="eastAsia" w:ascii="仿宋" w:hAnsi="仿宋" w:eastAsia="仿宋" w:cs="仿宋"/>
          <w:color w:val="333333"/>
          <w:sz w:val="30"/>
          <w:szCs w:val="30"/>
          <w:lang w:val="en-US" w:eastAsia="zh-CN"/>
        </w:rPr>
        <w:t>813.49</w:t>
      </w:r>
      <w:r>
        <w:rPr>
          <w:rFonts w:hint="eastAsia" w:ascii="仿宋" w:hAnsi="仿宋" w:eastAsia="仿宋" w:cs="仿宋"/>
          <w:color w:val="333333"/>
          <w:sz w:val="30"/>
          <w:szCs w:val="30"/>
        </w:rPr>
        <w:t>万元，占比</w:t>
      </w:r>
      <w:r>
        <w:rPr>
          <w:rFonts w:hint="eastAsia" w:ascii="仿宋" w:hAnsi="仿宋" w:eastAsia="仿宋" w:cs="仿宋"/>
          <w:color w:val="333333"/>
          <w:sz w:val="30"/>
          <w:szCs w:val="30"/>
          <w:lang w:val="en-US" w:eastAsia="zh-CN"/>
        </w:rPr>
        <w:t>48.74</w:t>
      </w:r>
      <w:r>
        <w:rPr>
          <w:rFonts w:hint="eastAsia" w:ascii="仿宋" w:hAnsi="仿宋" w:eastAsia="仿宋" w:cs="仿宋"/>
          <w:color w:val="333333"/>
          <w:sz w:val="30"/>
          <w:szCs w:val="30"/>
        </w:rPr>
        <w:t>%。 </w:t>
      </w:r>
    </w:p>
    <w:p>
      <w:pPr>
        <w:shd w:val="clear" w:color="auto" w:fill="FFFFFF"/>
        <w:spacing w:line="600" w:lineRule="exact"/>
        <w:ind w:firstLine="602" w:firstLineChars="200"/>
        <w:jc w:val="left"/>
        <w:rPr>
          <w:rFonts w:ascii="仿宋" w:hAnsi="仿宋" w:eastAsia="仿宋" w:cs="仿宋"/>
          <w:b/>
          <w:color w:val="333333"/>
          <w:sz w:val="30"/>
          <w:szCs w:val="30"/>
          <w:shd w:val="clear" w:color="auto" w:fill="FFFFFF"/>
        </w:rPr>
      </w:pPr>
      <w:r>
        <w:rPr>
          <w:rFonts w:hint="eastAsia" w:ascii="仿宋" w:hAnsi="仿宋" w:eastAsia="仿宋" w:cs="仿宋"/>
          <w:b/>
          <w:color w:val="333333"/>
          <w:sz w:val="30"/>
          <w:szCs w:val="30"/>
          <w:shd w:val="clear" w:color="auto" w:fill="FFFFFF"/>
          <w:lang w:val="en-US" w:eastAsia="zh-CN"/>
        </w:rPr>
        <w:t>2.</w:t>
      </w:r>
      <w:r>
        <w:rPr>
          <w:rFonts w:hint="eastAsia" w:ascii="仿宋" w:hAnsi="仿宋" w:eastAsia="仿宋" w:cs="仿宋"/>
          <w:b/>
          <w:color w:val="333333"/>
          <w:sz w:val="30"/>
          <w:szCs w:val="30"/>
          <w:shd w:val="clear" w:color="auto" w:fill="FFFFFF"/>
        </w:rPr>
        <w:t>项目支出情况</w:t>
      </w:r>
    </w:p>
    <w:p>
      <w:pPr>
        <w:shd w:val="clear" w:color="auto" w:fill="FFFFFF"/>
        <w:spacing w:line="600" w:lineRule="exact"/>
        <w:ind w:firstLine="600" w:firstLineChars="200"/>
        <w:jc w:val="left"/>
        <w:rPr>
          <w:rFonts w:hint="eastAsia" w:ascii="仿宋" w:hAnsi="仿宋" w:eastAsia="仿宋" w:cs="仿宋"/>
          <w:snapToGrid/>
          <w:color w:val="auto"/>
          <w:spacing w:val="0"/>
          <w:w w:val="100"/>
          <w:kern w:val="2"/>
          <w:position w:val="0"/>
          <w:sz w:val="30"/>
          <w:szCs w:val="30"/>
          <w:u w:val="none" w:color="auto"/>
          <w:vertAlign w:val="baseline"/>
          <w:lang w:val="en-US" w:eastAsia="zh-CN" w:bidi="ar-SA"/>
        </w:rPr>
      </w:pPr>
      <w:r>
        <w:rPr>
          <w:rFonts w:hint="eastAsia" w:ascii="仿宋" w:hAnsi="仿宋" w:eastAsia="仿宋" w:cs="仿宋"/>
          <w:i w:val="0"/>
          <w:caps w:val="0"/>
          <w:color w:val="333333"/>
          <w:spacing w:val="0"/>
          <w:kern w:val="0"/>
          <w:sz w:val="30"/>
          <w:szCs w:val="30"/>
          <w:shd w:val="clear" w:fill="FFFFFF"/>
          <w:lang w:val="en-US" w:eastAsia="zh-CN" w:bidi="ar"/>
        </w:rPr>
        <w:t>项目支出是指单位为完成特定行政工作任务或事业发展目标而发生的支出。2021年项目支出</w:t>
      </w:r>
      <w:r>
        <w:rPr>
          <w:rFonts w:hint="eastAsia" w:ascii="仿宋" w:hAnsi="仿宋" w:eastAsia="仿宋" w:cs="仿宋"/>
          <w:color w:val="333333"/>
          <w:sz w:val="30"/>
          <w:szCs w:val="30"/>
          <w:lang w:val="en-US" w:eastAsia="zh-CN"/>
        </w:rPr>
        <w:t>239</w:t>
      </w:r>
      <w:r>
        <w:rPr>
          <w:rFonts w:hint="eastAsia" w:ascii="仿宋" w:hAnsi="仿宋" w:eastAsia="仿宋" w:cs="仿宋"/>
          <w:color w:val="333333"/>
          <w:sz w:val="30"/>
          <w:szCs w:val="30"/>
        </w:rPr>
        <w:t>万元，</w:t>
      </w:r>
      <w:r>
        <w:rPr>
          <w:rFonts w:hint="eastAsia" w:ascii="仿宋" w:hAnsi="仿宋" w:eastAsia="仿宋" w:cs="仿宋"/>
          <w:color w:val="333333"/>
          <w:sz w:val="30"/>
          <w:szCs w:val="30"/>
          <w:lang w:val="en-US" w:eastAsia="zh-CN"/>
        </w:rPr>
        <w:t>较上年</w:t>
      </w:r>
      <w:r>
        <w:rPr>
          <w:rFonts w:hint="eastAsia" w:ascii="仿宋" w:hAnsi="仿宋" w:eastAsia="仿宋" w:cs="仿宋"/>
          <w:color w:val="333333"/>
          <w:sz w:val="30"/>
          <w:szCs w:val="30"/>
        </w:rPr>
        <w:t>一般公共预算项目支出</w:t>
      </w:r>
      <w:r>
        <w:rPr>
          <w:rFonts w:hint="eastAsia" w:ascii="仿宋" w:hAnsi="仿宋" w:eastAsia="仿宋" w:cs="仿宋"/>
          <w:color w:val="333333"/>
          <w:sz w:val="30"/>
          <w:szCs w:val="30"/>
          <w:lang w:val="en-US" w:eastAsia="zh-CN"/>
        </w:rPr>
        <w:t>144.39</w:t>
      </w:r>
      <w:r>
        <w:rPr>
          <w:rFonts w:hint="eastAsia" w:ascii="仿宋" w:hAnsi="仿宋" w:eastAsia="仿宋" w:cs="仿宋"/>
          <w:color w:val="333333"/>
          <w:sz w:val="30"/>
          <w:szCs w:val="30"/>
        </w:rPr>
        <w:t>万元</w:t>
      </w:r>
      <w:r>
        <w:rPr>
          <w:rFonts w:hint="eastAsia" w:ascii="仿宋" w:hAnsi="仿宋" w:eastAsia="仿宋" w:cs="仿宋"/>
          <w:color w:val="333333"/>
          <w:sz w:val="30"/>
          <w:szCs w:val="30"/>
          <w:lang w:eastAsia="zh-CN"/>
        </w:rPr>
        <w:t>，</w:t>
      </w:r>
      <w:r>
        <w:rPr>
          <w:rFonts w:hint="eastAsia" w:ascii="仿宋" w:hAnsi="仿宋" w:eastAsia="仿宋" w:cs="仿宋"/>
          <w:color w:val="333333"/>
          <w:sz w:val="30"/>
          <w:szCs w:val="30"/>
          <w:lang w:val="en-US" w:eastAsia="zh-CN"/>
        </w:rPr>
        <w:t>增加94.61万元，</w:t>
      </w:r>
      <w:r>
        <w:rPr>
          <w:rFonts w:hint="eastAsia" w:ascii="仿宋" w:hAnsi="仿宋" w:eastAsia="仿宋" w:cs="仿宋"/>
          <w:color w:val="333333"/>
          <w:sz w:val="30"/>
          <w:szCs w:val="30"/>
          <w:lang w:eastAsia="zh-CN"/>
        </w:rPr>
        <w:t>增长</w:t>
      </w:r>
      <w:r>
        <w:rPr>
          <w:rFonts w:hint="eastAsia" w:ascii="仿宋" w:hAnsi="仿宋" w:eastAsia="仿宋" w:cs="仿宋"/>
          <w:color w:val="333333"/>
          <w:sz w:val="30"/>
          <w:szCs w:val="30"/>
          <w:lang w:val="en-US" w:eastAsia="zh-CN"/>
        </w:rPr>
        <w:t>65.52</w:t>
      </w:r>
      <w:r>
        <w:rPr>
          <w:rFonts w:hint="eastAsia" w:ascii="仿宋" w:hAnsi="仿宋" w:eastAsia="仿宋" w:cs="仿宋"/>
          <w:color w:val="333333"/>
          <w:sz w:val="30"/>
          <w:szCs w:val="30"/>
        </w:rPr>
        <w:t>%，</w:t>
      </w:r>
      <w:r>
        <w:rPr>
          <w:rFonts w:hint="eastAsia" w:ascii="仿宋" w:hAnsi="仿宋" w:eastAsia="仿宋" w:cs="仿宋"/>
          <w:color w:val="333333"/>
          <w:sz w:val="30"/>
          <w:szCs w:val="30"/>
          <w:lang w:eastAsia="zh-CN"/>
        </w:rPr>
        <w:t>增加</w:t>
      </w:r>
      <w:r>
        <w:rPr>
          <w:rFonts w:hint="eastAsia" w:ascii="仿宋" w:hAnsi="仿宋" w:eastAsia="仿宋" w:cs="仿宋"/>
          <w:color w:val="333333"/>
          <w:sz w:val="30"/>
          <w:szCs w:val="30"/>
        </w:rPr>
        <w:t>的主要原因是</w:t>
      </w: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t>新型冠状病毒感染肺炎疫情防控资金支出</w:t>
      </w:r>
      <w:r>
        <w:rPr>
          <w:rFonts w:hint="eastAsia" w:ascii="仿宋" w:hAnsi="仿宋" w:eastAsia="仿宋" w:cs="仿宋"/>
          <w:color w:val="333333"/>
          <w:sz w:val="30"/>
          <w:szCs w:val="30"/>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Lines="0" w:after="0" w:afterLines="0" w:line="600" w:lineRule="exact"/>
        <w:ind w:left="0" w:right="0" w:firstLine="602" w:firstLineChars="200"/>
        <w:jc w:val="both"/>
        <w:textAlignment w:val="auto"/>
        <w:outlineLvl w:val="9"/>
        <w:rPr>
          <w:rFonts w:hint="eastAsia" w:ascii="仿宋" w:hAnsi="仿宋" w:eastAsia="仿宋" w:cs="仿宋"/>
          <w:b/>
          <w:bCs/>
          <w:snapToGrid/>
          <w:color w:val="auto"/>
          <w:spacing w:val="0"/>
          <w:w w:val="100"/>
          <w:kern w:val="2"/>
          <w:position w:val="0"/>
          <w:sz w:val="30"/>
          <w:szCs w:val="30"/>
          <w:u w:val="none" w:color="auto"/>
          <w:vertAlign w:val="baseline"/>
          <w:lang w:val="en-US" w:eastAsia="zh-CN" w:bidi="ar-SA"/>
        </w:rPr>
      </w:pPr>
      <w:r>
        <w:rPr>
          <w:rFonts w:hint="eastAsia" w:ascii="仿宋" w:hAnsi="仿宋" w:eastAsia="仿宋" w:cs="仿宋"/>
          <w:b/>
          <w:bCs/>
          <w:snapToGrid/>
          <w:color w:val="auto"/>
          <w:spacing w:val="0"/>
          <w:w w:val="100"/>
          <w:kern w:val="2"/>
          <w:position w:val="0"/>
          <w:sz w:val="30"/>
          <w:szCs w:val="30"/>
          <w:u w:val="none" w:color="auto"/>
          <w:vertAlign w:val="baseline"/>
          <w:lang w:val="en-US" w:eastAsia="zh-CN" w:bidi="ar-SA"/>
        </w:rPr>
        <w:t>（三）部门整体支出绩效目标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Lines="0" w:after="0" w:afterLines="0" w:line="600" w:lineRule="exact"/>
        <w:ind w:left="0" w:right="0" w:firstLine="600" w:firstLineChars="200"/>
        <w:jc w:val="both"/>
        <w:textAlignment w:val="auto"/>
        <w:outlineLvl w:val="9"/>
        <w:rPr>
          <w:rFonts w:hint="eastAsia" w:ascii="仿宋" w:hAnsi="仿宋" w:eastAsia="仿宋" w:cs="仿宋"/>
          <w:snapToGrid/>
          <w:color w:val="auto"/>
          <w:spacing w:val="0"/>
          <w:w w:val="100"/>
          <w:kern w:val="2"/>
          <w:position w:val="0"/>
          <w:sz w:val="30"/>
          <w:szCs w:val="30"/>
          <w:u w:val="none" w:color="auto"/>
          <w:vertAlign w:val="baseline"/>
          <w:lang w:val="en-US" w:eastAsia="zh-CN" w:bidi="ar-SA"/>
        </w:rPr>
      </w:pP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t>1.2021年重点工作计划。一是大力发展街道的经济建设工作，提高服务能力；二是抓好三农工作以及惠民“一卡通”工作的实施；三是协助好市、区两级重点工程项目建设工作；四是做好辖区内的民政优抚、社会治安综合治理等工作；五是抓实辖区的社会主义精神文明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Lines="0" w:after="0" w:afterLines="0" w:line="600" w:lineRule="exact"/>
        <w:ind w:left="0" w:right="0" w:firstLine="600" w:firstLineChars="200"/>
        <w:jc w:val="both"/>
        <w:textAlignment w:val="auto"/>
        <w:outlineLvl w:val="9"/>
        <w:rPr>
          <w:rFonts w:hint="eastAsia" w:ascii="仿宋" w:hAnsi="仿宋" w:eastAsia="仿宋" w:cs="仿宋"/>
          <w:snapToGrid/>
          <w:color w:val="auto"/>
          <w:spacing w:val="0"/>
          <w:w w:val="100"/>
          <w:kern w:val="2"/>
          <w:position w:val="0"/>
          <w:sz w:val="30"/>
          <w:szCs w:val="30"/>
          <w:u w:val="none" w:color="auto"/>
          <w:vertAlign w:val="baseline"/>
          <w:lang w:val="en-US" w:eastAsia="zh-CN" w:bidi="ar-SA"/>
        </w:rPr>
      </w:pP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t>2.预决算公开：2021年，按照区委、区政府和区财政局的要求，我单位2021年预决算在中国·赫山网站上进行了预决算公开。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Lines="0" w:after="0" w:afterLines="0" w:line="600" w:lineRule="exact"/>
        <w:ind w:left="0" w:right="0" w:firstLine="600" w:firstLineChars="200"/>
        <w:jc w:val="both"/>
        <w:textAlignment w:val="auto"/>
        <w:outlineLvl w:val="9"/>
        <w:rPr>
          <w:rFonts w:hint="eastAsia" w:ascii="仿宋" w:hAnsi="仿宋" w:eastAsia="仿宋" w:cs="仿宋"/>
          <w:snapToGrid/>
          <w:color w:val="auto"/>
          <w:spacing w:val="0"/>
          <w:w w:val="100"/>
          <w:kern w:val="2"/>
          <w:position w:val="0"/>
          <w:sz w:val="30"/>
          <w:szCs w:val="30"/>
          <w:u w:val="none" w:color="auto"/>
          <w:vertAlign w:val="baseline"/>
          <w:lang w:val="en-US" w:eastAsia="zh-CN" w:bidi="ar-SA"/>
        </w:rPr>
      </w:pP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t>3.资产管理：为进一步加强国有资产管理，我单位制定了《赫山区桃花仑街道固定资产管理制度》，明确了具体责任人，完善了固定资产档案，严格报批、销审等手续，做好资产统计工作，单位无任何资产流失现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Lines="0" w:after="0" w:afterLines="0" w:line="600" w:lineRule="exact"/>
        <w:ind w:left="0" w:right="0" w:firstLine="600" w:firstLineChars="200"/>
        <w:jc w:val="both"/>
        <w:textAlignment w:val="auto"/>
        <w:outlineLvl w:val="9"/>
        <w:rPr>
          <w:rFonts w:hint="eastAsia" w:ascii="仿宋" w:hAnsi="仿宋" w:eastAsia="仿宋" w:cs="仿宋"/>
          <w:snapToGrid/>
          <w:color w:val="auto"/>
          <w:spacing w:val="0"/>
          <w:w w:val="100"/>
          <w:kern w:val="2"/>
          <w:position w:val="0"/>
          <w:sz w:val="30"/>
          <w:szCs w:val="30"/>
          <w:u w:val="none" w:color="auto"/>
          <w:vertAlign w:val="baseline"/>
          <w:lang w:val="en-US" w:eastAsia="zh-CN" w:bidi="ar-SA"/>
        </w:rPr>
      </w:pP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t>4.“三公经费”控制情况：严格贯彻落实上级有关文件精神，厉行节约、反对浪费，严格审批程序，做到了事前、事中、事后监督，取得了良好效果。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Lines="0" w:after="0" w:afterLines="0" w:line="600" w:lineRule="exact"/>
        <w:ind w:left="0" w:right="0" w:firstLine="600" w:firstLineChars="200"/>
        <w:jc w:val="both"/>
        <w:textAlignment w:val="auto"/>
        <w:outlineLvl w:val="9"/>
        <w:rPr>
          <w:rFonts w:hint="eastAsia" w:ascii="黑体" w:hAnsi="黑体" w:eastAsia="黑体" w:cs="黑体"/>
          <w:snapToGrid/>
          <w:color w:val="auto"/>
          <w:spacing w:val="0"/>
          <w:w w:val="100"/>
          <w:kern w:val="2"/>
          <w:position w:val="0"/>
          <w:sz w:val="30"/>
          <w:szCs w:val="30"/>
          <w:u w:val="none" w:color="auto"/>
          <w:vertAlign w:val="baseline"/>
          <w:lang w:val="en-US" w:eastAsia="zh-CN" w:bidi="ar-SA"/>
        </w:rPr>
      </w:pPr>
      <w:r>
        <w:rPr>
          <w:rFonts w:hint="eastAsia" w:ascii="黑体" w:hAnsi="黑体" w:eastAsia="黑体" w:cs="黑体"/>
          <w:snapToGrid/>
          <w:color w:val="auto"/>
          <w:spacing w:val="0"/>
          <w:w w:val="100"/>
          <w:kern w:val="2"/>
          <w:position w:val="0"/>
          <w:sz w:val="30"/>
          <w:szCs w:val="30"/>
          <w:u w:val="none" w:color="auto"/>
          <w:vertAlign w:val="baseline"/>
          <w:lang w:val="en-US" w:eastAsia="zh-CN" w:bidi="ar-SA"/>
        </w:rPr>
        <w:t>二、绩效评价工作情况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Lines="0" w:after="0" w:afterLines="0" w:line="600" w:lineRule="exact"/>
        <w:ind w:left="0" w:right="0" w:firstLine="602" w:firstLineChars="200"/>
        <w:jc w:val="both"/>
        <w:textAlignment w:val="auto"/>
        <w:outlineLvl w:val="9"/>
        <w:rPr>
          <w:rFonts w:hint="eastAsia" w:ascii="仿宋" w:hAnsi="仿宋" w:eastAsia="仿宋" w:cs="仿宋"/>
          <w:b/>
          <w:bCs/>
          <w:snapToGrid/>
          <w:color w:val="auto"/>
          <w:spacing w:val="0"/>
          <w:w w:val="100"/>
          <w:kern w:val="2"/>
          <w:position w:val="0"/>
          <w:sz w:val="30"/>
          <w:szCs w:val="30"/>
          <w:u w:val="none" w:color="auto"/>
          <w:vertAlign w:val="baseline"/>
          <w:lang w:val="en-US" w:eastAsia="zh-CN" w:bidi="ar-SA"/>
        </w:rPr>
      </w:pPr>
      <w:r>
        <w:rPr>
          <w:rFonts w:hint="eastAsia" w:ascii="仿宋" w:hAnsi="仿宋" w:eastAsia="仿宋" w:cs="仿宋"/>
          <w:b/>
          <w:bCs/>
          <w:snapToGrid/>
          <w:color w:val="auto"/>
          <w:spacing w:val="0"/>
          <w:w w:val="100"/>
          <w:kern w:val="2"/>
          <w:position w:val="0"/>
          <w:sz w:val="30"/>
          <w:szCs w:val="30"/>
          <w:u w:val="none" w:color="auto"/>
          <w:vertAlign w:val="baseline"/>
          <w:lang w:val="en-US" w:eastAsia="zh-CN" w:bidi="ar-SA"/>
        </w:rPr>
        <w:t>（一）绩效评价目的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Lines="0" w:after="0" w:afterLines="0" w:line="600" w:lineRule="exact"/>
        <w:ind w:left="0" w:right="0" w:firstLine="600" w:firstLineChars="200"/>
        <w:jc w:val="both"/>
        <w:textAlignment w:val="auto"/>
        <w:outlineLvl w:val="9"/>
        <w:rPr>
          <w:rFonts w:hint="eastAsia" w:ascii="仿宋" w:hAnsi="仿宋" w:eastAsia="仿宋" w:cs="仿宋"/>
          <w:snapToGrid/>
          <w:color w:val="auto"/>
          <w:spacing w:val="0"/>
          <w:w w:val="100"/>
          <w:kern w:val="2"/>
          <w:position w:val="0"/>
          <w:sz w:val="30"/>
          <w:szCs w:val="30"/>
          <w:u w:val="none" w:color="auto"/>
          <w:vertAlign w:val="baseline"/>
          <w:lang w:val="en-US" w:eastAsia="zh-CN" w:bidi="ar-SA"/>
        </w:rPr>
      </w:pP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t>此次绩效评价的目的是：严格落实《预算法》及省、市绩效管理工作的有关规定，进一步规范财政资金的管理，强化财政支出绩效理念，提升部门责任意识，提高资金使用效益。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Lines="0" w:after="0" w:afterLines="0" w:line="600" w:lineRule="exact"/>
        <w:ind w:left="0" w:right="0" w:firstLine="602" w:firstLineChars="200"/>
        <w:jc w:val="both"/>
        <w:textAlignment w:val="auto"/>
        <w:outlineLvl w:val="9"/>
        <w:rPr>
          <w:rFonts w:hint="eastAsia" w:ascii="仿宋" w:hAnsi="仿宋" w:eastAsia="仿宋" w:cs="仿宋"/>
          <w:b/>
          <w:bCs/>
          <w:snapToGrid/>
          <w:color w:val="auto"/>
          <w:spacing w:val="0"/>
          <w:w w:val="100"/>
          <w:kern w:val="2"/>
          <w:position w:val="0"/>
          <w:sz w:val="30"/>
          <w:szCs w:val="30"/>
          <w:u w:val="none" w:color="auto"/>
          <w:vertAlign w:val="baseline"/>
          <w:lang w:val="en-US" w:eastAsia="zh-CN" w:bidi="ar-SA"/>
        </w:rPr>
      </w:pPr>
      <w:r>
        <w:rPr>
          <w:rFonts w:hint="eastAsia" w:ascii="仿宋" w:hAnsi="仿宋" w:eastAsia="仿宋" w:cs="仿宋"/>
          <w:b/>
          <w:bCs/>
          <w:snapToGrid/>
          <w:color w:val="auto"/>
          <w:spacing w:val="0"/>
          <w:w w:val="100"/>
          <w:kern w:val="2"/>
          <w:position w:val="0"/>
          <w:sz w:val="30"/>
          <w:szCs w:val="30"/>
          <w:u w:val="none" w:color="auto"/>
          <w:vertAlign w:val="baseline"/>
          <w:lang w:val="en-US" w:eastAsia="zh-CN" w:bidi="ar-SA"/>
        </w:rPr>
        <w:t>（二）绩效评价实施过程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Lines="0" w:after="0" w:afterLines="0" w:line="600" w:lineRule="exact"/>
        <w:ind w:left="0" w:right="0" w:firstLine="600" w:firstLineChars="200"/>
        <w:jc w:val="both"/>
        <w:textAlignment w:val="auto"/>
        <w:outlineLvl w:val="9"/>
        <w:rPr>
          <w:rFonts w:hint="eastAsia" w:ascii="仿宋" w:hAnsi="仿宋" w:eastAsia="仿宋" w:cs="仿宋"/>
          <w:snapToGrid/>
          <w:color w:val="auto"/>
          <w:spacing w:val="0"/>
          <w:w w:val="100"/>
          <w:kern w:val="2"/>
          <w:position w:val="0"/>
          <w:sz w:val="30"/>
          <w:szCs w:val="30"/>
          <w:u w:val="none" w:color="auto"/>
          <w:vertAlign w:val="baseline"/>
          <w:lang w:val="en-US" w:eastAsia="zh-CN" w:bidi="ar-SA"/>
        </w:rPr>
      </w:pP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t>根据《益阳市赫山区财政局关做好2021年度预算绩效自评工作的通知》等相关文件要求，办事处成立了自评工作领导小组，对照自评方案进行研究和布署，按照自评方案的要求，对照各实施项目的内容逐条逐项自评。在自评过程发现问题，查找原因，及时纠正偏差，为下一步工作夯实基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Lines="0" w:after="0" w:afterLines="0" w:line="600" w:lineRule="exact"/>
        <w:ind w:left="0" w:right="0" w:firstLine="600" w:firstLineChars="200"/>
        <w:jc w:val="both"/>
        <w:textAlignment w:val="auto"/>
        <w:outlineLvl w:val="9"/>
        <w:rPr>
          <w:rFonts w:hint="eastAsia" w:ascii="黑体" w:hAnsi="黑体" w:eastAsia="黑体" w:cs="黑体"/>
          <w:snapToGrid/>
          <w:color w:val="auto"/>
          <w:spacing w:val="0"/>
          <w:w w:val="100"/>
          <w:kern w:val="2"/>
          <w:position w:val="0"/>
          <w:sz w:val="30"/>
          <w:szCs w:val="30"/>
          <w:u w:val="none" w:color="auto"/>
          <w:vertAlign w:val="baseline"/>
          <w:lang w:val="en-US" w:eastAsia="zh-CN" w:bidi="ar-SA"/>
        </w:rPr>
      </w:pPr>
      <w:r>
        <w:rPr>
          <w:rFonts w:hint="eastAsia" w:ascii="黑体" w:hAnsi="黑体" w:eastAsia="黑体" w:cs="黑体"/>
          <w:snapToGrid/>
          <w:color w:val="auto"/>
          <w:spacing w:val="0"/>
          <w:w w:val="100"/>
          <w:kern w:val="2"/>
          <w:position w:val="0"/>
          <w:sz w:val="30"/>
          <w:szCs w:val="30"/>
          <w:u w:val="none" w:color="auto"/>
          <w:vertAlign w:val="baseline"/>
          <w:lang w:val="en-US" w:eastAsia="zh-CN" w:bidi="ar-SA"/>
        </w:rPr>
        <w:t>三、主要绩效及评价结论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Lines="0" w:after="0" w:afterLines="0" w:line="600" w:lineRule="exact"/>
        <w:ind w:left="0" w:right="0" w:firstLine="600" w:firstLineChars="200"/>
        <w:jc w:val="both"/>
        <w:textAlignment w:val="auto"/>
        <w:outlineLvl w:val="9"/>
        <w:rPr>
          <w:rFonts w:hint="eastAsia" w:ascii="仿宋" w:hAnsi="仿宋" w:eastAsia="仿宋" w:cs="仿宋"/>
          <w:snapToGrid/>
          <w:color w:val="auto"/>
          <w:spacing w:val="0"/>
          <w:w w:val="100"/>
          <w:kern w:val="2"/>
          <w:position w:val="0"/>
          <w:sz w:val="30"/>
          <w:szCs w:val="30"/>
          <w:u w:val="none" w:color="auto"/>
          <w:vertAlign w:val="baseline"/>
          <w:lang w:val="en-US" w:eastAsia="zh-CN" w:bidi="ar-SA"/>
        </w:rPr>
      </w:pP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t>通过加强预算收支的管理，不断建立健全内部管理制度，理顺内部管理流程，部门整体支出管理情况得到了提升。部门整体支出绩效情况如下：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Lines="0" w:after="0" w:afterLines="0" w:line="600" w:lineRule="exact"/>
        <w:ind w:left="0" w:right="0" w:firstLine="602" w:firstLineChars="200"/>
        <w:jc w:val="both"/>
        <w:textAlignment w:val="auto"/>
        <w:outlineLvl w:val="9"/>
        <w:rPr>
          <w:rFonts w:hint="eastAsia" w:ascii="仿宋" w:hAnsi="仿宋" w:eastAsia="仿宋" w:cs="仿宋"/>
          <w:b/>
          <w:bCs/>
          <w:snapToGrid/>
          <w:color w:val="auto"/>
          <w:spacing w:val="0"/>
          <w:w w:val="100"/>
          <w:kern w:val="2"/>
          <w:position w:val="0"/>
          <w:sz w:val="30"/>
          <w:szCs w:val="30"/>
          <w:u w:val="none" w:color="auto"/>
          <w:vertAlign w:val="baseline"/>
          <w:lang w:val="en-US" w:eastAsia="zh-CN" w:bidi="ar-SA"/>
        </w:rPr>
      </w:pPr>
      <w:r>
        <w:rPr>
          <w:rFonts w:hint="eastAsia" w:ascii="仿宋" w:hAnsi="仿宋" w:eastAsia="仿宋" w:cs="仿宋"/>
          <w:b/>
          <w:bCs/>
          <w:snapToGrid/>
          <w:color w:val="auto"/>
          <w:spacing w:val="0"/>
          <w:w w:val="100"/>
          <w:kern w:val="2"/>
          <w:position w:val="0"/>
          <w:sz w:val="30"/>
          <w:szCs w:val="30"/>
          <w:u w:val="none" w:color="auto"/>
          <w:vertAlign w:val="baseline"/>
          <w:lang w:val="en-US" w:eastAsia="zh-CN" w:bidi="ar-SA"/>
        </w:rPr>
        <w:t>（一）经济性评价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Lines="0" w:after="0" w:afterLines="0" w:line="600" w:lineRule="exact"/>
        <w:ind w:left="0" w:right="0" w:firstLine="600" w:firstLineChars="200"/>
        <w:jc w:val="both"/>
        <w:textAlignment w:val="auto"/>
        <w:outlineLvl w:val="9"/>
        <w:rPr>
          <w:rFonts w:hint="eastAsia" w:ascii="仿宋" w:hAnsi="仿宋" w:eastAsia="仿宋" w:cs="仿宋"/>
          <w:snapToGrid/>
          <w:color w:val="auto"/>
          <w:spacing w:val="0"/>
          <w:w w:val="100"/>
          <w:kern w:val="2"/>
          <w:position w:val="0"/>
          <w:sz w:val="30"/>
          <w:szCs w:val="30"/>
          <w:u w:val="none" w:color="auto"/>
          <w:vertAlign w:val="baseline"/>
          <w:lang w:val="en-US" w:eastAsia="zh-CN" w:bidi="ar-SA"/>
        </w:rPr>
      </w:pP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t xml:space="preserve"> 1.本年预算安排控制较好，财政供养人员控制率95%，编制内在职人员控制率小于100%，控制在预算编制以内；“三公”经费预算总额未突破上年。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Lines="0" w:after="0" w:afterLines="0" w:line="600" w:lineRule="exact"/>
        <w:ind w:left="0" w:right="0" w:firstLine="600" w:firstLineChars="200"/>
        <w:jc w:val="both"/>
        <w:textAlignment w:val="auto"/>
        <w:outlineLvl w:val="9"/>
        <w:rPr>
          <w:rFonts w:hint="eastAsia" w:ascii="仿宋" w:hAnsi="仿宋" w:eastAsia="仿宋" w:cs="仿宋"/>
          <w:snapToGrid/>
          <w:color w:val="auto"/>
          <w:spacing w:val="0"/>
          <w:w w:val="100"/>
          <w:kern w:val="2"/>
          <w:position w:val="0"/>
          <w:sz w:val="30"/>
          <w:szCs w:val="30"/>
          <w:u w:val="none" w:color="auto"/>
          <w:vertAlign w:val="baseline"/>
          <w:lang w:val="en-US" w:eastAsia="zh-CN" w:bidi="ar-SA"/>
        </w:rPr>
      </w:pP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t>2.预算执行方面，支出总额控制在预算总额以内；本年不存在截留或滞留专项资金情况。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Lines="0" w:after="0" w:afterLines="0" w:line="600" w:lineRule="exact"/>
        <w:ind w:left="0" w:right="0" w:firstLine="602" w:firstLineChars="200"/>
        <w:jc w:val="both"/>
        <w:textAlignment w:val="auto"/>
        <w:outlineLvl w:val="9"/>
        <w:rPr>
          <w:rFonts w:hint="eastAsia" w:ascii="仿宋" w:hAnsi="仿宋" w:eastAsia="仿宋" w:cs="仿宋"/>
          <w:b/>
          <w:bCs/>
          <w:snapToGrid/>
          <w:color w:val="auto"/>
          <w:spacing w:val="0"/>
          <w:w w:val="100"/>
          <w:kern w:val="2"/>
          <w:position w:val="0"/>
          <w:sz w:val="30"/>
          <w:szCs w:val="30"/>
          <w:u w:val="none" w:color="auto"/>
          <w:vertAlign w:val="baseline"/>
          <w:lang w:val="en-US" w:eastAsia="zh-CN" w:bidi="ar-SA"/>
        </w:rPr>
      </w:pPr>
      <w:r>
        <w:rPr>
          <w:rFonts w:hint="eastAsia" w:ascii="仿宋" w:hAnsi="仿宋" w:eastAsia="仿宋" w:cs="仿宋"/>
          <w:b/>
          <w:bCs/>
          <w:snapToGrid/>
          <w:color w:val="auto"/>
          <w:spacing w:val="0"/>
          <w:w w:val="100"/>
          <w:kern w:val="2"/>
          <w:position w:val="0"/>
          <w:sz w:val="30"/>
          <w:szCs w:val="30"/>
          <w:u w:val="none" w:color="auto"/>
          <w:vertAlign w:val="baseline"/>
          <w:lang w:val="en-US" w:eastAsia="zh-CN" w:bidi="ar-SA"/>
        </w:rPr>
        <w:t>（二）行政效率评价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Lines="0" w:after="0" w:afterLines="0" w:line="600" w:lineRule="exact"/>
        <w:ind w:left="0" w:right="0" w:firstLine="600" w:firstLineChars="200"/>
        <w:jc w:val="both"/>
        <w:textAlignment w:val="auto"/>
        <w:outlineLvl w:val="9"/>
        <w:rPr>
          <w:rFonts w:hint="eastAsia" w:ascii="仿宋" w:hAnsi="仿宋" w:eastAsia="仿宋" w:cs="仿宋"/>
          <w:snapToGrid/>
          <w:color w:val="auto"/>
          <w:spacing w:val="0"/>
          <w:w w:val="100"/>
          <w:kern w:val="2"/>
          <w:position w:val="0"/>
          <w:sz w:val="30"/>
          <w:szCs w:val="30"/>
          <w:u w:val="none" w:color="auto"/>
          <w:vertAlign w:val="baseline"/>
          <w:lang w:val="en-US" w:eastAsia="zh-CN" w:bidi="ar-SA"/>
        </w:rPr>
      </w:pP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t xml:space="preserve">通过进一步加强办事处机关作风建设和效能建设,使办事处上下服务理念得到了进一步加强,执行能力得到了进一步提升,行政效率得到了进一步提高,行政行为得到了进一步规范,工作成效得到了进一步突出,作风、效能建设长效机制得到了进一步完善,在社会上树立了办事处的良好社会形象。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Lines="0" w:after="0" w:afterLines="0" w:line="600" w:lineRule="exact"/>
        <w:ind w:left="0" w:right="0" w:firstLine="602" w:firstLineChars="200"/>
        <w:jc w:val="both"/>
        <w:textAlignment w:val="auto"/>
        <w:outlineLvl w:val="9"/>
        <w:rPr>
          <w:rFonts w:hint="eastAsia" w:ascii="仿宋" w:hAnsi="仿宋" w:eastAsia="仿宋" w:cs="仿宋"/>
          <w:b/>
          <w:bCs/>
          <w:snapToGrid/>
          <w:color w:val="auto"/>
          <w:spacing w:val="0"/>
          <w:w w:val="100"/>
          <w:kern w:val="2"/>
          <w:position w:val="0"/>
          <w:sz w:val="30"/>
          <w:szCs w:val="30"/>
          <w:u w:val="none" w:color="auto"/>
          <w:vertAlign w:val="baseline"/>
          <w:lang w:val="en-US" w:eastAsia="zh-CN" w:bidi="ar-SA"/>
        </w:rPr>
      </w:pPr>
      <w:r>
        <w:rPr>
          <w:rFonts w:hint="eastAsia" w:ascii="仿宋" w:hAnsi="仿宋" w:eastAsia="仿宋" w:cs="仿宋"/>
          <w:b/>
          <w:bCs/>
          <w:snapToGrid/>
          <w:color w:val="auto"/>
          <w:spacing w:val="0"/>
          <w:w w:val="100"/>
          <w:kern w:val="2"/>
          <w:position w:val="0"/>
          <w:sz w:val="30"/>
          <w:szCs w:val="30"/>
          <w:u w:val="none" w:color="auto"/>
          <w:vertAlign w:val="baseline"/>
          <w:lang w:val="en-US" w:eastAsia="zh-CN" w:bidi="ar-SA"/>
        </w:rPr>
        <w:t>（三）社会效益评价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Lines="0" w:after="0" w:afterLines="0" w:line="600" w:lineRule="exact"/>
        <w:ind w:left="0" w:right="0" w:firstLine="600" w:firstLineChars="200"/>
        <w:jc w:val="both"/>
        <w:textAlignment w:val="auto"/>
        <w:outlineLvl w:val="9"/>
        <w:rPr>
          <w:rFonts w:hint="eastAsia" w:ascii="仿宋" w:hAnsi="仿宋" w:eastAsia="仿宋" w:cs="仿宋"/>
          <w:snapToGrid/>
          <w:color w:val="auto"/>
          <w:spacing w:val="0"/>
          <w:w w:val="100"/>
          <w:kern w:val="2"/>
          <w:position w:val="0"/>
          <w:sz w:val="30"/>
          <w:szCs w:val="30"/>
          <w:u w:val="none" w:color="auto"/>
          <w:vertAlign w:val="baseline"/>
          <w:lang w:val="en-US" w:eastAsia="zh-CN" w:bidi="ar-SA"/>
        </w:rPr>
      </w:pP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t>2021年我街道较好的落实了各项工作，所有资金无截留、挪用等现象，全部按时足额发放，资金监管到位；我街道较好的完成了防汛抗旱工作，确保了防汛大堤的安全，保障了人民群众的生命财产安全；我办事处抓实辖区的社会主义精神文明建设以及经济建设，取得了较好的成绩，达到了年初设定的绩效目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Lines="0" w:after="0" w:afterLines="0" w:line="600" w:lineRule="exact"/>
        <w:ind w:left="0" w:right="0" w:firstLine="600" w:firstLineChars="200"/>
        <w:jc w:val="both"/>
        <w:textAlignment w:val="auto"/>
        <w:outlineLvl w:val="9"/>
        <w:rPr>
          <w:rFonts w:hint="eastAsia" w:ascii="黑体" w:hAnsi="黑体" w:eastAsia="黑体" w:cs="黑体"/>
          <w:snapToGrid/>
          <w:color w:val="auto"/>
          <w:spacing w:val="0"/>
          <w:w w:val="100"/>
          <w:kern w:val="2"/>
          <w:position w:val="0"/>
          <w:sz w:val="30"/>
          <w:szCs w:val="30"/>
          <w:u w:val="none" w:color="auto"/>
          <w:vertAlign w:val="baseline"/>
          <w:lang w:val="en-US" w:eastAsia="zh-CN" w:bidi="ar-SA"/>
        </w:rPr>
      </w:pPr>
      <w:r>
        <w:rPr>
          <w:rFonts w:hint="eastAsia" w:ascii="黑体" w:hAnsi="黑体" w:eastAsia="黑体" w:cs="黑体"/>
          <w:snapToGrid/>
          <w:color w:val="auto"/>
          <w:spacing w:val="0"/>
          <w:w w:val="100"/>
          <w:kern w:val="2"/>
          <w:position w:val="0"/>
          <w:sz w:val="30"/>
          <w:szCs w:val="30"/>
          <w:u w:val="none" w:color="auto"/>
          <w:vertAlign w:val="baseline"/>
          <w:lang w:val="en-US" w:eastAsia="zh-CN" w:bidi="ar-SA"/>
        </w:rPr>
        <w:t>四、存在的问题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Lines="0" w:after="0" w:afterLines="0" w:line="600" w:lineRule="exact"/>
        <w:ind w:left="0" w:right="0" w:firstLine="600" w:firstLineChars="200"/>
        <w:jc w:val="both"/>
        <w:textAlignment w:val="auto"/>
        <w:outlineLvl w:val="9"/>
        <w:rPr>
          <w:rFonts w:hint="eastAsia" w:ascii="仿宋" w:hAnsi="仿宋" w:eastAsia="仿宋" w:cs="仿宋"/>
          <w:snapToGrid/>
          <w:color w:val="auto"/>
          <w:spacing w:val="0"/>
          <w:w w:val="100"/>
          <w:kern w:val="2"/>
          <w:position w:val="0"/>
          <w:sz w:val="30"/>
          <w:szCs w:val="30"/>
          <w:u w:val="none" w:color="auto"/>
          <w:vertAlign w:val="baseline"/>
          <w:lang w:val="en-US" w:eastAsia="zh-CN" w:bidi="ar-SA"/>
        </w:rPr>
      </w:pP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t>对群众反映的信访问题，不能及时解决，留有隐患。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Lines="0" w:after="0" w:afterLines="0" w:line="600" w:lineRule="exact"/>
        <w:ind w:left="0" w:right="0" w:firstLine="600" w:firstLineChars="200"/>
        <w:jc w:val="both"/>
        <w:textAlignment w:val="auto"/>
        <w:outlineLvl w:val="9"/>
        <w:rPr>
          <w:rFonts w:hint="eastAsia" w:ascii="黑体" w:hAnsi="黑体" w:eastAsia="黑体" w:cs="黑体"/>
          <w:snapToGrid/>
          <w:color w:val="auto"/>
          <w:spacing w:val="0"/>
          <w:w w:val="100"/>
          <w:kern w:val="2"/>
          <w:position w:val="0"/>
          <w:sz w:val="30"/>
          <w:szCs w:val="30"/>
          <w:u w:val="none" w:color="auto"/>
          <w:vertAlign w:val="baseline"/>
          <w:lang w:val="en-US" w:eastAsia="zh-CN" w:bidi="ar-SA"/>
        </w:rPr>
      </w:pPr>
      <w:r>
        <w:rPr>
          <w:rFonts w:hint="eastAsia" w:ascii="黑体" w:hAnsi="黑体" w:eastAsia="黑体" w:cs="黑体"/>
          <w:snapToGrid/>
          <w:color w:val="auto"/>
          <w:spacing w:val="0"/>
          <w:w w:val="100"/>
          <w:kern w:val="2"/>
          <w:position w:val="0"/>
          <w:sz w:val="30"/>
          <w:szCs w:val="30"/>
          <w:u w:val="none" w:color="auto"/>
          <w:vertAlign w:val="baseline"/>
          <w:lang w:val="en-US" w:eastAsia="zh-CN" w:bidi="ar-SA"/>
        </w:rPr>
        <w:t>五、有关建议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Lines="0" w:after="0" w:afterLines="0" w:line="600" w:lineRule="exact"/>
        <w:ind w:left="0" w:right="0" w:firstLine="600" w:firstLineChars="200"/>
        <w:jc w:val="both"/>
        <w:textAlignment w:val="auto"/>
        <w:outlineLvl w:val="9"/>
        <w:rPr>
          <w:rFonts w:hint="eastAsia" w:ascii="仿宋" w:hAnsi="仿宋" w:eastAsia="仿宋" w:cs="仿宋"/>
          <w:snapToGrid/>
          <w:color w:val="auto"/>
          <w:spacing w:val="0"/>
          <w:w w:val="100"/>
          <w:kern w:val="2"/>
          <w:position w:val="0"/>
          <w:sz w:val="30"/>
          <w:szCs w:val="30"/>
          <w:u w:val="none" w:color="auto"/>
          <w:vertAlign w:val="baseline"/>
          <w:lang w:val="en-US" w:eastAsia="zh-CN" w:bidi="ar-SA"/>
        </w:rPr>
      </w:pP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t>加大信访问题的解决力度。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Lines="0" w:after="0" w:afterLines="0" w:line="600" w:lineRule="exact"/>
        <w:ind w:left="0" w:right="0" w:firstLine="600" w:firstLineChars="200"/>
        <w:jc w:val="both"/>
        <w:textAlignment w:val="auto"/>
        <w:outlineLvl w:val="9"/>
        <w:rPr>
          <w:rFonts w:hint="default" w:ascii="仿宋" w:hAnsi="仿宋" w:eastAsia="仿宋" w:cs="仿宋"/>
          <w:snapToGrid/>
          <w:color w:val="auto"/>
          <w:spacing w:val="0"/>
          <w:w w:val="100"/>
          <w:kern w:val="2"/>
          <w:position w:val="0"/>
          <w:sz w:val="30"/>
          <w:szCs w:val="30"/>
          <w:u w:val="none" w:color="auto"/>
          <w:vertAlign w:val="baseline"/>
          <w:lang w:val="en-US" w:eastAsia="zh-CN" w:bidi="ar-SA"/>
        </w:rPr>
      </w:pP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t>附件：2021年度桃花仑街道整体支出绩效自评指标计分表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Lines="0" w:beforeAutospacing="0" w:after="0" w:afterLines="0" w:afterAutospacing="0" w:line="600" w:lineRule="exact"/>
        <w:ind w:left="0" w:right="0" w:firstLine="600" w:firstLineChars="200"/>
        <w:jc w:val="both"/>
        <w:textAlignment w:val="auto"/>
        <w:outlineLvl w:val="9"/>
        <w:rPr>
          <w:rFonts w:hint="eastAsia" w:ascii="仿宋" w:hAnsi="仿宋" w:eastAsia="仿宋" w:cs="仿宋"/>
          <w:snapToGrid/>
          <w:color w:val="auto"/>
          <w:spacing w:val="0"/>
          <w:w w:val="100"/>
          <w:kern w:val="2"/>
          <w:position w:val="0"/>
          <w:sz w:val="30"/>
          <w:szCs w:val="30"/>
          <w:u w:val="none" w:color="auto"/>
          <w:vertAlign w:val="baseline"/>
          <w:lang w:val="en-US" w:eastAsia="zh-CN" w:bidi="ar-SA"/>
        </w:rPr>
      </w:pP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Lines="0" w:beforeAutospacing="0" w:after="0" w:afterLines="0" w:afterAutospacing="0" w:line="600" w:lineRule="exact"/>
        <w:ind w:left="0" w:right="0" w:firstLine="600" w:firstLineChars="200"/>
        <w:jc w:val="both"/>
        <w:textAlignment w:val="auto"/>
        <w:outlineLvl w:val="9"/>
        <w:rPr>
          <w:rFonts w:hint="eastAsia" w:ascii="仿宋" w:hAnsi="仿宋" w:eastAsia="仿宋" w:cs="仿宋"/>
          <w:snapToGrid/>
          <w:color w:val="auto"/>
          <w:spacing w:val="0"/>
          <w:w w:val="100"/>
          <w:kern w:val="2"/>
          <w:position w:val="0"/>
          <w:sz w:val="30"/>
          <w:szCs w:val="30"/>
          <w:u w:val="none" w:color="auto"/>
          <w:vertAlign w:val="baseline"/>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Lines="0" w:beforeAutospacing="0" w:after="0" w:afterLines="0" w:afterAutospacing="0" w:line="600" w:lineRule="exact"/>
        <w:ind w:left="0" w:right="0" w:firstLine="600" w:firstLineChars="200"/>
        <w:jc w:val="both"/>
        <w:textAlignment w:val="auto"/>
        <w:outlineLvl w:val="9"/>
        <w:rPr>
          <w:rFonts w:hint="eastAsia" w:ascii="仿宋" w:hAnsi="仿宋" w:eastAsia="仿宋" w:cs="仿宋"/>
          <w:snapToGrid/>
          <w:color w:val="auto"/>
          <w:spacing w:val="0"/>
          <w:w w:val="100"/>
          <w:kern w:val="2"/>
          <w:position w:val="0"/>
          <w:sz w:val="30"/>
          <w:szCs w:val="30"/>
          <w:u w:val="none" w:color="auto"/>
          <w:vertAlign w:val="baseline"/>
          <w:lang w:val="en-US" w:eastAsia="zh-CN" w:bidi="ar-SA"/>
        </w:rPr>
      </w:pPr>
      <w:r>
        <w:rPr>
          <w:rFonts w:hint="eastAsia" w:ascii="仿宋" w:hAnsi="仿宋" w:eastAsia="仿宋" w:cs="仿宋"/>
          <w:snapToGrid/>
          <w:color w:val="auto"/>
          <w:spacing w:val="0"/>
          <w:w w:val="100"/>
          <w:kern w:val="2"/>
          <w:position w:val="0"/>
          <w:sz w:val="30"/>
          <w:szCs w:val="30"/>
          <w:u w:val="none" w:color="auto"/>
          <w:vertAlign w:val="baseline"/>
          <w:lang w:val="en-US" w:eastAsia="zh-CN" w:bidi="ar-SA"/>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Lines="0" w:beforeAutospacing="0" w:after="0" w:afterLines="0" w:afterAutospacing="0" w:line="600" w:lineRule="exact"/>
        <w:ind w:left="0" w:right="0" w:firstLine="600" w:firstLineChars="200"/>
        <w:jc w:val="center"/>
        <w:textAlignment w:val="auto"/>
        <w:outlineLvl w:val="9"/>
        <w:rPr>
          <w:rFonts w:hint="eastAsia" w:ascii="仿宋" w:hAnsi="仿宋" w:eastAsia="仿宋" w:cs="仿宋"/>
          <w:snapToGrid/>
          <w:color w:val="auto"/>
          <w:spacing w:val="0"/>
          <w:w w:val="100"/>
          <w:kern w:val="2"/>
          <w:position w:val="0"/>
          <w:sz w:val="30"/>
          <w:szCs w:val="30"/>
          <w:u w:val="none" w:color="auto"/>
          <w:vertAlign w:val="baseline"/>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Lines="0" w:beforeAutospacing="0" w:after="0" w:afterLines="0" w:afterAutospacing="0" w:line="600" w:lineRule="exact"/>
        <w:ind w:left="0" w:right="0" w:firstLine="600" w:firstLineChars="200"/>
        <w:jc w:val="center"/>
        <w:textAlignment w:val="auto"/>
        <w:outlineLvl w:val="9"/>
        <w:rPr>
          <w:rFonts w:hint="eastAsia" w:ascii="仿宋" w:hAnsi="仿宋" w:eastAsia="仿宋" w:cs="仿宋"/>
          <w:snapToGrid/>
          <w:color w:val="auto"/>
          <w:spacing w:val="0"/>
          <w:w w:val="100"/>
          <w:kern w:val="2"/>
          <w:position w:val="0"/>
          <w:sz w:val="30"/>
          <w:szCs w:val="30"/>
          <w:u w:val="none" w:color="auto"/>
          <w:vertAlign w:val="baseline"/>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Lines="0" w:beforeAutospacing="0" w:after="0" w:afterLines="0" w:afterAutospacing="0" w:line="600" w:lineRule="exact"/>
        <w:ind w:left="0" w:right="0" w:firstLine="600" w:firstLineChars="200"/>
        <w:jc w:val="center"/>
        <w:textAlignment w:val="auto"/>
        <w:outlineLvl w:val="9"/>
        <w:rPr>
          <w:rFonts w:hint="eastAsia" w:ascii="仿宋" w:hAnsi="仿宋" w:eastAsia="仿宋" w:cs="仿宋"/>
          <w:snapToGrid/>
          <w:color w:val="auto"/>
          <w:spacing w:val="0"/>
          <w:w w:val="100"/>
          <w:kern w:val="2"/>
          <w:position w:val="0"/>
          <w:sz w:val="30"/>
          <w:szCs w:val="30"/>
          <w:u w:val="none" w:color="auto"/>
          <w:vertAlign w:val="baseline"/>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Lines="0" w:beforeAutospacing="0" w:after="0" w:afterLines="0" w:afterAutospacing="0" w:line="600" w:lineRule="exact"/>
        <w:ind w:left="0" w:right="0" w:firstLine="600" w:firstLineChars="200"/>
        <w:jc w:val="center"/>
        <w:textAlignment w:val="auto"/>
        <w:outlineLvl w:val="9"/>
        <w:rPr>
          <w:rFonts w:hint="eastAsia" w:ascii="仿宋" w:hAnsi="仿宋" w:eastAsia="仿宋" w:cs="仿宋"/>
          <w:snapToGrid/>
          <w:color w:val="auto"/>
          <w:spacing w:val="0"/>
          <w:w w:val="100"/>
          <w:kern w:val="2"/>
          <w:position w:val="0"/>
          <w:sz w:val="30"/>
          <w:szCs w:val="30"/>
          <w:u w:val="none" w:color="auto"/>
          <w:vertAlign w:val="baseline"/>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Lines="0" w:beforeAutospacing="0" w:after="0" w:afterLines="0" w:afterAutospacing="0" w:line="600" w:lineRule="exact"/>
        <w:ind w:left="0" w:right="0" w:firstLine="600" w:firstLineChars="200"/>
        <w:jc w:val="center"/>
        <w:textAlignment w:val="auto"/>
        <w:outlineLvl w:val="9"/>
        <w:rPr>
          <w:rFonts w:hint="eastAsia" w:ascii="仿宋" w:hAnsi="仿宋" w:eastAsia="仿宋" w:cs="仿宋"/>
          <w:snapToGrid/>
          <w:color w:val="auto"/>
          <w:spacing w:val="0"/>
          <w:w w:val="100"/>
          <w:kern w:val="2"/>
          <w:position w:val="0"/>
          <w:sz w:val="30"/>
          <w:szCs w:val="30"/>
          <w:u w:val="none" w:color="auto"/>
          <w:vertAlign w:val="baseline"/>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Lines="0" w:beforeAutospacing="0" w:after="0" w:afterLines="0" w:afterAutospacing="0" w:line="600" w:lineRule="exact"/>
        <w:ind w:left="0" w:right="0" w:firstLine="600" w:firstLineChars="200"/>
        <w:jc w:val="center"/>
        <w:textAlignment w:val="auto"/>
        <w:outlineLvl w:val="9"/>
        <w:rPr>
          <w:rFonts w:hint="eastAsia" w:ascii="仿宋" w:hAnsi="仿宋" w:eastAsia="仿宋" w:cs="仿宋"/>
          <w:snapToGrid/>
          <w:color w:val="auto"/>
          <w:spacing w:val="0"/>
          <w:w w:val="100"/>
          <w:kern w:val="2"/>
          <w:position w:val="0"/>
          <w:sz w:val="30"/>
          <w:szCs w:val="30"/>
          <w:u w:val="none" w:color="auto"/>
          <w:vertAlign w:val="baseline"/>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Lines="0" w:beforeAutospacing="0" w:after="0" w:afterLines="0" w:afterAutospacing="0" w:line="600" w:lineRule="exact"/>
        <w:ind w:left="0" w:right="0" w:firstLine="600" w:firstLineChars="200"/>
        <w:jc w:val="center"/>
        <w:textAlignment w:val="auto"/>
        <w:outlineLvl w:val="9"/>
        <w:rPr>
          <w:rFonts w:hint="eastAsia" w:ascii="仿宋" w:hAnsi="仿宋" w:eastAsia="仿宋" w:cs="仿宋"/>
          <w:snapToGrid/>
          <w:color w:val="auto"/>
          <w:spacing w:val="0"/>
          <w:w w:val="100"/>
          <w:kern w:val="2"/>
          <w:position w:val="0"/>
          <w:sz w:val="30"/>
          <w:szCs w:val="30"/>
          <w:u w:val="none" w:color="auto"/>
          <w:vertAlign w:val="baseline"/>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Lines="0" w:beforeAutospacing="0" w:after="0" w:afterLines="0" w:afterAutospacing="0" w:line="600" w:lineRule="exact"/>
        <w:ind w:left="0" w:right="0" w:firstLine="600" w:firstLineChars="200"/>
        <w:jc w:val="center"/>
        <w:textAlignment w:val="auto"/>
        <w:outlineLvl w:val="9"/>
        <w:rPr>
          <w:rFonts w:hint="eastAsia" w:ascii="仿宋" w:hAnsi="仿宋" w:eastAsia="仿宋" w:cs="仿宋"/>
          <w:snapToGrid/>
          <w:color w:val="auto"/>
          <w:spacing w:val="0"/>
          <w:w w:val="100"/>
          <w:kern w:val="2"/>
          <w:position w:val="0"/>
          <w:sz w:val="30"/>
          <w:szCs w:val="30"/>
          <w:u w:val="none" w:color="auto"/>
          <w:vertAlign w:val="baseline"/>
          <w:lang w:val="en-US" w:eastAsia="zh-CN" w:bidi="ar-SA"/>
        </w:rPr>
      </w:pPr>
    </w:p>
    <w:p>
      <w:pPr>
        <w:pStyle w:val="2"/>
        <w:rPr>
          <w:rFonts w:hint="eastAsia" w:ascii="仿宋" w:hAnsi="仿宋" w:eastAsia="仿宋" w:cs="仿宋"/>
          <w:snapToGrid/>
          <w:color w:val="auto"/>
          <w:spacing w:val="0"/>
          <w:w w:val="100"/>
          <w:kern w:val="2"/>
          <w:position w:val="0"/>
          <w:sz w:val="30"/>
          <w:szCs w:val="30"/>
          <w:u w:val="none" w:color="auto"/>
          <w:vertAlign w:val="baseline"/>
          <w:lang w:val="en-US" w:eastAsia="zh-CN" w:bidi="ar-SA"/>
        </w:rPr>
      </w:pPr>
    </w:p>
    <w:p>
      <w:pPr>
        <w:rPr>
          <w:rFonts w:hint="eastAsia" w:ascii="仿宋" w:hAnsi="仿宋" w:eastAsia="仿宋" w:cs="仿宋"/>
          <w:snapToGrid/>
          <w:color w:val="auto"/>
          <w:spacing w:val="0"/>
          <w:w w:val="100"/>
          <w:kern w:val="2"/>
          <w:position w:val="0"/>
          <w:sz w:val="30"/>
          <w:szCs w:val="30"/>
          <w:u w:val="none" w:color="auto"/>
          <w:vertAlign w:val="baseline"/>
          <w:lang w:val="en-US" w:eastAsia="zh-CN" w:bidi="ar-SA"/>
        </w:rPr>
      </w:pPr>
    </w:p>
    <w:p>
      <w:pPr>
        <w:pStyle w:val="2"/>
        <w:rPr>
          <w:rFonts w:hint="eastAsia" w:ascii="仿宋" w:hAnsi="仿宋" w:eastAsia="仿宋" w:cs="仿宋"/>
          <w:snapToGrid/>
          <w:color w:val="auto"/>
          <w:spacing w:val="0"/>
          <w:w w:val="100"/>
          <w:kern w:val="2"/>
          <w:position w:val="0"/>
          <w:sz w:val="30"/>
          <w:szCs w:val="30"/>
          <w:u w:val="none" w:color="auto"/>
          <w:vertAlign w:val="baseline"/>
          <w:lang w:val="en-US" w:eastAsia="zh-CN" w:bidi="ar-SA"/>
        </w:rPr>
      </w:pPr>
    </w:p>
    <w:p>
      <w:pPr>
        <w:rPr>
          <w:rFonts w:hint="eastAsia" w:ascii="仿宋" w:hAnsi="仿宋" w:eastAsia="仿宋" w:cs="仿宋"/>
          <w:snapToGrid/>
          <w:color w:val="auto"/>
          <w:spacing w:val="0"/>
          <w:w w:val="100"/>
          <w:kern w:val="2"/>
          <w:position w:val="0"/>
          <w:sz w:val="30"/>
          <w:szCs w:val="30"/>
          <w:u w:val="none" w:color="auto"/>
          <w:vertAlign w:val="baseline"/>
          <w:lang w:val="en-US" w:eastAsia="zh-CN" w:bidi="ar-SA"/>
        </w:rPr>
      </w:pPr>
    </w:p>
    <w:p>
      <w:pPr>
        <w:pStyle w:val="2"/>
        <w:rPr>
          <w:rFonts w:hint="eastAsia"/>
          <w:lang w:val="en-US" w:eastAsia="zh-CN"/>
        </w:rPr>
      </w:pP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Lines="0" w:beforeAutospacing="0" w:after="0" w:afterLines="0" w:afterAutospacing="0" w:line="600" w:lineRule="exact"/>
        <w:ind w:left="0" w:right="0" w:firstLine="600" w:firstLineChars="200"/>
        <w:jc w:val="center"/>
        <w:textAlignment w:val="auto"/>
        <w:outlineLvl w:val="9"/>
        <w:rPr>
          <w:rFonts w:hint="eastAsia" w:ascii="黑体" w:hAnsi="黑体" w:eastAsia="黑体" w:cs="黑体"/>
          <w:snapToGrid/>
          <w:color w:val="auto"/>
          <w:spacing w:val="0"/>
          <w:w w:val="100"/>
          <w:kern w:val="2"/>
          <w:position w:val="0"/>
          <w:sz w:val="30"/>
          <w:szCs w:val="30"/>
          <w:u w:val="none" w:color="auto"/>
          <w:vertAlign w:val="baseline"/>
          <w:lang w:val="en-US" w:eastAsia="zh-CN"/>
        </w:rPr>
      </w:pPr>
      <w:r>
        <w:rPr>
          <w:rFonts w:hint="eastAsia" w:ascii="黑体" w:hAnsi="黑体" w:eastAsia="黑体" w:cs="黑体"/>
          <w:snapToGrid/>
          <w:color w:val="auto"/>
          <w:spacing w:val="0"/>
          <w:w w:val="100"/>
          <w:kern w:val="2"/>
          <w:position w:val="0"/>
          <w:sz w:val="30"/>
          <w:szCs w:val="30"/>
          <w:u w:val="none" w:color="auto"/>
          <w:vertAlign w:val="baseline"/>
          <w:lang w:val="en-US" w:eastAsia="zh-CN" w:bidi="ar-SA"/>
        </w:rPr>
        <w:t>2021年度桃花仑街道整体支出绩效自评指标计分表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80" w:lineRule="exact"/>
        <w:ind w:left="0" w:right="0" w:firstLine="0"/>
        <w:jc w:val="both"/>
        <w:textAlignment w:val="auto"/>
        <w:outlineLvl w:val="9"/>
        <w:rPr>
          <w:rFonts w:hint="eastAsia" w:ascii="仿宋_GB2312" w:eastAsia="仿宋_GB2312"/>
          <w:snapToGrid/>
          <w:color w:val="auto"/>
          <w:spacing w:val="0"/>
          <w:w w:val="100"/>
          <w:kern w:val="2"/>
          <w:position w:val="0"/>
          <w:sz w:val="21"/>
          <w:u w:val="none" w:color="auto"/>
          <w:vertAlign w:val="baseline"/>
          <w:lang w:val="en-US" w:eastAsia="zh-CN"/>
        </w:rPr>
      </w:pPr>
    </w:p>
    <w:tbl>
      <w:tblPr>
        <w:tblStyle w:val="3"/>
        <w:tblW w:w="9364" w:type="dxa"/>
        <w:tblInd w:w="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7"/>
        <w:gridCol w:w="570"/>
        <w:gridCol w:w="703"/>
        <w:gridCol w:w="446"/>
        <w:gridCol w:w="2976"/>
        <w:gridCol w:w="4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blHeader/>
        </w:trPr>
        <w:tc>
          <w:tcPr>
            <w:tcW w:w="547"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center"/>
              <w:textAlignment w:val="auto"/>
              <w:outlineLvl w:val="9"/>
              <w:rPr>
                <w:rFonts w:hint="eastAsia" w:ascii="宋体" w:eastAsia="宋体" w:cs="宋体"/>
                <w:snapToGrid/>
                <w:color w:val="auto"/>
                <w:spacing w:val="0"/>
                <w:w w:val="100"/>
                <w:kern w:val="2"/>
                <w:position w:val="0"/>
                <w:sz w:val="21"/>
                <w:szCs w:val="24"/>
                <w:u w:val="none" w:color="auto"/>
                <w:vertAlign w:val="baseline"/>
                <w:lang w:val="en-US" w:eastAsia="zh-CN" w:bidi="ar-SA"/>
              </w:rPr>
            </w:pPr>
            <w:r>
              <w:rPr>
                <w:rFonts w:hint="eastAsia" w:ascii="宋体" w:eastAsia="宋体" w:cs="宋体"/>
                <w:snapToGrid/>
                <w:color w:val="auto"/>
                <w:spacing w:val="0"/>
                <w:w w:val="100"/>
                <w:kern w:val="2"/>
                <w:position w:val="0"/>
                <w:sz w:val="21"/>
                <w:szCs w:val="24"/>
                <w:u w:val="none" w:color="auto"/>
                <w:vertAlign w:val="baseline"/>
                <w:lang w:val="en-US" w:eastAsia="zh-CN" w:bidi="ar-SA"/>
              </w:rPr>
              <w:t>一级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指标</w:t>
            </w:r>
          </w:p>
        </w:tc>
        <w:tc>
          <w:tcPr>
            <w:tcW w:w="57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二级指标</w:t>
            </w:r>
          </w:p>
        </w:tc>
        <w:tc>
          <w:tcPr>
            <w:tcW w:w="70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三级指标</w:t>
            </w:r>
          </w:p>
        </w:tc>
        <w:tc>
          <w:tcPr>
            <w:tcW w:w="44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自评分</w:t>
            </w:r>
          </w:p>
        </w:tc>
        <w:tc>
          <w:tcPr>
            <w:tcW w:w="297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指标解释</w:t>
            </w:r>
          </w:p>
        </w:tc>
        <w:tc>
          <w:tcPr>
            <w:tcW w:w="4122"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restart"/>
            <w:tcBorders>
              <w:top w:val="single" w:color="auto" w:sz="4" w:space="0"/>
              <w:left w:val="single" w:color="auto" w:sz="4" w:space="0"/>
              <w:bottom w:val="single" w:color="auto" w:sz="4" w:space="0"/>
              <w:right w:val="single" w:color="auto" w:sz="4" w:space="0"/>
            </w:tcBorders>
            <w:noWrap w:val="0"/>
            <w:tcMar>
              <w:top w:w="10" w:type="dxa"/>
              <w:left w:w="10" w:type="dxa"/>
              <w:right w:w="10" w:type="dxa"/>
            </w:tcMar>
            <w:textDirection w:val="tbRlV"/>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投   入（20分）</w:t>
            </w:r>
          </w:p>
        </w:tc>
        <w:tc>
          <w:tcPr>
            <w:tcW w:w="570" w:type="dxa"/>
            <w:vMerge w:val="restart"/>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center"/>
              <w:textAlignment w:val="auto"/>
              <w:outlineLvl w:val="9"/>
              <w:rPr>
                <w:rFonts w:hint="eastAsia" w:ascii="宋体" w:eastAsia="宋体" w:cs="宋体"/>
                <w:snapToGrid/>
                <w:color w:val="auto"/>
                <w:spacing w:val="0"/>
                <w:w w:val="100"/>
                <w:kern w:val="2"/>
                <w:position w:val="0"/>
                <w:sz w:val="21"/>
                <w:szCs w:val="24"/>
                <w:u w:val="none" w:color="auto"/>
                <w:vertAlign w:val="baseline"/>
                <w:lang w:val="en-US" w:eastAsia="zh-CN" w:bidi="ar-SA"/>
              </w:rPr>
            </w:pPr>
            <w:r>
              <w:rPr>
                <w:rFonts w:hint="eastAsia" w:ascii="宋体" w:eastAsia="宋体" w:cs="宋体"/>
                <w:snapToGrid/>
                <w:color w:val="auto"/>
                <w:spacing w:val="0"/>
                <w:w w:val="100"/>
                <w:kern w:val="2"/>
                <w:position w:val="0"/>
                <w:sz w:val="21"/>
                <w:szCs w:val="24"/>
                <w:u w:val="none" w:color="auto"/>
                <w:vertAlign w:val="baseline"/>
                <w:lang w:val="en-US" w:eastAsia="zh-CN" w:bidi="ar-SA"/>
              </w:rPr>
              <w:t>目标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设定（5分）</w:t>
            </w:r>
          </w:p>
        </w:tc>
        <w:tc>
          <w:tcPr>
            <w:tcW w:w="70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绩效目标合理性（2分）</w:t>
            </w:r>
          </w:p>
        </w:tc>
        <w:tc>
          <w:tcPr>
            <w:tcW w:w="44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snapToGrid/>
                <w:color w:val="auto"/>
                <w:spacing w:val="0"/>
                <w:w w:val="100"/>
                <w:kern w:val="2"/>
                <w:position w:val="0"/>
                <w:sz w:val="21"/>
                <w:u w:val="none" w:color="auto"/>
                <w:vertAlign w:val="baseline"/>
                <w:lang w:val="en-US" w:eastAsia="zh-CN"/>
              </w:rPr>
              <w:t>2</w:t>
            </w:r>
          </w:p>
        </w:tc>
        <w:tc>
          <w:tcPr>
            <w:tcW w:w="297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部门所设立的整体绩效目标依据是否充分，是否符合客观实际，用以反映和考核部门整体绩效目标与部门履职、年度工作任务的相符性情况。</w:t>
            </w:r>
          </w:p>
        </w:tc>
        <w:tc>
          <w:tcPr>
            <w:tcW w:w="4122"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①符合国家法律法规、国民经济和社会发展总体规划计1分；②符合部门“三定”方案确定的职责计0.5分；③是否符合部门制定的中长期实施规划计0.5分。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570"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0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绩效指标明确性（3分）</w:t>
            </w:r>
          </w:p>
        </w:tc>
        <w:tc>
          <w:tcPr>
            <w:tcW w:w="44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snapToGrid/>
                <w:color w:val="auto"/>
                <w:spacing w:val="0"/>
                <w:w w:val="100"/>
                <w:kern w:val="2"/>
                <w:position w:val="0"/>
                <w:sz w:val="21"/>
                <w:u w:val="none" w:color="auto"/>
                <w:vertAlign w:val="baseline"/>
                <w:lang w:val="en-US" w:eastAsia="zh-CN"/>
              </w:rPr>
              <w:t>3</w:t>
            </w:r>
          </w:p>
        </w:tc>
        <w:tc>
          <w:tcPr>
            <w:tcW w:w="297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部门依据整体绩效目标所设定的绩效指标是否清晰、细化、可衡量，用以反映和考核部门整体绩效目标的明细化情况。</w:t>
            </w:r>
          </w:p>
        </w:tc>
        <w:tc>
          <w:tcPr>
            <w:tcW w:w="4122"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①将部门整体的绩效目标细化分解为具体的工作任务计1分；②通过清晰、可衡量的指标值予以体现计0.5分。③与部门年度的任务数或计划数相对应计0.5分；④与本年度部门预算资金相匹配计1分。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570" w:type="dxa"/>
            <w:vMerge w:val="restart"/>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center"/>
              <w:textAlignment w:val="auto"/>
              <w:outlineLvl w:val="9"/>
              <w:rPr>
                <w:rFonts w:hint="eastAsia" w:ascii="宋体" w:eastAsia="宋体" w:cs="宋体"/>
                <w:snapToGrid/>
                <w:color w:val="auto"/>
                <w:spacing w:val="0"/>
                <w:w w:val="100"/>
                <w:kern w:val="2"/>
                <w:position w:val="0"/>
                <w:sz w:val="21"/>
                <w:szCs w:val="24"/>
                <w:u w:val="none" w:color="auto"/>
                <w:vertAlign w:val="baseline"/>
                <w:lang w:val="en-US" w:eastAsia="zh-CN" w:bidi="ar-SA"/>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预算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配置（15分）</w:t>
            </w:r>
          </w:p>
        </w:tc>
        <w:tc>
          <w:tcPr>
            <w:tcW w:w="70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在职人员控制率（5分）</w:t>
            </w:r>
          </w:p>
        </w:tc>
        <w:tc>
          <w:tcPr>
            <w:tcW w:w="44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snapToGrid/>
                <w:color w:val="auto"/>
                <w:spacing w:val="0"/>
                <w:w w:val="100"/>
                <w:kern w:val="2"/>
                <w:position w:val="0"/>
                <w:sz w:val="21"/>
                <w:u w:val="none" w:color="auto"/>
                <w:vertAlign w:val="baseline"/>
                <w:lang w:val="en-US" w:eastAsia="zh-CN"/>
              </w:rPr>
              <w:t>5</w:t>
            </w:r>
          </w:p>
        </w:tc>
        <w:tc>
          <w:tcPr>
            <w:tcW w:w="297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部门本年度实际在职人员数与编制数的比率，用以反映和考核部门对人员成本的控制程度。</w:t>
            </w:r>
          </w:p>
        </w:tc>
        <w:tc>
          <w:tcPr>
            <w:tcW w:w="4122"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在职人员控制率=（在职人员数/编制数）×100%小于或等于1计5分，否则按比例计分。在职人员数：部门实际在职人数，以财政部确定的部门决算编制口径为准。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570"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0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“三公经费”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变动率（5分）</w:t>
            </w:r>
          </w:p>
        </w:tc>
        <w:tc>
          <w:tcPr>
            <w:tcW w:w="44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snapToGrid/>
                <w:color w:val="auto"/>
                <w:spacing w:val="0"/>
                <w:w w:val="100"/>
                <w:kern w:val="2"/>
                <w:position w:val="0"/>
                <w:sz w:val="21"/>
                <w:u w:val="none" w:color="auto"/>
                <w:vertAlign w:val="baseline"/>
                <w:lang w:val="en-US" w:eastAsia="zh-CN"/>
              </w:rPr>
              <w:t>5</w:t>
            </w:r>
          </w:p>
        </w:tc>
        <w:tc>
          <w:tcPr>
            <w:tcW w:w="297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部门本年度“三公经费”预算数与上年度“三公经费”预算数的变动比率，用以反映和考核部门对控制重点行政成本的努力程度。</w:t>
            </w:r>
          </w:p>
        </w:tc>
        <w:tc>
          <w:tcPr>
            <w:tcW w:w="4122"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三公经费”变动率=[（本年度“三公经费”总额-上年度“三公经费”总额）/上年度“三公经费”总额]×100%。下降的计5分，增加的按比例扣减。“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570"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0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重点支出安排率（5分）</w:t>
            </w:r>
          </w:p>
        </w:tc>
        <w:tc>
          <w:tcPr>
            <w:tcW w:w="44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snapToGrid/>
                <w:color w:val="auto"/>
                <w:spacing w:val="0"/>
                <w:w w:val="100"/>
                <w:kern w:val="2"/>
                <w:position w:val="0"/>
                <w:sz w:val="21"/>
                <w:u w:val="none" w:color="auto"/>
                <w:vertAlign w:val="baseline"/>
                <w:lang w:val="en-US" w:eastAsia="zh-CN"/>
              </w:rPr>
              <w:t>5</w:t>
            </w:r>
          </w:p>
        </w:tc>
        <w:tc>
          <w:tcPr>
            <w:tcW w:w="297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部门本年度预算安排的重点项目支出与部门项目总支出的比率，用以反映和考核部门对履行主要职责或完成重点任务的保障程度。</w:t>
            </w:r>
          </w:p>
        </w:tc>
        <w:tc>
          <w:tcPr>
            <w:tcW w:w="4122"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restart"/>
            <w:tcBorders>
              <w:top w:val="single" w:color="auto" w:sz="4" w:space="0"/>
              <w:left w:val="single" w:color="auto" w:sz="4" w:space="0"/>
              <w:bottom w:val="single" w:color="auto" w:sz="4" w:space="0"/>
              <w:right w:val="single" w:color="auto" w:sz="4" w:space="0"/>
            </w:tcBorders>
            <w:noWrap w:val="0"/>
            <w:tcMar>
              <w:top w:w="10" w:type="dxa"/>
              <w:left w:w="10" w:type="dxa"/>
              <w:right w:w="10" w:type="dxa"/>
            </w:tcMar>
            <w:textDirection w:val="tbRlV"/>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过             程（30分）</w:t>
            </w:r>
          </w:p>
        </w:tc>
        <w:tc>
          <w:tcPr>
            <w:tcW w:w="570" w:type="dxa"/>
            <w:vMerge w:val="restart"/>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center"/>
              <w:textAlignment w:val="auto"/>
              <w:outlineLvl w:val="9"/>
              <w:rPr>
                <w:rFonts w:hint="eastAsia" w:ascii="宋体" w:eastAsia="宋体" w:cs="宋体"/>
                <w:snapToGrid/>
                <w:color w:val="auto"/>
                <w:spacing w:val="0"/>
                <w:w w:val="100"/>
                <w:kern w:val="2"/>
                <w:position w:val="0"/>
                <w:sz w:val="21"/>
                <w:szCs w:val="24"/>
                <w:u w:val="none" w:color="auto"/>
                <w:vertAlign w:val="baseline"/>
                <w:lang w:val="en-US" w:eastAsia="zh-CN" w:bidi="ar-SA"/>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预算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（20分）</w:t>
            </w:r>
          </w:p>
        </w:tc>
        <w:tc>
          <w:tcPr>
            <w:tcW w:w="70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预算完成率（4分）</w:t>
            </w:r>
          </w:p>
        </w:tc>
        <w:tc>
          <w:tcPr>
            <w:tcW w:w="44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snapToGrid/>
                <w:color w:val="auto"/>
                <w:spacing w:val="0"/>
                <w:w w:val="100"/>
                <w:kern w:val="2"/>
                <w:position w:val="0"/>
                <w:sz w:val="21"/>
                <w:u w:val="none" w:color="auto"/>
                <w:vertAlign w:val="baseline"/>
                <w:lang w:val="en-US" w:eastAsia="zh-CN"/>
              </w:rPr>
              <w:t>4</w:t>
            </w:r>
          </w:p>
        </w:tc>
        <w:tc>
          <w:tcPr>
            <w:tcW w:w="297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部门本年度预算完成数与预算数的比率，用以反映和考核部门预算完成程度。</w:t>
            </w:r>
          </w:p>
        </w:tc>
        <w:tc>
          <w:tcPr>
            <w:tcW w:w="4122"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2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预算完成率=（预算完成数/预算数）×100%。完成年初预算计4分，未完成年初预算按比例扣减，预算完成数：部门本年度实际完成的预算数。预算数：财政部门批复的本年度部门预算数。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570"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0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预算调整率（2分）</w:t>
            </w:r>
          </w:p>
        </w:tc>
        <w:tc>
          <w:tcPr>
            <w:tcW w:w="44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snapToGrid/>
                <w:color w:val="auto"/>
                <w:spacing w:val="0"/>
                <w:w w:val="100"/>
                <w:kern w:val="2"/>
                <w:position w:val="0"/>
                <w:sz w:val="21"/>
                <w:u w:val="none" w:color="auto"/>
                <w:vertAlign w:val="baseline"/>
                <w:lang w:val="en-US" w:eastAsia="zh-CN"/>
              </w:rPr>
              <w:t>2</w:t>
            </w:r>
          </w:p>
        </w:tc>
        <w:tc>
          <w:tcPr>
            <w:tcW w:w="297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部门本年度预算调整数与预算数的比率，用以反映和考核部门预算的调整程度。</w:t>
            </w:r>
          </w:p>
        </w:tc>
        <w:tc>
          <w:tcPr>
            <w:tcW w:w="4122"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2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570"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0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支付进度率（2分）</w:t>
            </w:r>
          </w:p>
        </w:tc>
        <w:tc>
          <w:tcPr>
            <w:tcW w:w="44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snapToGrid/>
                <w:color w:val="auto"/>
                <w:spacing w:val="0"/>
                <w:w w:val="100"/>
                <w:kern w:val="2"/>
                <w:position w:val="0"/>
                <w:sz w:val="21"/>
                <w:u w:val="none" w:color="auto"/>
                <w:vertAlign w:val="baseline"/>
                <w:lang w:val="en-US" w:eastAsia="zh-CN"/>
              </w:rPr>
              <w:t>2</w:t>
            </w:r>
          </w:p>
        </w:tc>
        <w:tc>
          <w:tcPr>
            <w:tcW w:w="297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部门实际支付进度与既定支付进度的比率，用以反映和考核部门预算执行的及时性和均衡性程度。</w:t>
            </w:r>
          </w:p>
        </w:tc>
        <w:tc>
          <w:tcPr>
            <w:tcW w:w="4122"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2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restart"/>
            <w:tcBorders>
              <w:top w:val="single" w:color="auto" w:sz="4" w:space="0"/>
              <w:left w:val="single" w:color="auto" w:sz="4" w:space="0"/>
              <w:bottom w:val="single" w:color="auto" w:sz="4" w:space="0"/>
              <w:right w:val="single" w:color="auto" w:sz="4" w:space="0"/>
            </w:tcBorders>
            <w:noWrap w:val="0"/>
            <w:tcMar>
              <w:top w:w="10" w:type="dxa"/>
              <w:left w:w="10" w:type="dxa"/>
              <w:right w:w="10" w:type="dxa"/>
            </w:tcMar>
            <w:textDirection w:val="tbRlV"/>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40" w:lineRule="exact"/>
              <w:ind w:left="113"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过           程（30分）</w:t>
            </w:r>
          </w:p>
        </w:tc>
        <w:tc>
          <w:tcPr>
            <w:tcW w:w="570" w:type="dxa"/>
            <w:vMerge w:val="restart"/>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cs="宋体"/>
                <w:snapToGrid/>
                <w:color w:val="auto"/>
                <w:spacing w:val="0"/>
                <w:w w:val="100"/>
                <w:kern w:val="2"/>
                <w:position w:val="0"/>
                <w:sz w:val="21"/>
                <w:szCs w:val="24"/>
                <w:u w:val="none" w:color="auto"/>
                <w:vertAlign w:val="baseline"/>
                <w:lang w:val="en-US" w:eastAsia="zh-CN" w:bidi="ar-SA"/>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预算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（20分</w:t>
            </w:r>
          </w:p>
        </w:tc>
        <w:tc>
          <w:tcPr>
            <w:tcW w:w="70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结转结余控制率（4分）</w:t>
            </w:r>
          </w:p>
        </w:tc>
        <w:tc>
          <w:tcPr>
            <w:tcW w:w="44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snapToGrid/>
                <w:color w:val="auto"/>
                <w:spacing w:val="0"/>
                <w:w w:val="100"/>
                <w:kern w:val="2"/>
                <w:position w:val="0"/>
                <w:sz w:val="21"/>
                <w:u w:val="none" w:color="auto"/>
                <w:vertAlign w:val="baseline"/>
                <w:lang w:val="en-US" w:eastAsia="zh-CN"/>
              </w:rPr>
              <w:t>4</w:t>
            </w:r>
          </w:p>
        </w:tc>
        <w:tc>
          <w:tcPr>
            <w:tcW w:w="297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部门本年度结转结余总额与上年结转结余总额增减比例，用以反映和考核部门对存量资金的实际控制程度。</w:t>
            </w:r>
          </w:p>
        </w:tc>
        <w:tc>
          <w:tcPr>
            <w:tcW w:w="4122"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结转结余控制率=（本年结转结余总额-上年结转结余总额）/上年结转结余总额×100%。低于15%的计4分，每超过5个百分点扣1分，扣完为止。结转结余总额：部门本年度的结转资金与结余资金之和（以决算数为准）。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570"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0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公用经费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控制率（2分）</w:t>
            </w:r>
          </w:p>
        </w:tc>
        <w:tc>
          <w:tcPr>
            <w:tcW w:w="44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snapToGrid/>
                <w:color w:val="auto"/>
                <w:spacing w:val="0"/>
                <w:w w:val="100"/>
                <w:kern w:val="2"/>
                <w:position w:val="0"/>
                <w:sz w:val="21"/>
                <w:u w:val="none" w:color="auto"/>
                <w:vertAlign w:val="baseline"/>
                <w:lang w:val="en-US" w:eastAsia="zh-CN"/>
              </w:rPr>
              <w:t>2</w:t>
            </w:r>
          </w:p>
        </w:tc>
        <w:tc>
          <w:tcPr>
            <w:tcW w:w="297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部门本年度实际支出的公用经费总额与预算安排的公用经费总额的比率，用以反映和考核部门对机构运转成本的实际控制程度。</w:t>
            </w:r>
          </w:p>
        </w:tc>
        <w:tc>
          <w:tcPr>
            <w:tcW w:w="4122"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公用经费控制率=（实际支出公用经费总额/预算安排公用经费总额）×100%。为100%的计2分，每超过1个百分点扣0.1分，扣完为止。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570"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0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“三公经费”控制率（2分）</w:t>
            </w:r>
          </w:p>
        </w:tc>
        <w:tc>
          <w:tcPr>
            <w:tcW w:w="44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snapToGrid/>
                <w:color w:val="auto"/>
                <w:spacing w:val="0"/>
                <w:w w:val="100"/>
                <w:kern w:val="2"/>
                <w:position w:val="0"/>
                <w:sz w:val="21"/>
                <w:u w:val="none" w:color="auto"/>
                <w:vertAlign w:val="baseline"/>
                <w:lang w:val="en-US" w:eastAsia="zh-CN"/>
              </w:rPr>
              <w:t>2</w:t>
            </w:r>
          </w:p>
        </w:tc>
        <w:tc>
          <w:tcPr>
            <w:tcW w:w="297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部门本年度“三公经费”实际支出数与预算安排数的比率，用以反映和考核部门对“三公经费”的实际控制程度。</w:t>
            </w:r>
          </w:p>
        </w:tc>
        <w:tc>
          <w:tcPr>
            <w:tcW w:w="4122"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“三公经费”控制率=（“三公经费”实际支出数/“三公经费”预算安排数）×100%。为100%的计2分，每超过1个百分点扣0.5分，扣完为止。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570"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0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政府采购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执行率（4分）</w:t>
            </w:r>
          </w:p>
        </w:tc>
        <w:tc>
          <w:tcPr>
            <w:tcW w:w="44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snapToGrid/>
                <w:color w:val="auto"/>
                <w:spacing w:val="0"/>
                <w:w w:val="100"/>
                <w:kern w:val="2"/>
                <w:position w:val="0"/>
                <w:sz w:val="21"/>
                <w:u w:val="none" w:color="auto"/>
                <w:vertAlign w:val="baseline"/>
                <w:lang w:val="en-US" w:eastAsia="zh-CN"/>
              </w:rPr>
              <w:t>4</w:t>
            </w:r>
          </w:p>
        </w:tc>
        <w:tc>
          <w:tcPr>
            <w:tcW w:w="297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部门本年度实际政府采购金额与年初政府采购预算的比率，用以反映和考核部门政府采购预算执行情况。</w:t>
            </w:r>
          </w:p>
        </w:tc>
        <w:tc>
          <w:tcPr>
            <w:tcW w:w="4122"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570" w:type="dxa"/>
            <w:vMerge w:val="restart"/>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预算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（5分）</w:t>
            </w:r>
          </w:p>
        </w:tc>
        <w:tc>
          <w:tcPr>
            <w:tcW w:w="70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管理制度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健全性（2分）</w:t>
            </w:r>
          </w:p>
        </w:tc>
        <w:tc>
          <w:tcPr>
            <w:tcW w:w="44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snapToGrid/>
                <w:color w:val="auto"/>
                <w:spacing w:val="0"/>
                <w:w w:val="100"/>
                <w:kern w:val="2"/>
                <w:position w:val="0"/>
                <w:sz w:val="21"/>
                <w:u w:val="none" w:color="auto"/>
                <w:vertAlign w:val="baseline"/>
                <w:lang w:val="en-US" w:eastAsia="zh-CN"/>
              </w:rPr>
              <w:t>1.5</w:t>
            </w:r>
          </w:p>
        </w:tc>
        <w:tc>
          <w:tcPr>
            <w:tcW w:w="297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部门为加强预算管理、规范财务行为而制定的管理制度是否健全完整，用以反映和考核部门预算管理制度对完成主要职责或促进事业发展的保障情况。</w:t>
            </w:r>
          </w:p>
        </w:tc>
        <w:tc>
          <w:tcPr>
            <w:tcW w:w="4122"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已制定或具有预算资金管理办法、内部财务管理制度、会计核算制度等管理制度计1分；相关管理制度合法、合规、完整计0.5分；相关管理制度得到有效执行计0.5分。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570"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0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资金使用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合规性（1分）</w:t>
            </w:r>
          </w:p>
        </w:tc>
        <w:tc>
          <w:tcPr>
            <w:tcW w:w="44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snapToGrid/>
                <w:color w:val="auto"/>
                <w:spacing w:val="0"/>
                <w:w w:val="100"/>
                <w:kern w:val="2"/>
                <w:position w:val="0"/>
                <w:sz w:val="21"/>
                <w:u w:val="none" w:color="auto"/>
                <w:vertAlign w:val="baseline"/>
                <w:lang w:val="en-US" w:eastAsia="zh-CN"/>
              </w:rPr>
              <w:t>1</w:t>
            </w:r>
          </w:p>
        </w:tc>
        <w:tc>
          <w:tcPr>
            <w:tcW w:w="297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部门使用预算资金是否符合相关的预算财务管理制度的规定，用以反映和考核部门预算资金的规范运行情况。</w:t>
            </w:r>
          </w:p>
        </w:tc>
        <w:tc>
          <w:tcPr>
            <w:tcW w:w="4122"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570"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0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预决算信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息公开性（1分）</w:t>
            </w:r>
          </w:p>
        </w:tc>
        <w:tc>
          <w:tcPr>
            <w:tcW w:w="44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snapToGrid/>
                <w:color w:val="auto"/>
                <w:spacing w:val="0"/>
                <w:w w:val="100"/>
                <w:kern w:val="2"/>
                <w:position w:val="0"/>
                <w:sz w:val="21"/>
                <w:u w:val="none" w:color="auto"/>
                <w:vertAlign w:val="baseline"/>
                <w:lang w:val="en-US" w:eastAsia="zh-CN"/>
              </w:rPr>
              <w:t>1</w:t>
            </w:r>
          </w:p>
        </w:tc>
        <w:tc>
          <w:tcPr>
            <w:tcW w:w="297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部门是否按照政府信息公开有关规定公开相关预决算信息，用以反映和考核部门预决算管理的公开透明情况。</w:t>
            </w:r>
          </w:p>
        </w:tc>
        <w:tc>
          <w:tcPr>
            <w:tcW w:w="4122"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①按规定内容公开预决算信息计0.5分；②按规定时限公开预决算信息计0.5分。预决算信息是指与部门预算、执行、决算、监督、绩效等管理相关的信息。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570"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0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基础信息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完善性（1分）</w:t>
            </w:r>
          </w:p>
        </w:tc>
        <w:tc>
          <w:tcPr>
            <w:tcW w:w="44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snapToGrid/>
                <w:color w:val="auto"/>
                <w:spacing w:val="0"/>
                <w:w w:val="100"/>
                <w:kern w:val="2"/>
                <w:position w:val="0"/>
                <w:sz w:val="21"/>
                <w:u w:val="none" w:color="auto"/>
                <w:vertAlign w:val="baseline"/>
                <w:lang w:val="en-US" w:eastAsia="zh-CN"/>
              </w:rPr>
              <w:t>1</w:t>
            </w:r>
          </w:p>
        </w:tc>
        <w:tc>
          <w:tcPr>
            <w:tcW w:w="297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部门基础信息是否完善，用以反映和考核基础信息对预算管理工作的支撑情况。</w:t>
            </w:r>
          </w:p>
        </w:tc>
        <w:tc>
          <w:tcPr>
            <w:tcW w:w="4122"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①基础数据信息和会计信息资料真实计0.4分；②基础数据信息和会计信息资料完整计0.3分；③基础数据信息和会计信息资料准确计0.3分。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tcBorders>
              <w:top w:val="single" w:color="auto" w:sz="4" w:space="0"/>
              <w:left w:val="single" w:color="auto" w:sz="4" w:space="0"/>
              <w:bottom w:val="single" w:color="auto" w:sz="4" w:space="0"/>
              <w:right w:val="single" w:color="auto" w:sz="4" w:space="0"/>
            </w:tcBorders>
            <w:noWrap w:val="0"/>
            <w:tcMar>
              <w:top w:w="10" w:type="dxa"/>
              <w:left w:w="10" w:type="dxa"/>
              <w:right w:w="10" w:type="dxa"/>
            </w:tcMar>
            <w:textDirection w:val="tbRlV"/>
            <w:vAlign w:val="center"/>
          </w:tcPr>
          <w:p/>
        </w:tc>
        <w:tc>
          <w:tcPr>
            <w:tcW w:w="570"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cs="宋体"/>
                <w:snapToGrid/>
                <w:color w:val="auto"/>
                <w:spacing w:val="0"/>
                <w:w w:val="100"/>
                <w:kern w:val="2"/>
                <w:position w:val="0"/>
                <w:sz w:val="21"/>
                <w:szCs w:val="24"/>
                <w:u w:val="none" w:color="auto"/>
                <w:vertAlign w:val="baseline"/>
                <w:lang w:val="en-US" w:eastAsia="zh-CN" w:bidi="ar-SA"/>
              </w:rPr>
            </w:pPr>
            <w:r>
              <w:rPr>
                <w:rFonts w:hint="eastAsia" w:ascii="宋体" w:eastAsia="宋体" w:cs="宋体"/>
                <w:snapToGrid/>
                <w:color w:val="auto"/>
                <w:spacing w:val="0"/>
                <w:w w:val="100"/>
                <w:kern w:val="2"/>
                <w:position w:val="0"/>
                <w:sz w:val="21"/>
                <w:szCs w:val="24"/>
                <w:u w:val="none" w:color="auto"/>
                <w:vertAlign w:val="baseline"/>
                <w:lang w:val="en-US" w:eastAsia="zh-CN" w:bidi="ar-SA"/>
              </w:rPr>
              <w:t>资产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（5分）</w:t>
            </w:r>
          </w:p>
        </w:tc>
        <w:tc>
          <w:tcPr>
            <w:tcW w:w="70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管理制度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健全性（2分）</w:t>
            </w:r>
          </w:p>
        </w:tc>
        <w:tc>
          <w:tcPr>
            <w:tcW w:w="44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snapToGrid/>
                <w:color w:val="auto"/>
                <w:spacing w:val="0"/>
                <w:w w:val="100"/>
                <w:kern w:val="2"/>
                <w:position w:val="0"/>
                <w:sz w:val="21"/>
                <w:u w:val="none" w:color="auto"/>
                <w:vertAlign w:val="baseline"/>
                <w:lang w:val="en-US" w:eastAsia="zh-CN"/>
              </w:rPr>
              <w:t>1</w:t>
            </w:r>
          </w:p>
        </w:tc>
        <w:tc>
          <w:tcPr>
            <w:tcW w:w="297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部门为加强资产管理、规范资产管理行为而制定的管理制度是否健全完整，用以反映和考核部门资产管理制度对完成主要职责或促进社会发展的保障情况。</w:t>
            </w:r>
          </w:p>
        </w:tc>
        <w:tc>
          <w:tcPr>
            <w:tcW w:w="4122"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①制定或具有资产管理制度计1分；②相关资金管理制度合法、合规、完整计0.5分；③相关资产管理制度得到有效执行计0.5分。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restart"/>
            <w:tcBorders>
              <w:top w:val="single" w:color="auto" w:sz="4" w:space="0"/>
              <w:left w:val="single" w:color="auto" w:sz="4" w:space="0"/>
              <w:bottom w:val="single" w:color="auto" w:sz="4" w:space="0"/>
              <w:right w:val="single" w:color="auto" w:sz="4" w:space="0"/>
            </w:tcBorders>
            <w:noWrap w:val="0"/>
            <w:textDirection w:val="tbLrV"/>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40" w:lineRule="exact"/>
              <w:ind w:left="113" w:leftChars="0" w:right="113" w:firstLine="0" w:firstLineChars="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过       程（30分）</w:t>
            </w:r>
          </w:p>
        </w:tc>
        <w:tc>
          <w:tcPr>
            <w:tcW w:w="57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cs="宋体"/>
                <w:snapToGrid/>
                <w:color w:val="auto"/>
                <w:spacing w:val="0"/>
                <w:w w:val="100"/>
                <w:kern w:val="2"/>
                <w:position w:val="0"/>
                <w:sz w:val="21"/>
                <w:szCs w:val="24"/>
                <w:u w:val="none" w:color="auto"/>
                <w:vertAlign w:val="baseline"/>
                <w:lang w:val="en-US" w:eastAsia="zh-CN" w:bidi="ar-SA"/>
              </w:rPr>
            </w:pPr>
            <w:r>
              <w:rPr>
                <w:rFonts w:hint="eastAsia" w:ascii="宋体" w:eastAsia="宋体" w:cs="宋体"/>
                <w:snapToGrid/>
                <w:color w:val="auto"/>
                <w:spacing w:val="0"/>
                <w:w w:val="100"/>
                <w:kern w:val="2"/>
                <w:position w:val="0"/>
                <w:sz w:val="21"/>
                <w:szCs w:val="24"/>
                <w:u w:val="none" w:color="auto"/>
                <w:vertAlign w:val="baseline"/>
                <w:lang w:val="en-US" w:eastAsia="zh-CN" w:bidi="ar-SA"/>
              </w:rPr>
              <w:t>资产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（5分）</w:t>
            </w:r>
          </w:p>
        </w:tc>
        <w:tc>
          <w:tcPr>
            <w:tcW w:w="70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资产管理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安全性（2分）</w:t>
            </w:r>
          </w:p>
        </w:tc>
        <w:tc>
          <w:tcPr>
            <w:tcW w:w="44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761"/>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snapToGrid/>
                <w:color w:val="auto"/>
                <w:spacing w:val="0"/>
                <w:w w:val="100"/>
                <w:kern w:val="2"/>
                <w:position w:val="0"/>
                <w:sz w:val="21"/>
                <w:u w:val="none" w:color="auto"/>
                <w:vertAlign w:val="baseline"/>
                <w:lang w:val="en-US" w:eastAsia="zh-CN"/>
              </w:rPr>
              <w:t>2</w:t>
            </w:r>
          </w:p>
        </w:tc>
        <w:tc>
          <w:tcPr>
            <w:tcW w:w="297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761"/>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部门的资产是否保存完整、使用合规、配置合理、处置规范、收入及时足额上缴，用以反映和考核部门资产安全运行情况。</w:t>
            </w:r>
          </w:p>
        </w:tc>
        <w:tc>
          <w:tcPr>
            <w:tcW w:w="4122"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①资产保存完整计0.4分；②资产配置合理计0.4分；③资产处置规范计0.4分；④资产账务管理合规、帐实相符计0.4分；⑤资产有偿使用及处置收入及时足额上缴计0.4分。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570"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0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固定资产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利用率（1分）</w:t>
            </w:r>
          </w:p>
        </w:tc>
        <w:tc>
          <w:tcPr>
            <w:tcW w:w="44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snapToGrid/>
                <w:color w:val="auto"/>
                <w:spacing w:val="0"/>
                <w:w w:val="100"/>
                <w:kern w:val="2"/>
                <w:position w:val="0"/>
                <w:sz w:val="21"/>
                <w:u w:val="none" w:color="auto"/>
                <w:vertAlign w:val="baseline"/>
                <w:lang w:val="en-US" w:eastAsia="zh-CN"/>
              </w:rPr>
              <w:t>1</w:t>
            </w:r>
          </w:p>
        </w:tc>
        <w:tc>
          <w:tcPr>
            <w:tcW w:w="297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部门实际在用固定资产总额与所有固定资产总额的比率，用以反映和考核部门固定资产使用效率程度。</w:t>
            </w:r>
          </w:p>
        </w:tc>
        <w:tc>
          <w:tcPr>
            <w:tcW w:w="4122"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固定资产利用率=（实际在用固定资产总额/所有固定资产总额）×100%。利用率为100%的计1分，每降1个百分点扣0.1分，扣完为止。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restart"/>
            <w:tcBorders>
              <w:top w:val="single" w:color="auto" w:sz="4" w:space="0"/>
              <w:left w:val="single" w:color="auto" w:sz="4" w:space="0"/>
              <w:bottom w:val="single" w:color="auto" w:sz="4" w:space="0"/>
              <w:right w:val="single" w:color="auto" w:sz="4" w:space="0"/>
            </w:tcBorders>
            <w:noWrap w:val="0"/>
            <w:tcMar>
              <w:top w:w="10" w:type="dxa"/>
              <w:left w:w="10" w:type="dxa"/>
              <w:right w:w="10" w:type="dxa"/>
            </w:tcMar>
            <w:textDirection w:val="tbRlV"/>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产   出（30分）</w:t>
            </w:r>
          </w:p>
        </w:tc>
        <w:tc>
          <w:tcPr>
            <w:tcW w:w="570" w:type="dxa"/>
            <w:vMerge w:val="restart"/>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cs="宋体"/>
                <w:snapToGrid/>
                <w:color w:val="auto"/>
                <w:spacing w:val="0"/>
                <w:w w:val="100"/>
                <w:kern w:val="2"/>
                <w:position w:val="0"/>
                <w:sz w:val="21"/>
                <w:szCs w:val="24"/>
                <w:u w:val="none" w:color="auto"/>
                <w:vertAlign w:val="baseline"/>
                <w:lang w:val="en-US" w:eastAsia="zh-CN" w:bidi="ar-SA"/>
              </w:rPr>
            </w:pPr>
            <w:r>
              <w:rPr>
                <w:rFonts w:hint="eastAsia" w:ascii="宋体" w:eastAsia="宋体" w:cs="宋体"/>
                <w:snapToGrid/>
                <w:color w:val="auto"/>
                <w:spacing w:val="0"/>
                <w:w w:val="100"/>
                <w:kern w:val="2"/>
                <w:position w:val="0"/>
                <w:sz w:val="21"/>
                <w:szCs w:val="24"/>
                <w:u w:val="none" w:color="auto"/>
                <w:vertAlign w:val="baseline"/>
                <w:lang w:val="en-US" w:eastAsia="zh-CN" w:bidi="ar-SA"/>
              </w:rPr>
              <w:t>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履行</w:t>
            </w:r>
          </w:p>
        </w:tc>
        <w:tc>
          <w:tcPr>
            <w:tcW w:w="70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实际完成率（8分）</w:t>
            </w:r>
          </w:p>
        </w:tc>
        <w:tc>
          <w:tcPr>
            <w:tcW w:w="44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snapToGrid/>
                <w:color w:val="auto"/>
                <w:spacing w:val="0"/>
                <w:w w:val="100"/>
                <w:kern w:val="2"/>
                <w:position w:val="0"/>
                <w:sz w:val="21"/>
                <w:u w:val="none" w:color="auto"/>
                <w:vertAlign w:val="baseline"/>
                <w:lang w:val="en-US" w:eastAsia="zh-CN"/>
              </w:rPr>
              <w:t>8</w:t>
            </w:r>
          </w:p>
        </w:tc>
        <w:tc>
          <w:tcPr>
            <w:tcW w:w="297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部门履行职责而实际完成工作数与计划工作数的比率，用以反映和考核部门履职工作任务目标的实现程度。</w:t>
            </w:r>
          </w:p>
        </w:tc>
        <w:tc>
          <w:tcPr>
            <w:tcW w:w="4122"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实际完成率得分=完成市委市政府绩效考核得分或上级主管部门考核指标得分/指标分值*8分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570"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0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完成及时率（4分）</w:t>
            </w:r>
          </w:p>
        </w:tc>
        <w:tc>
          <w:tcPr>
            <w:tcW w:w="44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snapToGrid/>
                <w:color w:val="auto"/>
                <w:spacing w:val="0"/>
                <w:w w:val="100"/>
                <w:kern w:val="2"/>
                <w:position w:val="0"/>
                <w:sz w:val="21"/>
                <w:u w:val="none" w:color="auto"/>
                <w:vertAlign w:val="baseline"/>
                <w:lang w:val="en-US" w:eastAsia="zh-CN"/>
              </w:rPr>
              <w:t>4</w:t>
            </w:r>
          </w:p>
        </w:tc>
        <w:tc>
          <w:tcPr>
            <w:tcW w:w="297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部门在规定时限内及时完成的实际工作数与计划工作数的比率,用以反映和考核部门履职时效目标的实现程度。</w:t>
            </w:r>
          </w:p>
        </w:tc>
        <w:tc>
          <w:tcPr>
            <w:tcW w:w="4122"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both"/>
              <w:textAlignment w:val="auto"/>
              <w:outlineLvl w:val="9"/>
              <w:rPr>
                <w:rFonts w:hint="eastAsia" w:ascii="宋体" w:eastAsia="宋体" w:cs="宋体"/>
                <w:snapToGrid/>
                <w:color w:val="auto"/>
                <w:spacing w:val="0"/>
                <w:w w:val="100"/>
                <w:kern w:val="2"/>
                <w:position w:val="0"/>
                <w:sz w:val="21"/>
                <w:szCs w:val="24"/>
                <w:u w:val="none" w:color="auto"/>
                <w:vertAlign w:val="baseline"/>
                <w:lang w:val="en-US" w:eastAsia="zh-CN" w:bidi="ar-SA"/>
              </w:rPr>
            </w:pPr>
            <w:r>
              <w:rPr>
                <w:rFonts w:hint="eastAsia" w:ascii="宋体" w:eastAsia="宋体" w:cs="宋体"/>
                <w:snapToGrid/>
                <w:color w:val="auto"/>
                <w:spacing w:val="0"/>
                <w:w w:val="100"/>
                <w:kern w:val="2"/>
                <w:position w:val="0"/>
                <w:sz w:val="21"/>
                <w:szCs w:val="24"/>
                <w:u w:val="none" w:color="auto"/>
                <w:vertAlign w:val="baseline"/>
                <w:lang w:val="en-US" w:eastAsia="zh-CN" w:bidi="ar-SA"/>
              </w:rPr>
              <w:t>完成及时率=（及时完成实际工作数/计划工作数）×100%。1-4季度各得1分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both"/>
              <w:textAlignment w:val="auto"/>
              <w:outlineLvl w:val="9"/>
              <w:rPr>
                <w:rFonts w:hint="eastAsia" w:ascii="宋体" w:eastAsia="宋体" w:cs="宋体"/>
                <w:snapToGrid/>
                <w:color w:val="auto"/>
                <w:spacing w:val="0"/>
                <w:w w:val="100"/>
                <w:kern w:val="2"/>
                <w:position w:val="0"/>
                <w:sz w:val="21"/>
                <w:szCs w:val="24"/>
                <w:u w:val="none" w:color="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570"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0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质量达标率（8分）</w:t>
            </w:r>
          </w:p>
        </w:tc>
        <w:tc>
          <w:tcPr>
            <w:tcW w:w="44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snapToGrid/>
                <w:color w:val="auto"/>
                <w:spacing w:val="0"/>
                <w:w w:val="100"/>
                <w:kern w:val="2"/>
                <w:position w:val="0"/>
                <w:sz w:val="21"/>
                <w:u w:val="none" w:color="auto"/>
                <w:vertAlign w:val="baseline"/>
                <w:lang w:val="en-US" w:eastAsia="zh-CN"/>
              </w:rPr>
              <w:t>8</w:t>
            </w:r>
          </w:p>
        </w:tc>
        <w:tc>
          <w:tcPr>
            <w:tcW w:w="297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达到质量标准（绩效标准值）的实际工作数与计划工作数的比率,用以反映和考核部门履职质量目标的实现程度。</w:t>
            </w:r>
          </w:p>
        </w:tc>
        <w:tc>
          <w:tcPr>
            <w:tcW w:w="4122"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质量达标率=（质量达标实际工作数/计划工作数）×100%。实际得分=达标率*8分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570"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0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重点工作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办结率（10分）</w:t>
            </w:r>
          </w:p>
        </w:tc>
        <w:tc>
          <w:tcPr>
            <w:tcW w:w="44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snapToGrid/>
                <w:color w:val="auto"/>
                <w:spacing w:val="0"/>
                <w:w w:val="100"/>
                <w:kern w:val="2"/>
                <w:position w:val="0"/>
                <w:sz w:val="21"/>
                <w:u w:val="none" w:color="auto"/>
                <w:vertAlign w:val="baseline"/>
                <w:lang w:val="en-US" w:eastAsia="zh-CN"/>
              </w:rPr>
              <w:t>10</w:t>
            </w:r>
          </w:p>
        </w:tc>
        <w:tc>
          <w:tcPr>
            <w:tcW w:w="297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部门年度重点工作实际完成数与交办或下达数的比率，用以反映部门对重点工作的办理落实程度。</w:t>
            </w:r>
          </w:p>
        </w:tc>
        <w:tc>
          <w:tcPr>
            <w:tcW w:w="4122"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重点工作办结率=（重点工作实际完成数/交办或下达数）×100%。实际得分=办结率*10分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restart"/>
            <w:tcBorders>
              <w:top w:val="single" w:color="auto" w:sz="4" w:space="0"/>
              <w:left w:val="single" w:color="auto" w:sz="4" w:space="0"/>
              <w:bottom w:val="single" w:color="auto" w:sz="4" w:space="0"/>
              <w:right w:val="single" w:color="auto" w:sz="4" w:space="0"/>
            </w:tcBorders>
            <w:noWrap w:val="0"/>
            <w:tcMar>
              <w:top w:w="10" w:type="dxa"/>
              <w:left w:w="10" w:type="dxa"/>
              <w:right w:w="10" w:type="dxa"/>
            </w:tcMar>
            <w:textDirection w:val="tbRlV"/>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4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效   果（20分）</w:t>
            </w:r>
          </w:p>
        </w:tc>
        <w:tc>
          <w:tcPr>
            <w:tcW w:w="570" w:type="dxa"/>
            <w:vMerge w:val="restart"/>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cs="宋体"/>
                <w:snapToGrid/>
                <w:color w:val="auto"/>
                <w:spacing w:val="0"/>
                <w:w w:val="100"/>
                <w:kern w:val="2"/>
                <w:position w:val="0"/>
                <w:sz w:val="21"/>
                <w:szCs w:val="24"/>
                <w:u w:val="none" w:color="auto"/>
                <w:vertAlign w:val="baseline"/>
                <w:lang w:val="en-US" w:eastAsia="zh-CN" w:bidi="ar-SA"/>
              </w:rPr>
            </w:pPr>
            <w:r>
              <w:rPr>
                <w:rFonts w:hint="eastAsia" w:ascii="宋体" w:eastAsia="宋体" w:cs="宋体"/>
                <w:snapToGrid/>
                <w:color w:val="auto"/>
                <w:spacing w:val="0"/>
                <w:w w:val="100"/>
                <w:kern w:val="2"/>
                <w:position w:val="0"/>
                <w:sz w:val="21"/>
                <w:szCs w:val="24"/>
                <w:u w:val="none" w:color="auto"/>
                <w:vertAlign w:val="baseline"/>
                <w:lang w:val="en-US" w:eastAsia="zh-CN" w:bidi="ar-SA"/>
              </w:rPr>
              <w:t>履职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效益（20分）</w:t>
            </w:r>
          </w:p>
        </w:tc>
        <w:tc>
          <w:tcPr>
            <w:tcW w:w="70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经济效益（5分）</w:t>
            </w:r>
          </w:p>
        </w:tc>
        <w:tc>
          <w:tcPr>
            <w:tcW w:w="44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snapToGrid/>
                <w:color w:val="auto"/>
                <w:spacing w:val="0"/>
                <w:w w:val="100"/>
                <w:kern w:val="2"/>
                <w:position w:val="0"/>
                <w:sz w:val="21"/>
                <w:u w:val="none" w:color="auto"/>
                <w:vertAlign w:val="baseline"/>
                <w:lang w:val="en-US" w:eastAsia="zh-CN"/>
              </w:rPr>
              <w:t>5</w:t>
            </w:r>
          </w:p>
        </w:tc>
        <w:tc>
          <w:tcPr>
            <w:tcW w:w="297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部门履行职责对经济发展所带来的直接或间接影响。</w:t>
            </w:r>
          </w:p>
        </w:tc>
        <w:tc>
          <w:tcPr>
            <w:tcW w:w="4122" w:type="dxa"/>
            <w:vMerge w:val="restart"/>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0"/>
                <w:position w:val="0"/>
                <w:sz w:val="21"/>
                <w:szCs w:val="24"/>
                <w:u w:val="none" w:color="auto"/>
                <w:vertAlign w:val="baseline"/>
                <w:lang w:val="en-US" w:eastAsia="zh-CN" w:bidi="ar-SA"/>
              </w:rPr>
              <w:t>按经济效益实现程度计算得分（5分）；按社会效益实现程度计算得分（5分）；按生态效益实现程度计算得分（5分）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570"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0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社会效益（5分）</w:t>
            </w:r>
          </w:p>
        </w:tc>
        <w:tc>
          <w:tcPr>
            <w:tcW w:w="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snapToGrid/>
                <w:color w:val="auto"/>
                <w:spacing w:val="0"/>
                <w:w w:val="100"/>
                <w:kern w:val="2"/>
                <w:position w:val="0"/>
                <w:sz w:val="21"/>
                <w:u w:val="none" w:color="auto"/>
                <w:vertAlign w:val="baseline"/>
                <w:lang w:val="en-US" w:eastAsia="zh-CN"/>
              </w:rPr>
              <w:t>5</w:t>
            </w:r>
          </w:p>
        </w:tc>
        <w:tc>
          <w:tcPr>
            <w:tcW w:w="297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部门履行职责对社会发展所带来的直接或间接影响。</w:t>
            </w:r>
          </w:p>
        </w:tc>
        <w:tc>
          <w:tcPr>
            <w:tcW w:w="4122" w:type="dxa"/>
            <w:vMerge w:val="continue"/>
            <w:tcBorders>
              <w:top w:val="single" w:color="auto" w:sz="4" w:space="0"/>
              <w:left w:val="single" w:color="auto" w:sz="4" w:space="0"/>
              <w:bottom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570"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0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生态效益（5分）</w:t>
            </w:r>
          </w:p>
        </w:tc>
        <w:tc>
          <w:tcPr>
            <w:tcW w:w="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snapToGrid/>
                <w:color w:val="auto"/>
                <w:spacing w:val="0"/>
                <w:w w:val="100"/>
                <w:kern w:val="2"/>
                <w:position w:val="0"/>
                <w:sz w:val="21"/>
                <w:u w:val="none" w:color="auto"/>
                <w:vertAlign w:val="baseline"/>
                <w:lang w:val="en-US" w:eastAsia="zh-CN"/>
              </w:rPr>
              <w:t>5</w:t>
            </w:r>
          </w:p>
        </w:tc>
        <w:tc>
          <w:tcPr>
            <w:tcW w:w="297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部门履行职责对生态环境所带来的直接或间接影响。</w:t>
            </w:r>
          </w:p>
        </w:tc>
        <w:tc>
          <w:tcPr>
            <w:tcW w:w="4122" w:type="dxa"/>
            <w:vMerge w:val="continue"/>
            <w:tcBorders>
              <w:top w:val="single" w:color="auto" w:sz="4" w:space="0"/>
              <w:left w:val="single" w:color="auto" w:sz="4" w:space="0"/>
              <w:bottom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570"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03"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社会公众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或服务对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象满意度（5分）</w:t>
            </w:r>
          </w:p>
        </w:tc>
        <w:tc>
          <w:tcPr>
            <w:tcW w:w="44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center"/>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snapToGrid/>
                <w:color w:val="auto"/>
                <w:spacing w:val="0"/>
                <w:w w:val="100"/>
                <w:kern w:val="2"/>
                <w:position w:val="0"/>
                <w:sz w:val="21"/>
                <w:u w:val="none" w:color="auto"/>
                <w:vertAlign w:val="baseline"/>
                <w:lang w:val="en-US" w:eastAsia="zh-CN"/>
              </w:rPr>
              <w:t>4</w:t>
            </w:r>
          </w:p>
        </w:tc>
        <w:tc>
          <w:tcPr>
            <w:tcW w:w="2976"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604"/>
              </w:tabs>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2"/>
                <w:position w:val="0"/>
                <w:sz w:val="21"/>
                <w:szCs w:val="24"/>
                <w:u w:val="none" w:color="auto"/>
                <w:vertAlign w:val="baseline"/>
                <w:lang w:val="en-US" w:eastAsia="zh-CN" w:bidi="ar-SA"/>
              </w:rPr>
              <w:t>社会公众或部门的服务对象对部门履职效果的满意程度。</w:t>
            </w:r>
          </w:p>
        </w:tc>
        <w:tc>
          <w:tcPr>
            <w:tcW w:w="4122" w:type="dxa"/>
            <w:tcBorders>
              <w:top w:val="single" w:color="auto" w:sz="4" w:space="0"/>
              <w:left w:val="single" w:color="auto" w:sz="4" w:space="0"/>
              <w:bottom w:val="single" w:color="auto" w:sz="4" w:space="0"/>
              <w:right w:val="single" w:color="auto" w:sz="4" w:space="0"/>
            </w:tcBorders>
            <w:noWrap w:val="0"/>
            <w:tcMar>
              <w:top w:w="10" w:type="dxa"/>
              <w:left w:w="10" w:type="dxa"/>
              <w:right w:w="1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60" w:lineRule="exact"/>
              <w:ind w:left="0" w:right="0" w:firstLine="0"/>
              <w:jc w:val="both"/>
              <w:textAlignment w:val="auto"/>
              <w:outlineLvl w:val="9"/>
              <w:rPr>
                <w:rFonts w:hint="eastAsia" w:ascii="宋体" w:eastAsia="宋体"/>
                <w:snapToGrid/>
                <w:color w:val="auto"/>
                <w:spacing w:val="0"/>
                <w:w w:val="100"/>
                <w:kern w:val="2"/>
                <w:position w:val="0"/>
                <w:sz w:val="21"/>
                <w:u w:val="none" w:color="auto"/>
                <w:vertAlign w:val="baseline"/>
                <w:lang w:val="en-US" w:eastAsia="zh-CN"/>
              </w:rPr>
            </w:pPr>
            <w:r>
              <w:rPr>
                <w:rFonts w:hint="eastAsia" w:ascii="宋体" w:eastAsia="宋体" w:cs="宋体"/>
                <w:snapToGrid/>
                <w:color w:val="auto"/>
                <w:spacing w:val="0"/>
                <w:w w:val="100"/>
                <w:kern w:val="0"/>
                <w:position w:val="0"/>
                <w:sz w:val="21"/>
                <w:szCs w:val="24"/>
                <w:u w:val="none" w:color="auto"/>
                <w:vertAlign w:val="baseline"/>
                <w:lang w:val="en-US" w:eastAsia="zh-CN" w:bidi="ar-SA"/>
              </w:rPr>
              <w:t>按收集到的服务对象的满意率计算得分（5分）</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560" w:lineRule="exact"/>
        <w:ind w:left="0" w:right="0" w:firstLine="320" w:firstLineChars="100"/>
        <w:jc w:val="both"/>
        <w:textAlignment w:val="auto"/>
        <w:outlineLvl w:val="9"/>
        <w:rPr>
          <w:rFonts w:hint="eastAsia" w:ascii="仿宋" w:hAnsi="仿宋" w:eastAsia="仿宋" w:cs="仿宋"/>
          <w:color w:val="000000"/>
          <w:kern w:val="0"/>
          <w:sz w:val="30"/>
          <w:szCs w:val="30"/>
          <w:shd w:val="clear" w:color="auto" w:fill="FFFFFF"/>
        </w:rPr>
      </w:pPr>
      <w:r>
        <w:rPr>
          <w:rFonts w:hint="eastAsia" w:ascii="仿宋" w:eastAsia="仿宋" w:cs="仿宋"/>
          <w:snapToGrid/>
          <w:color w:val="auto"/>
          <w:spacing w:val="0"/>
          <w:w w:val="100"/>
          <w:kern w:val="2"/>
          <w:position w:val="0"/>
          <w:sz w:val="32"/>
          <w:szCs w:val="32"/>
          <w:u w:val="none" w:color="auto"/>
          <w:vertAlign w:val="baseline"/>
          <w:lang w:val="en-US" w:eastAsia="zh-CN" w:bidi="ar-SA"/>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2B705C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Lines="0" w:beforeAutospacing="0" w:after="0" w:afterLines="0" w:afterAutospacing="0" w:line="240" w:lineRule="auto"/>
      <w:ind w:left="0" w:right="0" w:firstLine="0"/>
      <w:jc w:val="both"/>
      <w:textAlignment w:val="auto"/>
      <w:outlineLvl w:val="9"/>
    </w:pPr>
    <w:rPr>
      <w:rFonts w:ascii="Times New Roman" w:hAnsi="Times New Roman" w:eastAsia="宋体"/>
      <w:snapToGrid/>
      <w:color w:val="auto"/>
      <w:spacing w:val="0"/>
      <w:w w:val="100"/>
      <w:kern w:val="2"/>
      <w:position w:val="0"/>
      <w:sz w:val="21"/>
      <w:u w:val="none" w:color="auto"/>
      <w:vertAlign w:val="baseline"/>
      <w:lang w:val="en-US" w:eastAsia="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2023-06-26T11:45:41Z</dcterms:created>
  <dc:creator>admin-3</dc:creator>
  <cp:lastModifiedBy>admin-3</cp:lastModifiedBy>
  <dcterms:modified xsi:type="dcterms:W3CDTF">2023-06-26T11:46:13Z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61D294C9DC6F4D01806B105ABCD9165D_12</vt:lpwstr>
  </property>
</Properties>
</file>