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sz w:val="36"/>
          <w:szCs w:val="36"/>
          <w:lang w:val="en-US" w:eastAsia="zh-CN"/>
        </w:rPr>
      </w:pPr>
    </w:p>
    <w:p>
      <w:pPr>
        <w:spacing w:line="480" w:lineRule="exact"/>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lang w:val="en-US" w:eastAsia="zh-CN"/>
        </w:rPr>
        <w:t>益阳市</w:t>
      </w:r>
      <w:r>
        <w:rPr>
          <w:rFonts w:hint="eastAsia" w:ascii="黑体" w:hAnsi="黑体" w:eastAsia="黑体" w:cs="黑体"/>
          <w:sz w:val="36"/>
          <w:szCs w:val="36"/>
        </w:rPr>
        <w:t>赫山区岳家桥镇大塘村谢家段组滑坡地质灾害</w:t>
      </w:r>
    </w:p>
    <w:p>
      <w:pPr>
        <w:spacing w:after="156" w:afterLines="50" w:line="400" w:lineRule="exact"/>
        <w:jc w:val="center"/>
        <w:rPr>
          <w:rFonts w:hint="eastAsia" w:ascii="黑体" w:hAnsi="黑体" w:eastAsia="黑体" w:cs="黑体"/>
          <w:sz w:val="36"/>
          <w:szCs w:val="36"/>
        </w:rPr>
      </w:pPr>
      <w:r>
        <w:rPr>
          <w:rFonts w:hint="eastAsia" w:ascii="黑体" w:hAnsi="黑体" w:eastAsia="黑体" w:cs="黑体"/>
          <w:sz w:val="36"/>
          <w:szCs w:val="36"/>
        </w:rPr>
        <w:t>治理工程项目支出绩效</w:t>
      </w:r>
      <w:r>
        <w:rPr>
          <w:rFonts w:hint="eastAsia" w:ascii="黑体" w:hAnsi="黑体" w:eastAsia="黑体" w:cs="黑体"/>
          <w:sz w:val="36"/>
          <w:szCs w:val="36"/>
          <w:lang w:val="en-US" w:eastAsia="zh-CN"/>
        </w:rPr>
        <w:t>自</w:t>
      </w:r>
      <w:r>
        <w:rPr>
          <w:rFonts w:hint="eastAsia" w:ascii="黑体" w:hAnsi="黑体" w:eastAsia="黑体" w:cs="黑体"/>
          <w:sz w:val="36"/>
          <w:szCs w:val="36"/>
        </w:rPr>
        <w:t>评报告</w:t>
      </w:r>
    </w:p>
    <w:p>
      <w:pPr>
        <w:spacing w:line="480" w:lineRule="exact"/>
        <w:ind w:firstLine="640" w:firstLineChars="200"/>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596" w:leftChars="284"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一、预算支出基本情况</w:t>
      </w:r>
    </w:p>
    <w:p>
      <w:pPr>
        <w:keepNext w:val="0"/>
        <w:keepLines w:val="0"/>
        <w:pageBreakBefore w:val="0"/>
        <w:widowControl w:val="0"/>
        <w:kinsoku/>
        <w:wordWrap/>
        <w:overflowPunct/>
        <w:topLinePunct w:val="0"/>
        <w:autoSpaceDE/>
        <w:autoSpaceDN/>
        <w:bidi w:val="0"/>
        <w:adjustRightInd/>
        <w:snapToGrid/>
        <w:spacing w:line="600" w:lineRule="exact"/>
        <w:ind w:left="598" w:leftChars="285"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（一）预算支出概况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湘财资环指〔2020〕55号）文，赫山区岳家桥镇大塘村谢家段组滑坡地质灾害治理工程项目预算总投资198万元，其中工程施工费167万元（直接施工费163.9万元、监测费1.2元、检测费1.9万元）、前期工作费23.6元（含工程勘查费11.45万元，可行性研究编制费3万元、预算编制费0.88万元，工程设计费8.27万元）、工程监理费4.2万元、竣工验收费3.2万元。</w:t>
      </w:r>
    </w:p>
    <w:p>
      <w:pPr>
        <w:keepNext w:val="0"/>
        <w:keepLines w:val="0"/>
        <w:pageBreakBefore w:val="0"/>
        <w:widowControl w:val="0"/>
        <w:kinsoku/>
        <w:wordWrap/>
        <w:overflowPunct/>
        <w:topLinePunct w:val="0"/>
        <w:autoSpaceDE/>
        <w:autoSpaceDN/>
        <w:bidi w:val="0"/>
        <w:adjustRightInd/>
        <w:snapToGrid/>
        <w:spacing w:line="600" w:lineRule="exact"/>
        <w:ind w:left="598" w:leftChars="285"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（二）预算资金使用管理情况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bCs/>
          <w:sz w:val="30"/>
          <w:szCs w:val="30"/>
        </w:rPr>
        <w:t>我局作为项目建设单位，严格执行项目各项程序。该项目在区发改局立项成功后，在区财政局进行了财政投资评审，报区人民政府同意后上报省自然资源厅，并成功纳入省厅项目库，省自然资源厅拨付项目补助资金198万元（工程施工费167万元、前期工作费23.6万元、工程监理费4.2万元、竣工验收费3.2万元）。补助资金采取专户储存、专款专用、专账核算、专人管理的办法。我们按照省自然资源厅要求，严格遵守各项制度，加强资金监督管理，严格专项资金使用。并按照工程进度付款，工程通过竣工验收后及时支付尾款。严格把控各个环节，保证了项目的顺利实施。</w:t>
      </w:r>
    </w:p>
    <w:p>
      <w:pPr>
        <w:keepNext w:val="0"/>
        <w:keepLines w:val="0"/>
        <w:pageBreakBefore w:val="0"/>
        <w:widowControl w:val="0"/>
        <w:kinsoku/>
        <w:wordWrap/>
        <w:overflowPunct/>
        <w:topLinePunct w:val="0"/>
        <w:autoSpaceDE/>
        <w:autoSpaceDN/>
        <w:bidi w:val="0"/>
        <w:adjustRightInd/>
        <w:snapToGrid/>
        <w:spacing w:line="600" w:lineRule="exact"/>
        <w:ind w:left="598" w:leftChars="285"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（三）预算支出绩效目标完成程度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项目于2021年4月26日正式开工，并于2021年11月4日通过竣工验收。项目预算198万元，项目各分部分项工程完成率100%，合格率100%，各项预算支出绩效目标全部完成。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通过项目的实施，治理地质灾害隐患点1个，保护人员41人，保护财产800万元，项目各分部分项工程合格率100%，同时美化了环境。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三、预算支出主要绩效及评价结论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通过项目的实施，治理地质灾害隐患点1个，保护人员41人，保护财产800万元，项目各分部分项工程合格率100%，同时美化了环境，周边群众基本满意，各项预算支出绩效目标全部完成。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left="598" w:leftChars="285"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（一）预算支出决策情况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该项目属于重大地质灾害治理项目，项目的实施保护人员41人，保护居民财产800万元，属于民生工程，符合国家政策，符合“人民至上，生命至上”。我局为确保项目顺利实施，特委托地质灾害勘查设计甲级资质的单位进行了勘查设计，并邀请省、市两级专家库成员对报告进行了评审，报省自然资源厅同意后立项成功，并下拨项目资金198万元。</w:t>
      </w:r>
    </w:p>
    <w:p>
      <w:pPr>
        <w:keepNext w:val="0"/>
        <w:keepLines w:val="0"/>
        <w:pageBreakBefore w:val="0"/>
        <w:widowControl w:val="0"/>
        <w:kinsoku/>
        <w:wordWrap/>
        <w:overflowPunct/>
        <w:topLinePunct w:val="0"/>
        <w:autoSpaceDE/>
        <w:autoSpaceDN/>
        <w:bidi w:val="0"/>
        <w:adjustRightInd/>
        <w:snapToGrid/>
        <w:spacing w:line="600" w:lineRule="exact"/>
        <w:ind w:left="598" w:leftChars="285"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（二）预算执行过程情况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补助资金采取专户储存、专款专用、专账核算、专人管理的办法。我们按照省自然资源厅要求，严格遵守各项制度，加强资金监督管理，严格专项资金使用。并按照工程进度付款，工程通过竣工验收后及时支付尾款。严格把控各个环节，保证了项目的顺利实施。</w:t>
      </w:r>
    </w:p>
    <w:p>
      <w:pPr>
        <w:keepNext w:val="0"/>
        <w:keepLines w:val="0"/>
        <w:pageBreakBefore w:val="0"/>
        <w:widowControl w:val="0"/>
        <w:kinsoku/>
        <w:wordWrap/>
        <w:overflowPunct/>
        <w:topLinePunct w:val="0"/>
        <w:autoSpaceDE/>
        <w:autoSpaceDN/>
        <w:bidi w:val="0"/>
        <w:adjustRightInd/>
        <w:snapToGrid/>
        <w:spacing w:line="600" w:lineRule="exact"/>
        <w:ind w:left="598" w:leftChars="285"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（三）预算支出产出情况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该项目于2021年4月26日正式开工，2021年6月15日完成野外施工，并于2021年11月4日通过竣工验收。项目包括应急抢险工程、支挡工程、截排水工程和绿化工程等4个分项，各分项完成率100%，合格率100%。</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（四）预算支出效益情况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项目的实施消除地质灾害隐患1处，保护人员41人，保护居民财产800万元，周边群众基本满意，产生了良好的社会影响。</w:t>
      </w:r>
    </w:p>
    <w:p>
      <w:pPr>
        <w:keepNext w:val="0"/>
        <w:keepLines w:val="0"/>
        <w:pageBreakBefore w:val="0"/>
        <w:widowControl w:val="0"/>
        <w:kinsoku/>
        <w:wordWrap/>
        <w:overflowPunct/>
        <w:topLinePunct w:val="0"/>
        <w:autoSpaceDE/>
        <w:autoSpaceDN/>
        <w:bidi w:val="0"/>
        <w:adjustRightInd/>
        <w:snapToGrid/>
        <w:spacing w:line="600" w:lineRule="exact"/>
        <w:ind w:left="596" w:leftChars="284"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地质灾害项目实施选择专业的甲级资质队伍实施，工程质量有保障。</w:t>
      </w:r>
    </w:p>
    <w:p>
      <w:pPr>
        <w:keepNext w:val="0"/>
        <w:keepLines w:val="0"/>
        <w:pageBreakBefore w:val="0"/>
        <w:widowControl w:val="0"/>
        <w:kinsoku/>
        <w:wordWrap/>
        <w:overflowPunct/>
        <w:topLinePunct w:val="0"/>
        <w:autoSpaceDE/>
        <w:autoSpaceDN/>
        <w:bidi w:val="0"/>
        <w:adjustRightInd/>
        <w:snapToGrid/>
        <w:spacing w:line="600" w:lineRule="exact"/>
        <w:ind w:left="596" w:leftChars="284"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六、有关建议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地质灾害项目的实施符合“人民至上，生命至上”，有利于可持续发展，建议加大项目资金投入。</w:t>
      </w:r>
    </w:p>
    <w:p>
      <w:pPr>
        <w:keepNext w:val="0"/>
        <w:keepLines w:val="0"/>
        <w:pageBreakBefore w:val="0"/>
        <w:widowControl w:val="0"/>
        <w:kinsoku/>
        <w:wordWrap/>
        <w:overflowPunct/>
        <w:topLinePunct w:val="0"/>
        <w:autoSpaceDE/>
        <w:autoSpaceDN/>
        <w:bidi w:val="0"/>
        <w:adjustRightInd/>
        <w:snapToGrid/>
        <w:spacing w:line="600" w:lineRule="exact"/>
        <w:ind w:left="596" w:leftChars="284"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七、其他需要说明的问题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我们将继续加强地质灾害防治工程，立项争资，消除隐患，为赫山可持续发展做贡献。</w:t>
      </w:r>
    </w:p>
    <w:p>
      <w:pPr>
        <w:keepNext w:val="0"/>
        <w:keepLines w:val="0"/>
        <w:pageBreakBefore w:val="0"/>
        <w:widowControl w:val="0"/>
        <w:kinsoku/>
        <w:wordWrap/>
        <w:overflowPunct/>
        <w:topLinePunct w:val="0"/>
        <w:autoSpaceDE/>
        <w:autoSpaceDN/>
        <w:bidi w:val="0"/>
        <w:adjustRightInd/>
        <w:snapToGrid/>
        <w:spacing w:line="600" w:lineRule="exact"/>
        <w:ind w:left="596" w:leftChars="284" w:firstLine="0" w:firstLineChars="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附件：</w:t>
      </w:r>
      <w:r>
        <w:rPr>
          <w:rFonts w:hint="eastAsia" w:ascii="仿宋" w:hAnsi="仿宋" w:eastAsia="仿宋" w:cs="仿宋"/>
          <w:sz w:val="30"/>
          <w:szCs w:val="30"/>
        </w:rPr>
        <w:t>2021年度项目支出绩效自评指标计分表</w:t>
      </w:r>
    </w:p>
    <w:p>
      <w:pPr>
        <w:keepNext w:val="0"/>
        <w:keepLines w:val="0"/>
        <w:pageBreakBefore w:val="0"/>
        <w:widowControl w:val="0"/>
        <w:kinsoku/>
        <w:wordWrap/>
        <w:overflowPunct/>
        <w:topLinePunct w:val="0"/>
        <w:autoSpaceDE/>
        <w:autoSpaceDN/>
        <w:bidi w:val="0"/>
        <w:adjustRightInd/>
        <w:snapToGrid/>
        <w:spacing w:line="600" w:lineRule="exact"/>
        <w:ind w:hanging="600" w:hanging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left="4380" w:leftChars="1800" w:hanging="600" w:hangingChars="200"/>
        <w:jc w:val="righ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left="4380" w:leftChars="1800" w:hanging="600" w:hangingChars="200"/>
        <w:jc w:val="right"/>
        <w:textAlignment w:val="auto"/>
        <w:rPr>
          <w:rFonts w:hint="eastAsia" w:ascii="仿宋" w:hAnsi="仿宋" w:eastAsia="仿宋" w:cs="仿宋"/>
          <w:sz w:val="30"/>
          <w:szCs w:val="30"/>
        </w:rPr>
      </w:pPr>
    </w:p>
    <w:p>
      <w:pPr>
        <w:spacing w:line="480" w:lineRule="exact"/>
        <w:rPr>
          <w:rFonts w:hint="eastAsia" w:ascii="Times New Roman" w:hAnsi="Times New Roman" w:eastAsia="黑体" w:cs="黑体"/>
          <w:sz w:val="32"/>
          <w:szCs w:val="32"/>
        </w:rPr>
      </w:pPr>
    </w:p>
    <w:p>
      <w:pPr>
        <w:spacing w:after="156" w:afterLines="50" w:line="400" w:lineRule="exact"/>
        <w:jc w:val="center"/>
        <w:rPr>
          <w:rFonts w:hint="eastAsia" w:ascii="Times New Roman" w:hAnsi="Times New Roman" w:eastAsia="方正小标宋简体" w:cs="方正小标宋_GBK"/>
          <w:sz w:val="36"/>
          <w:szCs w:val="36"/>
        </w:rPr>
      </w:pPr>
    </w:p>
    <w:p>
      <w:pPr>
        <w:spacing w:after="156" w:afterLines="50" w:line="400" w:lineRule="exact"/>
        <w:jc w:val="center"/>
        <w:rPr>
          <w:rFonts w:hint="eastAsia" w:ascii="Times New Roman" w:hAnsi="Times New Roman" w:eastAsia="方正小标宋简体" w:cs="方正小标宋_GBK"/>
          <w:sz w:val="36"/>
          <w:szCs w:val="36"/>
        </w:rPr>
      </w:pPr>
    </w:p>
    <w:p>
      <w:pPr>
        <w:spacing w:after="156" w:afterLines="50" w:line="400" w:lineRule="exact"/>
        <w:jc w:val="center"/>
        <w:rPr>
          <w:rFonts w:eastAsia="方正小标宋简体" w:cs="方正小标宋_GBK"/>
          <w:sz w:val="36"/>
          <w:szCs w:val="36"/>
        </w:rPr>
      </w:pPr>
      <w:r>
        <w:rPr>
          <w:rFonts w:hint="eastAsia" w:ascii="Times New Roman" w:hAnsi="Times New Roman" w:eastAsia="方正小标宋简体" w:cs="方正小标宋_GBK"/>
          <w:sz w:val="36"/>
          <w:szCs w:val="36"/>
        </w:rPr>
        <w:t>2021年度项目支出绩效自评指标计分表</w:t>
      </w:r>
    </w:p>
    <w:tbl>
      <w:tblPr>
        <w:tblStyle w:val="2"/>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3"/>
        <w:gridCol w:w="454"/>
        <w:gridCol w:w="834"/>
        <w:gridCol w:w="540"/>
        <w:gridCol w:w="2625"/>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95" w:type="pct"/>
            <w:tcMar>
              <w:top w:w="10" w:type="dxa"/>
              <w:left w:w="10" w:type="dxa"/>
              <w:bottom w:w="0" w:type="dxa"/>
              <w:right w:w="10" w:type="dxa"/>
            </w:tcMar>
            <w:vAlign w:val="center"/>
          </w:tcPr>
          <w:p>
            <w:pPr>
              <w:spacing w:line="240" w:lineRule="exact"/>
              <w:jc w:val="center"/>
              <w:rPr>
                <w:b/>
                <w:bCs/>
              </w:rPr>
            </w:pPr>
            <w:r>
              <w:rPr>
                <w:rFonts w:hint="eastAsia" w:ascii="Times New Roman" w:hAnsi="Times New Roman" w:cs="宋体"/>
                <w:b/>
                <w:bCs/>
              </w:rPr>
              <w:t>一级</w:t>
            </w:r>
            <w:r>
              <w:rPr>
                <w:rFonts w:ascii="Times New Roman" w:hAnsi="Times New Roman"/>
                <w:b/>
                <w:bCs/>
              </w:rPr>
              <w:br w:type="textWrapping"/>
            </w:r>
            <w:r>
              <w:rPr>
                <w:rFonts w:hint="eastAsia" w:ascii="Times New Roman" w:hAnsi="Times New Roman" w:cs="宋体"/>
                <w:b/>
                <w:bCs/>
              </w:rPr>
              <w:t>指标</w:t>
            </w:r>
          </w:p>
        </w:tc>
        <w:tc>
          <w:tcPr>
            <w:tcW w:w="247" w:type="pct"/>
            <w:tcMar>
              <w:top w:w="10" w:type="dxa"/>
              <w:left w:w="10" w:type="dxa"/>
              <w:bottom w:w="0" w:type="dxa"/>
              <w:right w:w="10" w:type="dxa"/>
            </w:tcMar>
            <w:vAlign w:val="center"/>
          </w:tcPr>
          <w:p>
            <w:pPr>
              <w:spacing w:line="240" w:lineRule="exact"/>
              <w:jc w:val="center"/>
              <w:rPr>
                <w:b/>
                <w:bCs/>
              </w:rPr>
            </w:pPr>
            <w:r>
              <w:rPr>
                <w:rFonts w:hint="eastAsia" w:ascii="Times New Roman" w:hAnsi="Times New Roman" w:cs="宋体"/>
                <w:b/>
                <w:bCs/>
              </w:rPr>
              <w:t>二级</w:t>
            </w:r>
            <w:r>
              <w:rPr>
                <w:rFonts w:ascii="Times New Roman" w:hAnsi="Times New Roman"/>
                <w:b/>
                <w:bCs/>
              </w:rPr>
              <w:br w:type="textWrapping"/>
            </w:r>
            <w:r>
              <w:rPr>
                <w:rFonts w:hint="eastAsia" w:ascii="Times New Roman" w:hAnsi="Times New Roman" w:cs="宋体"/>
                <w:b/>
                <w:bCs/>
              </w:rPr>
              <w:t>指标</w:t>
            </w:r>
          </w:p>
        </w:tc>
        <w:tc>
          <w:tcPr>
            <w:tcW w:w="454" w:type="pct"/>
            <w:tcMar>
              <w:top w:w="10" w:type="dxa"/>
              <w:left w:w="10" w:type="dxa"/>
              <w:bottom w:w="0" w:type="dxa"/>
              <w:right w:w="10" w:type="dxa"/>
            </w:tcMar>
            <w:vAlign w:val="center"/>
          </w:tcPr>
          <w:p>
            <w:pPr>
              <w:spacing w:line="240" w:lineRule="exact"/>
              <w:jc w:val="center"/>
              <w:rPr>
                <w:b/>
                <w:bCs/>
              </w:rPr>
            </w:pPr>
            <w:r>
              <w:rPr>
                <w:rFonts w:hint="eastAsia" w:ascii="Times New Roman" w:hAnsi="Times New Roman" w:cs="宋体"/>
                <w:b/>
                <w:bCs/>
              </w:rPr>
              <w:t>三级指标</w:t>
            </w:r>
          </w:p>
        </w:tc>
        <w:tc>
          <w:tcPr>
            <w:tcW w:w="294" w:type="pct"/>
          </w:tcPr>
          <w:p>
            <w:pPr>
              <w:spacing w:line="240" w:lineRule="exact"/>
              <w:jc w:val="center"/>
              <w:rPr>
                <w:b/>
                <w:bCs/>
              </w:rPr>
            </w:pPr>
            <w:r>
              <w:rPr>
                <w:rFonts w:hint="eastAsia" w:ascii="Times New Roman" w:hAnsi="Times New Roman" w:cs="宋体"/>
                <w:b/>
                <w:bCs/>
              </w:rPr>
              <w:t>自评分</w:t>
            </w:r>
          </w:p>
        </w:tc>
        <w:tc>
          <w:tcPr>
            <w:tcW w:w="1428" w:type="pct"/>
            <w:tcMar>
              <w:top w:w="10" w:type="dxa"/>
              <w:left w:w="10" w:type="dxa"/>
              <w:bottom w:w="0" w:type="dxa"/>
              <w:right w:w="10" w:type="dxa"/>
            </w:tcMar>
            <w:vAlign w:val="center"/>
          </w:tcPr>
          <w:p>
            <w:pPr>
              <w:spacing w:line="240" w:lineRule="exact"/>
              <w:jc w:val="center"/>
              <w:rPr>
                <w:b/>
                <w:bCs/>
              </w:rPr>
            </w:pPr>
            <w:r>
              <w:rPr>
                <w:rFonts w:hint="eastAsia" w:ascii="Times New Roman" w:hAnsi="Times New Roman" w:cs="宋体"/>
                <w:b/>
                <w:bCs/>
              </w:rPr>
              <w:t>指标解释</w:t>
            </w:r>
          </w:p>
        </w:tc>
        <w:tc>
          <w:tcPr>
            <w:tcW w:w="2282" w:type="pct"/>
            <w:tcMar>
              <w:top w:w="10" w:type="dxa"/>
              <w:left w:w="10" w:type="dxa"/>
              <w:bottom w:w="0" w:type="dxa"/>
              <w:right w:w="10" w:type="dxa"/>
            </w:tcMar>
            <w:vAlign w:val="center"/>
          </w:tcPr>
          <w:p>
            <w:pPr>
              <w:spacing w:line="240" w:lineRule="exact"/>
              <w:jc w:val="center"/>
              <w:rPr>
                <w:b/>
                <w:bCs/>
              </w:rPr>
            </w:pPr>
            <w:r>
              <w:rPr>
                <w:rFonts w:hint="eastAsia" w:ascii="Times New Roman" w:hAnsi="Times New Roman"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restart"/>
            <w:noWrap/>
            <w:tcMar>
              <w:top w:w="10" w:type="dxa"/>
              <w:left w:w="10" w:type="dxa"/>
              <w:bottom w:w="0" w:type="dxa"/>
              <w:right w:w="10" w:type="dxa"/>
            </w:tcMar>
            <w:textDirection w:val="tbRlV"/>
            <w:vAlign w:val="center"/>
          </w:tcPr>
          <w:p>
            <w:pPr>
              <w:spacing w:line="240" w:lineRule="exact"/>
              <w:jc w:val="center"/>
            </w:pPr>
            <w:r>
              <w:rPr>
                <w:rFonts w:hint="eastAsia" w:ascii="Times New Roman" w:hAnsi="Times New Roman" w:cs="宋体"/>
              </w:rPr>
              <w:t>决</w:t>
            </w:r>
            <w:r>
              <w:rPr>
                <w:rFonts w:ascii="Times New Roman" w:hAnsi="Times New Roman" w:cs="宋体"/>
              </w:rPr>
              <w:t xml:space="preserve">  </w:t>
            </w:r>
            <w:r>
              <w:rPr>
                <w:rFonts w:hint="eastAsia" w:ascii="Times New Roman" w:hAnsi="Times New Roman" w:cs="宋体"/>
              </w:rPr>
              <w:t>策（</w:t>
            </w:r>
            <w:r>
              <w:rPr>
                <w:rFonts w:ascii="Times New Roman" w:hAnsi="Times New Roman" w:cs="宋体"/>
              </w:rPr>
              <w:t>20</w:t>
            </w:r>
            <w:r>
              <w:rPr>
                <w:rFonts w:hint="eastAsia" w:ascii="Times New Roman" w:hAnsi="Times New Roman" w:cs="宋体"/>
              </w:rPr>
              <w:t>分）</w:t>
            </w:r>
          </w:p>
        </w:tc>
        <w:tc>
          <w:tcPr>
            <w:tcW w:w="247" w:type="pct"/>
            <w:vMerge w:val="restart"/>
            <w:tcMar>
              <w:top w:w="10" w:type="dxa"/>
              <w:left w:w="10" w:type="dxa"/>
              <w:bottom w:w="0" w:type="dxa"/>
              <w:right w:w="10" w:type="dxa"/>
            </w:tcMar>
            <w:vAlign w:val="center"/>
          </w:tcPr>
          <w:p>
            <w:pPr>
              <w:spacing w:line="240" w:lineRule="exact"/>
              <w:jc w:val="center"/>
            </w:pPr>
            <w:r>
              <w:rPr>
                <w:rFonts w:hint="eastAsia" w:ascii="Times New Roman" w:hAnsi="Times New Roman" w:cs="宋体"/>
              </w:rPr>
              <w:t>预算支出决策</w:t>
            </w:r>
          </w:p>
          <w:p>
            <w:pPr>
              <w:spacing w:line="240" w:lineRule="exact"/>
              <w:jc w:val="center"/>
            </w:pPr>
            <w:r>
              <w:rPr>
                <w:rFonts w:hint="eastAsia" w:ascii="Times New Roman" w:hAnsi="Times New Roman" w:cs="宋体"/>
              </w:rPr>
              <w:t>（项目立项）（</w:t>
            </w:r>
            <w:r>
              <w:rPr>
                <w:rFonts w:ascii="Times New Roman" w:hAnsi="Times New Roman" w:cs="宋体"/>
              </w:rPr>
              <w:t>8</w:t>
            </w:r>
            <w:r>
              <w:rPr>
                <w:rFonts w:hint="eastAsia" w:ascii="Times New Roman" w:hAnsi="Times New Roman"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预算支出决策（项目立项）依据</w:t>
            </w:r>
          </w:p>
          <w:p>
            <w:pPr>
              <w:spacing w:line="240" w:lineRule="exact"/>
              <w:ind w:left="105" w:leftChars="50" w:right="105" w:rightChars="50"/>
              <w:jc w:val="center"/>
            </w:pPr>
            <w:r>
              <w:rPr>
                <w:rFonts w:hint="eastAsia" w:ascii="Times New Roman" w:hAnsi="Times New Roman" w:cs="宋体"/>
              </w:rPr>
              <w:t>充分性（</w:t>
            </w:r>
            <w:r>
              <w:rPr>
                <w:rFonts w:ascii="Times New Roman" w:hAnsi="Times New Roman" w:cs="宋体"/>
              </w:rPr>
              <w:t>4</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4</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预算支出决策（项目立项）是否符合法律法规、相关政策、发展规划以及部门职责，用以反映和考核决策（立项）的依据情况。</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评价要点：</w:t>
            </w:r>
            <w:r>
              <w:rPr>
                <w:rFonts w:ascii="Times New Roman" w:hAnsi="Times New Roman"/>
              </w:rPr>
              <w:br w:type="textWrapping"/>
            </w:r>
            <w:r>
              <w:rPr>
                <w:rFonts w:hint="eastAsia" w:ascii="Times New Roman" w:hAnsi="Times New Roman" w:cs="宋体"/>
              </w:rPr>
              <w:t>①决策（立项）是否符合国家相关法律法规、国民经济发展规划和相关政策；</w:t>
            </w:r>
            <w:r>
              <w:rPr>
                <w:rFonts w:ascii="Times New Roman" w:hAnsi="Times New Roman"/>
              </w:rPr>
              <w:br w:type="textWrapping"/>
            </w:r>
            <w:r>
              <w:rPr>
                <w:rFonts w:hint="eastAsia" w:ascii="Times New Roman" w:hAnsi="Times New Roman" w:cs="宋体"/>
              </w:rPr>
              <w:t>②决策（立项）是否符合行业发展规划和政策要求；</w:t>
            </w:r>
            <w:r>
              <w:rPr>
                <w:rFonts w:ascii="Times New Roman" w:hAnsi="Times New Roman"/>
              </w:rPr>
              <w:br w:type="textWrapping"/>
            </w:r>
            <w:r>
              <w:rPr>
                <w:rFonts w:hint="eastAsia" w:ascii="Times New Roman" w:hAnsi="Times New Roman" w:cs="宋体"/>
              </w:rPr>
              <w:t>③决策（立项）是否与部门职责范围相符，属于部门履职所需；</w:t>
            </w:r>
            <w:r>
              <w:rPr>
                <w:rFonts w:ascii="Times New Roman" w:hAnsi="Times New Roman"/>
              </w:rPr>
              <w:br w:type="textWrapping"/>
            </w:r>
            <w:r>
              <w:rPr>
                <w:rFonts w:hint="eastAsia" w:ascii="Times New Roman" w:hAnsi="Times New Roman" w:cs="宋体"/>
              </w:rPr>
              <w:t>④预算支出是否属于公共财政支持范围，是否符合中央、地方事权支出责任划分原则；</w:t>
            </w:r>
          </w:p>
          <w:p>
            <w:pPr>
              <w:spacing w:line="240" w:lineRule="exact"/>
              <w:ind w:left="105" w:leftChars="50" w:right="105" w:rightChars="50"/>
            </w:pPr>
            <w:r>
              <w:rPr>
                <w:rFonts w:hint="eastAsia" w:ascii="Times New Roman" w:hAnsi="Times New Roman"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295" w:type="pct"/>
            <w:vMerge w:val="continue"/>
            <w:noWrap/>
            <w:tcMar>
              <w:top w:w="10" w:type="dxa"/>
              <w:left w:w="10" w:type="dxa"/>
              <w:bottom w:w="0" w:type="dxa"/>
              <w:right w:w="10" w:type="dxa"/>
            </w:tcMar>
            <w:textDirection w:val="tbRlV"/>
            <w:vAlign w:val="center"/>
          </w:tcPr>
          <w:p>
            <w:pPr>
              <w:spacing w:line="240" w:lineRule="exact"/>
              <w:jc w:val="center"/>
            </w:pPr>
          </w:p>
        </w:tc>
        <w:tc>
          <w:tcPr>
            <w:tcW w:w="247" w:type="pct"/>
            <w:vMerge w:val="continue"/>
            <w:tcMar>
              <w:top w:w="10" w:type="dxa"/>
              <w:left w:w="10" w:type="dxa"/>
              <w:bottom w:w="0" w:type="dxa"/>
              <w:right w:w="10" w:type="dxa"/>
            </w:tcMar>
            <w:vAlign w:val="center"/>
          </w:tcPr>
          <w:p>
            <w:pPr>
              <w:spacing w:line="240" w:lineRule="exact"/>
              <w:jc w:val="center"/>
            </w:pP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决策(立项）程序规范性(</w:t>
            </w:r>
            <w:r>
              <w:rPr>
                <w:rFonts w:ascii="Times New Roman" w:hAnsi="Times New Roman" w:cs="宋体"/>
              </w:rPr>
              <w:t>4</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4</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预算支出申请、设立过程是否符合相关要求，用以反映和考核决策（立项）的规范情况。</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评价要点：</w:t>
            </w:r>
          </w:p>
          <w:p>
            <w:pPr>
              <w:spacing w:line="240" w:lineRule="exact"/>
              <w:ind w:left="105" w:leftChars="50"/>
            </w:pPr>
            <w:r>
              <w:rPr>
                <w:rFonts w:hint="eastAsia" w:ascii="Times New Roman" w:hAnsi="Times New Roman" w:cs="宋体"/>
              </w:rPr>
              <w:t>①预算支出是否按照规定的程序申请设立；</w:t>
            </w:r>
          </w:p>
          <w:p>
            <w:pPr>
              <w:spacing w:line="240" w:lineRule="exact"/>
              <w:ind w:left="105" w:leftChars="50"/>
            </w:pPr>
            <w:r>
              <w:rPr>
                <w:rFonts w:hint="eastAsia" w:ascii="Times New Roman" w:hAnsi="Times New Roman" w:cs="宋体"/>
              </w:rPr>
              <w:t>②审批文件、材料是否符合相关要求；</w:t>
            </w:r>
          </w:p>
          <w:p>
            <w:pPr>
              <w:spacing w:line="240" w:lineRule="exact"/>
              <w:ind w:left="105" w:leftChars="50"/>
            </w:pPr>
            <w:r>
              <w:rPr>
                <w:rFonts w:hint="eastAsia" w:ascii="Times New Roman" w:hAnsi="Times New Roman"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295" w:type="pct"/>
            <w:vMerge w:val="continue"/>
            <w:vAlign w:val="center"/>
          </w:tcPr>
          <w:p>
            <w:pPr>
              <w:spacing w:line="240" w:lineRule="exact"/>
            </w:pPr>
          </w:p>
        </w:tc>
        <w:tc>
          <w:tcPr>
            <w:tcW w:w="247" w:type="pct"/>
            <w:vMerge w:val="restart"/>
            <w:vAlign w:val="center"/>
          </w:tcPr>
          <w:p>
            <w:pPr>
              <w:spacing w:line="240" w:lineRule="exact"/>
              <w:jc w:val="center"/>
            </w:pPr>
            <w:r>
              <w:rPr>
                <w:rFonts w:hint="eastAsia" w:ascii="Times New Roman" w:hAnsi="Times New Roman" w:cs="宋体"/>
              </w:rPr>
              <w:t>绩效</w:t>
            </w:r>
          </w:p>
          <w:p>
            <w:pPr>
              <w:spacing w:line="240" w:lineRule="exact"/>
              <w:jc w:val="center"/>
            </w:pPr>
            <w:r>
              <w:rPr>
                <w:rFonts w:hint="eastAsia" w:ascii="Times New Roman" w:hAnsi="Times New Roman" w:cs="宋体"/>
              </w:rPr>
              <w:t>目标（</w:t>
            </w:r>
            <w:r>
              <w:rPr>
                <w:rFonts w:ascii="Times New Roman" w:hAnsi="Times New Roman" w:cs="宋体"/>
              </w:rPr>
              <w:t>6</w:t>
            </w:r>
            <w:r>
              <w:rPr>
                <w:rFonts w:hint="eastAsia" w:ascii="Times New Roman" w:hAnsi="Times New Roman"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绩效目标</w:t>
            </w:r>
          </w:p>
          <w:p>
            <w:pPr>
              <w:spacing w:line="240" w:lineRule="exact"/>
              <w:ind w:left="105" w:leftChars="50" w:right="105" w:rightChars="50"/>
              <w:jc w:val="center"/>
            </w:pPr>
            <w:r>
              <w:rPr>
                <w:rFonts w:hint="eastAsia" w:ascii="Times New Roman" w:hAnsi="Times New Roman" w:cs="宋体"/>
              </w:rPr>
              <w:t>合理性（</w:t>
            </w:r>
            <w:r>
              <w:rPr>
                <w:rFonts w:ascii="Times New Roman" w:hAnsi="Times New Roman" w:cs="宋体"/>
              </w:rPr>
              <w:t>3</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3</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预算支出所设定的绩效目标是否依据充分，是否符合客观实际，用以反映和考核预算支出绩效目标与预算支出实施的相符情况。</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评价要点：</w:t>
            </w:r>
          </w:p>
          <w:p>
            <w:pPr>
              <w:spacing w:line="240" w:lineRule="exact"/>
              <w:ind w:left="105" w:leftChars="50" w:right="105" w:rightChars="50"/>
            </w:pPr>
            <w:r>
              <w:rPr>
                <w:rFonts w:hint="eastAsia" w:ascii="Times New Roman" w:hAnsi="Times New Roman" w:cs="宋体"/>
              </w:rPr>
              <w:t>（如未设定预算绩效目标，也可考核其他工作任务目标）</w:t>
            </w:r>
          </w:p>
          <w:p>
            <w:pPr>
              <w:spacing w:line="240" w:lineRule="exact"/>
              <w:ind w:left="105" w:leftChars="50" w:right="105" w:rightChars="50"/>
            </w:pPr>
            <w:r>
              <w:rPr>
                <w:rFonts w:hint="eastAsia" w:ascii="Times New Roman" w:hAnsi="Times New Roman" w:cs="宋体"/>
              </w:rPr>
              <w:t>①预算支出是否有绩效目标；</w:t>
            </w:r>
          </w:p>
          <w:p>
            <w:pPr>
              <w:spacing w:line="240" w:lineRule="exact"/>
              <w:ind w:left="105" w:leftChars="50" w:right="105" w:rightChars="50"/>
            </w:pPr>
            <w:r>
              <w:rPr>
                <w:rFonts w:hint="eastAsia" w:ascii="Times New Roman" w:hAnsi="Times New Roman" w:cs="宋体"/>
              </w:rPr>
              <w:t>②预算支出绩效目标与实际工作内容是否具有相关性；</w:t>
            </w:r>
          </w:p>
          <w:p>
            <w:pPr>
              <w:spacing w:line="240" w:lineRule="exact"/>
              <w:ind w:left="105" w:leftChars="50" w:right="105" w:rightChars="50"/>
            </w:pPr>
            <w:r>
              <w:rPr>
                <w:rFonts w:hint="eastAsia" w:ascii="Times New Roman" w:hAnsi="Times New Roman"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pPr>
          </w:p>
        </w:tc>
        <w:tc>
          <w:tcPr>
            <w:tcW w:w="247" w:type="pct"/>
            <w:vMerge w:val="continue"/>
            <w:vAlign w:val="center"/>
          </w:tcPr>
          <w:p>
            <w:pPr>
              <w:spacing w:line="240" w:lineRule="exact"/>
              <w:jc w:val="center"/>
            </w:pP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绩效指标</w:t>
            </w:r>
          </w:p>
          <w:p>
            <w:pPr>
              <w:spacing w:line="240" w:lineRule="exact"/>
              <w:ind w:left="105" w:leftChars="50" w:right="105" w:rightChars="50"/>
              <w:jc w:val="center"/>
            </w:pPr>
            <w:r>
              <w:rPr>
                <w:rFonts w:hint="eastAsia" w:ascii="Times New Roman" w:hAnsi="Times New Roman" w:cs="宋体"/>
              </w:rPr>
              <w:t>明确性（</w:t>
            </w:r>
            <w:r>
              <w:rPr>
                <w:rFonts w:ascii="Times New Roman" w:hAnsi="Times New Roman" w:cs="宋体"/>
              </w:rPr>
              <w:t>3</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3</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依据绩效目标设定的绩效指标是否清晰、细化、可衡量等，用以反映和考核预算支出绩效目标的明细化情况。</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评价要点：</w:t>
            </w:r>
            <w:r>
              <w:rPr>
                <w:rFonts w:ascii="Times New Roman" w:hAnsi="Times New Roman"/>
              </w:rPr>
              <w:br w:type="textWrapping"/>
            </w:r>
            <w:r>
              <w:rPr>
                <w:rFonts w:hint="eastAsia" w:ascii="Times New Roman" w:hAnsi="Times New Roman" w:cs="宋体"/>
              </w:rPr>
              <w:t>①是否将预算支出绩效目标细化分解为具体的绩效指标；</w:t>
            </w:r>
            <w:r>
              <w:rPr>
                <w:rFonts w:ascii="Times New Roman" w:hAnsi="Times New Roman"/>
              </w:rPr>
              <w:br w:type="textWrapping"/>
            </w:r>
            <w:r>
              <w:rPr>
                <w:rFonts w:hint="eastAsia" w:ascii="Times New Roman" w:hAnsi="Times New Roman" w:cs="宋体"/>
              </w:rPr>
              <w:t>②是否通过清晰、可衡量的指标值予以体现；</w:t>
            </w:r>
            <w:r>
              <w:rPr>
                <w:rFonts w:ascii="Times New Roman" w:hAnsi="Times New Roman"/>
              </w:rPr>
              <w:br w:type="textWrapping"/>
            </w:r>
            <w:r>
              <w:rPr>
                <w:rFonts w:hint="eastAsia" w:ascii="Times New Roman" w:hAnsi="Times New Roman"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295" w:type="pct"/>
            <w:vMerge w:val="continue"/>
            <w:vAlign w:val="center"/>
          </w:tcPr>
          <w:p>
            <w:pPr>
              <w:spacing w:line="240" w:lineRule="exact"/>
            </w:pPr>
          </w:p>
        </w:tc>
        <w:tc>
          <w:tcPr>
            <w:tcW w:w="247" w:type="pct"/>
            <w:vMerge w:val="restart"/>
            <w:vAlign w:val="center"/>
          </w:tcPr>
          <w:p>
            <w:pPr>
              <w:spacing w:line="240" w:lineRule="exact"/>
              <w:jc w:val="center"/>
            </w:pPr>
            <w:r>
              <w:rPr>
                <w:rFonts w:hint="eastAsia" w:ascii="Times New Roman" w:hAnsi="Times New Roman" w:cs="宋体"/>
              </w:rPr>
              <w:t>资金</w:t>
            </w:r>
          </w:p>
          <w:p>
            <w:pPr>
              <w:spacing w:line="240" w:lineRule="exact"/>
              <w:jc w:val="center"/>
            </w:pPr>
            <w:r>
              <w:rPr>
                <w:rFonts w:hint="eastAsia" w:ascii="Times New Roman" w:hAnsi="Times New Roman" w:cs="宋体"/>
              </w:rPr>
              <w:t>投入（</w:t>
            </w:r>
            <w:r>
              <w:rPr>
                <w:rFonts w:ascii="Times New Roman" w:hAnsi="Times New Roman" w:cs="宋体"/>
              </w:rPr>
              <w:t>6</w:t>
            </w:r>
            <w:r>
              <w:rPr>
                <w:rFonts w:hint="eastAsia" w:ascii="Times New Roman" w:hAnsi="Times New Roman"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预算编制</w:t>
            </w:r>
          </w:p>
          <w:p>
            <w:pPr>
              <w:spacing w:line="240" w:lineRule="exact"/>
              <w:ind w:left="105" w:leftChars="50" w:right="105" w:rightChars="50"/>
              <w:jc w:val="center"/>
            </w:pPr>
            <w:r>
              <w:rPr>
                <w:rFonts w:hint="eastAsia" w:ascii="Times New Roman" w:hAnsi="Times New Roman" w:cs="宋体"/>
              </w:rPr>
              <w:t>科学性（</w:t>
            </w:r>
            <w:r>
              <w:rPr>
                <w:rFonts w:ascii="Times New Roman" w:hAnsi="Times New Roman" w:cs="宋体"/>
              </w:rPr>
              <w:t>3</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3</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预算编制是否经过科学论证、有明确标准，资金额度与年度目标是否相适应，用以反映和考核预算支出预算编制的科学性、合理性情况。</w:t>
            </w:r>
          </w:p>
        </w:tc>
        <w:tc>
          <w:tcPr>
            <w:tcW w:w="2282" w:type="pct"/>
            <w:tcMar>
              <w:top w:w="10" w:type="dxa"/>
              <w:left w:w="10" w:type="dxa"/>
              <w:bottom w:w="0" w:type="dxa"/>
              <w:right w:w="10" w:type="dxa"/>
            </w:tcMar>
            <w:vAlign w:val="center"/>
          </w:tcPr>
          <w:p>
            <w:pPr>
              <w:spacing w:line="220" w:lineRule="exact"/>
              <w:ind w:left="105" w:leftChars="50" w:right="105" w:rightChars="50"/>
            </w:pPr>
            <w:r>
              <w:rPr>
                <w:rFonts w:hint="eastAsia" w:ascii="Times New Roman" w:hAnsi="Times New Roman" w:cs="宋体"/>
              </w:rPr>
              <w:t>评价要点：</w:t>
            </w:r>
          </w:p>
          <w:p>
            <w:pPr>
              <w:spacing w:line="220" w:lineRule="exact"/>
              <w:ind w:left="105" w:leftChars="50" w:right="105" w:rightChars="50"/>
            </w:pPr>
            <w:r>
              <w:rPr>
                <w:rFonts w:hint="eastAsia" w:ascii="Times New Roman" w:hAnsi="Times New Roman" w:cs="宋体"/>
              </w:rPr>
              <w:t>①预算编制是否经过科学论证；</w:t>
            </w:r>
          </w:p>
          <w:p>
            <w:pPr>
              <w:spacing w:line="220" w:lineRule="exact"/>
              <w:ind w:left="105" w:leftChars="50" w:right="105" w:rightChars="50"/>
            </w:pPr>
            <w:r>
              <w:rPr>
                <w:rFonts w:hint="eastAsia" w:ascii="Times New Roman" w:hAnsi="Times New Roman" w:cs="宋体"/>
              </w:rPr>
              <w:t>②预算内容与支出内容是否匹配；</w:t>
            </w:r>
          </w:p>
          <w:p>
            <w:pPr>
              <w:spacing w:line="220" w:lineRule="exact"/>
              <w:ind w:left="105" w:leftChars="50" w:right="105" w:rightChars="50"/>
            </w:pPr>
            <w:r>
              <w:rPr>
                <w:rFonts w:hint="eastAsia" w:ascii="Times New Roman" w:hAnsi="Times New Roman" w:cs="宋体"/>
              </w:rPr>
              <w:t>③预算额度测算依据是否充分，是否按照标准编制；</w:t>
            </w:r>
          </w:p>
          <w:p>
            <w:pPr>
              <w:spacing w:line="220" w:lineRule="exact"/>
              <w:ind w:left="105" w:leftChars="50" w:right="105" w:rightChars="50"/>
            </w:pPr>
            <w:r>
              <w:rPr>
                <w:rFonts w:hint="eastAsia" w:ascii="Times New Roman" w:hAnsi="Times New Roman"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pPr>
          </w:p>
        </w:tc>
        <w:tc>
          <w:tcPr>
            <w:tcW w:w="247" w:type="pct"/>
            <w:vMerge w:val="continue"/>
            <w:vAlign w:val="center"/>
          </w:tcPr>
          <w:p>
            <w:pPr>
              <w:spacing w:line="240" w:lineRule="exact"/>
              <w:jc w:val="center"/>
            </w:pP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资金分配</w:t>
            </w:r>
          </w:p>
          <w:p>
            <w:pPr>
              <w:spacing w:line="240" w:lineRule="exact"/>
              <w:ind w:left="105" w:leftChars="50" w:right="105" w:rightChars="50"/>
              <w:jc w:val="center"/>
            </w:pPr>
            <w:r>
              <w:rPr>
                <w:rFonts w:hint="eastAsia" w:ascii="Times New Roman" w:hAnsi="Times New Roman" w:cs="宋体"/>
              </w:rPr>
              <w:t>合理性（</w:t>
            </w:r>
            <w:r>
              <w:rPr>
                <w:rFonts w:ascii="Times New Roman" w:hAnsi="Times New Roman" w:cs="宋体"/>
              </w:rPr>
              <w:t>3</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3</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预算资金分配是否有测算依据，与补助单位或地方实际是否相适应，用以反映和考核预算支出预算资金分配的科学性、合理性情况。</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评价要点：</w:t>
            </w:r>
          </w:p>
          <w:p>
            <w:pPr>
              <w:spacing w:line="240" w:lineRule="exact"/>
              <w:ind w:right="105" w:rightChars="50" w:firstLine="105" w:firstLineChars="50"/>
            </w:pPr>
            <w:r>
              <w:rPr>
                <w:rFonts w:hint="eastAsia" w:ascii="Times New Roman" w:hAnsi="Times New Roman" w:cs="宋体"/>
              </w:rPr>
              <w:t>①预算资金分配依据是否充分；</w:t>
            </w:r>
          </w:p>
          <w:p>
            <w:pPr>
              <w:spacing w:line="240" w:lineRule="exact"/>
              <w:ind w:left="105" w:leftChars="50" w:right="105" w:rightChars="50"/>
            </w:pPr>
            <w:r>
              <w:rPr>
                <w:rFonts w:hint="eastAsia" w:ascii="Times New Roman" w:hAnsi="Times New Roman"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295" w:type="pct"/>
            <w:vMerge w:val="restart"/>
            <w:vAlign w:val="center"/>
          </w:tcPr>
          <w:p>
            <w:pPr>
              <w:spacing w:line="240" w:lineRule="exact"/>
              <w:jc w:val="center"/>
            </w:pPr>
            <w:r>
              <w:rPr>
                <w:rFonts w:hint="eastAsia" w:ascii="Times New Roman" w:hAnsi="Times New Roman" w:cs="宋体"/>
              </w:rPr>
              <w:t>过</w:t>
            </w:r>
          </w:p>
          <w:p>
            <w:pPr>
              <w:spacing w:line="240" w:lineRule="exact"/>
              <w:jc w:val="center"/>
            </w:pPr>
          </w:p>
          <w:p>
            <w:pPr>
              <w:spacing w:line="240" w:lineRule="exact"/>
              <w:jc w:val="center"/>
            </w:pPr>
          </w:p>
          <w:p>
            <w:pPr>
              <w:spacing w:line="240" w:lineRule="exact"/>
              <w:jc w:val="center"/>
            </w:pPr>
            <w:r>
              <w:rPr>
                <w:rFonts w:hint="eastAsia" w:ascii="Times New Roman" w:hAnsi="Times New Roman" w:cs="宋体"/>
              </w:rPr>
              <w:t>程（</w:t>
            </w:r>
            <w:r>
              <w:rPr>
                <w:rFonts w:ascii="Times New Roman" w:hAnsi="Times New Roman" w:cs="宋体"/>
              </w:rPr>
              <w:t>20</w:t>
            </w:r>
            <w:r>
              <w:rPr>
                <w:rFonts w:hint="eastAsia" w:ascii="Times New Roman" w:hAnsi="Times New Roman" w:cs="宋体"/>
              </w:rPr>
              <w:t>分）</w:t>
            </w:r>
          </w:p>
        </w:tc>
        <w:tc>
          <w:tcPr>
            <w:tcW w:w="247" w:type="pct"/>
            <w:vMerge w:val="restart"/>
            <w:tcMar>
              <w:top w:w="10" w:type="dxa"/>
              <w:left w:w="10" w:type="dxa"/>
              <w:bottom w:w="0" w:type="dxa"/>
              <w:right w:w="10" w:type="dxa"/>
            </w:tcMar>
            <w:vAlign w:val="center"/>
          </w:tcPr>
          <w:p>
            <w:pPr>
              <w:spacing w:line="240" w:lineRule="exact"/>
              <w:jc w:val="center"/>
            </w:pPr>
            <w:r>
              <w:rPr>
                <w:rFonts w:hint="eastAsia" w:ascii="Times New Roman" w:hAnsi="Times New Roman" w:cs="宋体"/>
              </w:rPr>
              <w:t>资金</w:t>
            </w:r>
            <w:r>
              <w:rPr>
                <w:rFonts w:ascii="Times New Roman" w:hAnsi="Times New Roman"/>
              </w:rPr>
              <w:br w:type="textWrapping"/>
            </w:r>
            <w:r>
              <w:rPr>
                <w:rFonts w:hint="eastAsia" w:ascii="Times New Roman" w:hAnsi="Times New Roman" w:cs="宋体"/>
              </w:rPr>
              <w:t>管理（</w:t>
            </w:r>
            <w:r>
              <w:rPr>
                <w:rFonts w:ascii="Times New Roman" w:hAnsi="Times New Roman" w:cs="宋体"/>
              </w:rPr>
              <w:t>12</w:t>
            </w:r>
            <w:r>
              <w:rPr>
                <w:rFonts w:hint="eastAsia" w:ascii="Times New Roman" w:hAnsi="Times New Roman"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资金</w:t>
            </w:r>
          </w:p>
          <w:p>
            <w:pPr>
              <w:spacing w:line="240" w:lineRule="exact"/>
              <w:ind w:left="105" w:leftChars="50" w:right="105" w:rightChars="50"/>
              <w:jc w:val="center"/>
            </w:pPr>
            <w:r>
              <w:rPr>
                <w:rFonts w:hint="eastAsia" w:ascii="Times New Roman" w:hAnsi="Times New Roman" w:cs="宋体"/>
              </w:rPr>
              <w:t>到位率（</w:t>
            </w:r>
            <w:r>
              <w:rPr>
                <w:rFonts w:ascii="Times New Roman" w:hAnsi="Times New Roman" w:cs="宋体"/>
              </w:rPr>
              <w:t>4</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4</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实际到位资金与预算资金的比率，用以反映和考核资金落实情况对预算支出实施的总体保障程度。</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资金到位率</w:t>
            </w:r>
            <w:r>
              <w:rPr>
                <w:rFonts w:ascii="Times New Roman" w:hAnsi="Times New Roman" w:cs="宋体"/>
              </w:rPr>
              <w:t>=</w:t>
            </w:r>
            <w:r>
              <w:rPr>
                <w:rFonts w:hint="eastAsia" w:ascii="Times New Roman" w:hAnsi="Times New Roman" w:cs="宋体"/>
              </w:rPr>
              <w:t>（实际到位资金</w:t>
            </w:r>
            <w:r>
              <w:rPr>
                <w:rFonts w:ascii="Times New Roman" w:hAnsi="Times New Roman" w:cs="宋体"/>
              </w:rPr>
              <w:t>/</w:t>
            </w:r>
            <w:r>
              <w:rPr>
                <w:rFonts w:hint="eastAsia" w:ascii="Times New Roman" w:hAnsi="Times New Roman" w:cs="宋体"/>
              </w:rPr>
              <w:t>预算资金）×</w:t>
            </w:r>
            <w:r>
              <w:rPr>
                <w:rFonts w:ascii="Times New Roman" w:hAnsi="Times New Roman" w:cs="宋体"/>
              </w:rPr>
              <w:t>100%</w:t>
            </w:r>
            <w:r>
              <w:rPr>
                <w:rFonts w:hint="eastAsia" w:ascii="Times New Roman" w:hAnsi="Times New Roman" w:cs="宋体"/>
              </w:rPr>
              <w:t>。</w:t>
            </w:r>
            <w:r>
              <w:rPr>
                <w:rFonts w:ascii="Times New Roman" w:hAnsi="Times New Roman"/>
              </w:rPr>
              <w:br w:type="textWrapping"/>
            </w:r>
            <w:r>
              <w:rPr>
                <w:rFonts w:hint="eastAsia" w:ascii="Times New Roman" w:hAnsi="Times New Roman" w:cs="宋体"/>
              </w:rPr>
              <w:t>实际到位资金：一定时期（本年度或预算支出期）内落实到具体预算支出的资金。</w:t>
            </w:r>
            <w:r>
              <w:rPr>
                <w:rFonts w:ascii="Times New Roman" w:hAnsi="Times New Roman"/>
              </w:rPr>
              <w:br w:type="textWrapping"/>
            </w:r>
            <w:r>
              <w:rPr>
                <w:rFonts w:hint="eastAsia" w:ascii="Times New Roman" w:hAnsi="Times New Roman"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295" w:type="pct"/>
            <w:vMerge w:val="continue"/>
            <w:vAlign w:val="center"/>
          </w:tcPr>
          <w:p>
            <w:pPr>
              <w:spacing w:line="240" w:lineRule="exact"/>
              <w:jc w:val="center"/>
            </w:pPr>
          </w:p>
        </w:tc>
        <w:tc>
          <w:tcPr>
            <w:tcW w:w="247" w:type="pct"/>
            <w:vMerge w:val="continue"/>
            <w:tcMar>
              <w:top w:w="10" w:type="dxa"/>
              <w:left w:w="10" w:type="dxa"/>
              <w:bottom w:w="0" w:type="dxa"/>
              <w:right w:w="10" w:type="dxa"/>
            </w:tcMar>
            <w:vAlign w:val="center"/>
          </w:tcPr>
          <w:p>
            <w:pPr>
              <w:spacing w:line="240" w:lineRule="exact"/>
              <w:jc w:val="center"/>
            </w:pP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预算</w:t>
            </w:r>
          </w:p>
          <w:p>
            <w:pPr>
              <w:spacing w:line="240" w:lineRule="exact"/>
              <w:ind w:left="105" w:leftChars="50" w:right="105" w:rightChars="50"/>
              <w:jc w:val="center"/>
            </w:pPr>
            <w:r>
              <w:rPr>
                <w:rFonts w:hint="eastAsia" w:ascii="Times New Roman" w:hAnsi="Times New Roman" w:cs="宋体"/>
              </w:rPr>
              <w:t>执行率（</w:t>
            </w:r>
            <w:r>
              <w:rPr>
                <w:rFonts w:ascii="Times New Roman" w:hAnsi="Times New Roman" w:cs="宋体"/>
              </w:rPr>
              <w:t>4</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4</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预算资金是否按照计划执行，用以反映或考核预算支出预算执行情况。</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预算执行率</w:t>
            </w:r>
            <w:r>
              <w:rPr>
                <w:rFonts w:ascii="Times New Roman" w:hAnsi="Times New Roman" w:cs="宋体"/>
              </w:rPr>
              <w:t>=</w:t>
            </w:r>
            <w:r>
              <w:rPr>
                <w:rFonts w:hint="eastAsia" w:ascii="Times New Roman" w:hAnsi="Times New Roman" w:cs="宋体"/>
              </w:rPr>
              <w:t>（实际支出资金</w:t>
            </w:r>
            <w:r>
              <w:rPr>
                <w:rFonts w:ascii="Times New Roman" w:hAnsi="Times New Roman" w:cs="宋体"/>
              </w:rPr>
              <w:t>/</w:t>
            </w:r>
            <w:r>
              <w:rPr>
                <w:rFonts w:hint="eastAsia" w:ascii="Times New Roman" w:hAnsi="Times New Roman" w:cs="宋体"/>
              </w:rPr>
              <w:t>实际到位资金）×</w:t>
            </w:r>
            <w:r>
              <w:rPr>
                <w:rFonts w:ascii="Times New Roman" w:hAnsi="Times New Roman" w:cs="宋体"/>
              </w:rPr>
              <w:t>100%</w:t>
            </w:r>
            <w:r>
              <w:rPr>
                <w:rFonts w:hint="eastAsia" w:ascii="Times New Roman" w:hAnsi="Times New Roman" w:cs="宋体"/>
              </w:rPr>
              <w:t>。</w:t>
            </w:r>
          </w:p>
          <w:p>
            <w:pPr>
              <w:spacing w:line="240" w:lineRule="exact"/>
              <w:ind w:left="105" w:leftChars="50" w:right="105" w:rightChars="50"/>
            </w:pPr>
            <w:r>
              <w:rPr>
                <w:rFonts w:hint="eastAsia" w:ascii="Times New Roman" w:hAnsi="Times New Roman"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jc w:val="center"/>
            </w:pPr>
          </w:p>
        </w:tc>
        <w:tc>
          <w:tcPr>
            <w:tcW w:w="247" w:type="pct"/>
            <w:vMerge w:val="continue"/>
            <w:vAlign w:val="center"/>
          </w:tcPr>
          <w:p>
            <w:pPr>
              <w:spacing w:line="240" w:lineRule="exact"/>
            </w:pP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资金使用</w:t>
            </w:r>
          </w:p>
          <w:p>
            <w:pPr>
              <w:spacing w:line="240" w:lineRule="exact"/>
              <w:ind w:left="105" w:leftChars="50" w:right="105" w:rightChars="50"/>
              <w:jc w:val="center"/>
            </w:pPr>
            <w:r>
              <w:rPr>
                <w:rFonts w:hint="eastAsia" w:ascii="Times New Roman" w:hAnsi="Times New Roman" w:cs="宋体"/>
              </w:rPr>
              <w:t>合规性（</w:t>
            </w:r>
            <w:r>
              <w:rPr>
                <w:rFonts w:ascii="Times New Roman" w:hAnsi="Times New Roman" w:cs="宋体"/>
              </w:rPr>
              <w:t>4</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4</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预算资金使用是否符合相关的财务管理制度规定，用以反映和考核预算资金的规范运行情况。</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评价要点：</w:t>
            </w:r>
          </w:p>
          <w:p>
            <w:pPr>
              <w:spacing w:line="240" w:lineRule="exact"/>
              <w:ind w:left="105" w:leftChars="50" w:right="105" w:rightChars="50"/>
            </w:pPr>
            <w:r>
              <w:rPr>
                <w:rFonts w:hint="eastAsia" w:ascii="Times New Roman" w:hAnsi="Times New Roman" w:cs="宋体"/>
              </w:rPr>
              <w:t>①是否符合国家财经法规和财务管理制度以及有关专项资金管理办法的规定；</w:t>
            </w:r>
          </w:p>
          <w:p>
            <w:pPr>
              <w:spacing w:line="240" w:lineRule="exact"/>
              <w:ind w:right="105" w:rightChars="50" w:firstLine="105" w:firstLineChars="50"/>
            </w:pPr>
            <w:r>
              <w:rPr>
                <w:rFonts w:hint="eastAsia" w:ascii="Times New Roman" w:hAnsi="Times New Roman" w:cs="宋体"/>
              </w:rPr>
              <w:t>②资金的拨付是否有完整的审批程序和手续；</w:t>
            </w:r>
          </w:p>
          <w:p>
            <w:pPr>
              <w:spacing w:line="240" w:lineRule="exact"/>
              <w:ind w:right="105" w:rightChars="50" w:firstLine="105" w:firstLineChars="50"/>
            </w:pPr>
            <w:r>
              <w:rPr>
                <w:rFonts w:hint="eastAsia" w:ascii="Times New Roman" w:hAnsi="Times New Roman" w:cs="宋体"/>
              </w:rPr>
              <w:t>③是否符合预算支出预算批复或合同规定的用途；</w:t>
            </w:r>
          </w:p>
          <w:p>
            <w:pPr>
              <w:spacing w:line="240" w:lineRule="exact"/>
              <w:ind w:left="105" w:leftChars="50" w:right="105" w:rightChars="50"/>
            </w:pPr>
            <w:r>
              <w:rPr>
                <w:rFonts w:hint="eastAsia" w:ascii="Times New Roman" w:hAnsi="Times New Roman"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noWrap/>
            <w:tcMar>
              <w:top w:w="10" w:type="dxa"/>
              <w:left w:w="10" w:type="dxa"/>
              <w:bottom w:w="0" w:type="dxa"/>
              <w:right w:w="10" w:type="dxa"/>
            </w:tcMar>
            <w:textDirection w:val="tbRlV"/>
            <w:vAlign w:val="center"/>
          </w:tcPr>
          <w:p>
            <w:pPr>
              <w:spacing w:line="240" w:lineRule="exact"/>
              <w:jc w:val="center"/>
            </w:pPr>
          </w:p>
        </w:tc>
        <w:tc>
          <w:tcPr>
            <w:tcW w:w="247" w:type="pct"/>
            <w:vMerge w:val="restart"/>
            <w:tcMar>
              <w:top w:w="10" w:type="dxa"/>
              <w:left w:w="10" w:type="dxa"/>
              <w:bottom w:w="0" w:type="dxa"/>
              <w:right w:w="10" w:type="dxa"/>
            </w:tcMar>
            <w:vAlign w:val="center"/>
          </w:tcPr>
          <w:p>
            <w:pPr>
              <w:spacing w:line="240" w:lineRule="exact"/>
              <w:jc w:val="center"/>
            </w:pPr>
            <w:r>
              <w:rPr>
                <w:rFonts w:hint="eastAsia" w:ascii="Times New Roman" w:hAnsi="Times New Roman" w:cs="宋体"/>
              </w:rPr>
              <w:t>组织</w:t>
            </w:r>
          </w:p>
          <w:p>
            <w:pPr>
              <w:spacing w:line="240" w:lineRule="exact"/>
              <w:jc w:val="center"/>
            </w:pPr>
            <w:r>
              <w:rPr>
                <w:rFonts w:hint="eastAsia" w:ascii="Times New Roman" w:hAnsi="Times New Roman" w:cs="宋体"/>
              </w:rPr>
              <w:t>实施（</w:t>
            </w:r>
            <w:r>
              <w:rPr>
                <w:rFonts w:ascii="Times New Roman" w:hAnsi="Times New Roman" w:cs="宋体"/>
              </w:rPr>
              <w:t>8</w:t>
            </w:r>
            <w:r>
              <w:rPr>
                <w:rFonts w:hint="eastAsia" w:ascii="Times New Roman" w:hAnsi="Times New Roman"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管理制度</w:t>
            </w:r>
          </w:p>
          <w:p>
            <w:pPr>
              <w:spacing w:line="240" w:lineRule="exact"/>
              <w:ind w:left="105" w:leftChars="50" w:right="105" w:rightChars="50"/>
              <w:jc w:val="center"/>
            </w:pPr>
            <w:r>
              <w:rPr>
                <w:rFonts w:hint="eastAsia" w:ascii="Times New Roman" w:hAnsi="Times New Roman" w:cs="宋体"/>
              </w:rPr>
              <w:t>健全性（</w:t>
            </w:r>
            <w:r>
              <w:rPr>
                <w:rFonts w:ascii="Times New Roman" w:hAnsi="Times New Roman" w:cs="宋体"/>
              </w:rPr>
              <w:t>4</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4</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预算支出实施单位的财务和业务管理制度是否健全，用以反映和考核财务和业务管理制度对预算支出顺利实施的保障情况。</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评价要点：</w:t>
            </w:r>
            <w:r>
              <w:rPr>
                <w:rFonts w:ascii="Times New Roman" w:hAnsi="Times New Roman"/>
              </w:rPr>
              <w:br w:type="textWrapping"/>
            </w:r>
            <w:r>
              <w:rPr>
                <w:rFonts w:hint="eastAsia" w:ascii="Times New Roman" w:hAnsi="Times New Roman" w:cs="宋体"/>
              </w:rPr>
              <w:t>①是否已制定或具有相应的业务管理制度；</w:t>
            </w:r>
            <w:r>
              <w:rPr>
                <w:rFonts w:ascii="Times New Roman" w:hAnsi="Times New Roman"/>
              </w:rPr>
              <w:br w:type="textWrapping"/>
            </w:r>
            <w:r>
              <w:rPr>
                <w:rFonts w:hint="eastAsia" w:ascii="Times New Roman" w:hAnsi="Times New Roman"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pPr>
          </w:p>
        </w:tc>
        <w:tc>
          <w:tcPr>
            <w:tcW w:w="247" w:type="pct"/>
            <w:vMerge w:val="continue"/>
            <w:vAlign w:val="center"/>
          </w:tcPr>
          <w:p>
            <w:pPr>
              <w:spacing w:line="240" w:lineRule="exact"/>
            </w:pP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制度执行</w:t>
            </w:r>
          </w:p>
          <w:p>
            <w:pPr>
              <w:spacing w:line="240" w:lineRule="exact"/>
              <w:ind w:left="105" w:leftChars="50" w:right="105" w:rightChars="50"/>
              <w:jc w:val="center"/>
            </w:pPr>
            <w:r>
              <w:rPr>
                <w:rFonts w:hint="eastAsia" w:ascii="Times New Roman" w:hAnsi="Times New Roman" w:cs="宋体"/>
              </w:rPr>
              <w:t>有效性（</w:t>
            </w:r>
            <w:r>
              <w:rPr>
                <w:rFonts w:ascii="Times New Roman" w:hAnsi="Times New Roman" w:cs="宋体"/>
              </w:rPr>
              <w:t>4</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4</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预算支出实施是否符合相关业务管理规定，用以反映和考核业务管理制度的有效执行情况。</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评价要点：</w:t>
            </w:r>
            <w:r>
              <w:rPr>
                <w:rFonts w:ascii="Times New Roman" w:hAnsi="Times New Roman"/>
              </w:rPr>
              <w:br w:type="textWrapping"/>
            </w:r>
            <w:r>
              <w:rPr>
                <w:rFonts w:hint="eastAsia" w:ascii="Times New Roman" w:hAnsi="Times New Roman" w:cs="宋体"/>
              </w:rPr>
              <w:t>①是否遵守相关法律法规和相关管理规定；</w:t>
            </w:r>
            <w:r>
              <w:rPr>
                <w:rFonts w:ascii="Times New Roman" w:hAnsi="Times New Roman"/>
              </w:rPr>
              <w:br w:type="textWrapping"/>
            </w:r>
            <w:r>
              <w:rPr>
                <w:rFonts w:hint="eastAsia" w:ascii="Times New Roman" w:hAnsi="Times New Roman" w:cs="宋体"/>
              </w:rPr>
              <w:t>②预算支出调整及支出调整手续是否完备；</w:t>
            </w:r>
            <w:r>
              <w:rPr>
                <w:rFonts w:ascii="Times New Roman" w:hAnsi="Times New Roman"/>
              </w:rPr>
              <w:br w:type="textWrapping"/>
            </w:r>
            <w:r>
              <w:rPr>
                <w:rFonts w:hint="eastAsia" w:ascii="Times New Roman" w:hAnsi="Times New Roman" w:cs="宋体"/>
              </w:rPr>
              <w:t>③预算支出合同书、验收报告、技术鉴定等资料是否齐全并及时归档；</w:t>
            </w:r>
            <w:r>
              <w:rPr>
                <w:rFonts w:ascii="Times New Roman" w:hAnsi="Times New Roman"/>
              </w:rPr>
              <w:br w:type="textWrapping"/>
            </w:r>
            <w:r>
              <w:rPr>
                <w:rFonts w:hint="eastAsia" w:ascii="Times New Roman" w:hAnsi="Times New Roman"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295" w:type="pct"/>
            <w:vMerge w:val="restart"/>
            <w:noWrap/>
            <w:tcMar>
              <w:top w:w="10" w:type="dxa"/>
              <w:left w:w="10" w:type="dxa"/>
              <w:bottom w:w="0" w:type="dxa"/>
              <w:right w:w="10" w:type="dxa"/>
            </w:tcMar>
            <w:textDirection w:val="tbRlV"/>
            <w:vAlign w:val="center"/>
          </w:tcPr>
          <w:p>
            <w:pPr>
              <w:spacing w:line="240" w:lineRule="exact"/>
              <w:jc w:val="center"/>
            </w:pPr>
            <w:r>
              <w:rPr>
                <w:rFonts w:hint="eastAsia" w:ascii="Times New Roman" w:hAnsi="Times New Roman" w:cs="宋体"/>
              </w:rPr>
              <w:t>产</w:t>
            </w:r>
            <w:r>
              <w:rPr>
                <w:rFonts w:ascii="Times New Roman" w:hAnsi="Times New Roman" w:cs="宋体"/>
              </w:rPr>
              <w:t xml:space="preserve">   </w:t>
            </w:r>
            <w:r>
              <w:rPr>
                <w:rFonts w:hint="eastAsia" w:ascii="Times New Roman" w:hAnsi="Times New Roman" w:cs="宋体"/>
              </w:rPr>
              <w:t>出（</w:t>
            </w:r>
            <w:r>
              <w:rPr>
                <w:rFonts w:ascii="Times New Roman" w:hAnsi="Times New Roman" w:cs="宋体"/>
              </w:rPr>
              <w:t>40</w:t>
            </w:r>
            <w:r>
              <w:rPr>
                <w:rFonts w:hint="eastAsia" w:ascii="Times New Roman" w:hAnsi="Times New Roman" w:cs="宋体"/>
              </w:rPr>
              <w:t>分）</w:t>
            </w:r>
          </w:p>
        </w:tc>
        <w:tc>
          <w:tcPr>
            <w:tcW w:w="247" w:type="pct"/>
            <w:tcMar>
              <w:top w:w="10" w:type="dxa"/>
              <w:left w:w="10" w:type="dxa"/>
              <w:bottom w:w="0" w:type="dxa"/>
              <w:right w:w="10" w:type="dxa"/>
            </w:tcMar>
            <w:vAlign w:val="center"/>
          </w:tcPr>
          <w:p>
            <w:pPr>
              <w:spacing w:line="240" w:lineRule="exact"/>
              <w:jc w:val="center"/>
            </w:pPr>
            <w:r>
              <w:rPr>
                <w:rFonts w:hint="eastAsia" w:ascii="Times New Roman" w:hAnsi="Times New Roman" w:cs="宋体"/>
              </w:rPr>
              <w:t>产出</w:t>
            </w:r>
          </w:p>
          <w:p>
            <w:pPr>
              <w:spacing w:line="240" w:lineRule="exact"/>
              <w:jc w:val="center"/>
            </w:pPr>
            <w:r>
              <w:rPr>
                <w:rFonts w:hint="eastAsia" w:ascii="Times New Roman" w:hAnsi="Times New Roman" w:cs="宋体"/>
              </w:rPr>
              <w:t>数量（</w:t>
            </w:r>
            <w:r>
              <w:rPr>
                <w:rFonts w:ascii="Times New Roman" w:hAnsi="Times New Roman" w:cs="宋体"/>
              </w:rPr>
              <w:t>10</w:t>
            </w:r>
            <w:r>
              <w:rPr>
                <w:rFonts w:hint="eastAsia" w:ascii="Times New Roman" w:hAnsi="Times New Roman"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实际</w:t>
            </w:r>
          </w:p>
          <w:p>
            <w:pPr>
              <w:spacing w:line="240" w:lineRule="exact"/>
              <w:ind w:left="105" w:leftChars="50" w:right="105" w:rightChars="50"/>
              <w:jc w:val="center"/>
            </w:pPr>
            <w:r>
              <w:rPr>
                <w:rFonts w:hint="eastAsia" w:ascii="Times New Roman" w:hAnsi="Times New Roman" w:cs="宋体"/>
              </w:rPr>
              <w:t>完成率（</w:t>
            </w:r>
            <w:r>
              <w:rPr>
                <w:rFonts w:ascii="Times New Roman" w:hAnsi="Times New Roman" w:cs="宋体"/>
              </w:rPr>
              <w:t>10</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10</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预算支出实施的实际产出数与计划产出数的比率，用以反映和考核预算支出产出数量目标的实现程度。</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实际完成率</w:t>
            </w:r>
            <w:r>
              <w:rPr>
                <w:rFonts w:ascii="Times New Roman" w:hAnsi="Times New Roman" w:cs="宋体"/>
              </w:rPr>
              <w:t>=</w:t>
            </w:r>
            <w:r>
              <w:rPr>
                <w:rFonts w:hint="eastAsia" w:ascii="Times New Roman" w:hAnsi="Times New Roman" w:cs="宋体"/>
              </w:rPr>
              <w:t>（实际产出数</w:t>
            </w:r>
            <w:r>
              <w:rPr>
                <w:rFonts w:ascii="Times New Roman" w:hAnsi="Times New Roman" w:cs="宋体"/>
              </w:rPr>
              <w:t>/</w:t>
            </w:r>
            <w:r>
              <w:rPr>
                <w:rFonts w:hint="eastAsia" w:ascii="Times New Roman" w:hAnsi="Times New Roman" w:cs="宋体"/>
              </w:rPr>
              <w:t>计划产出数）×</w:t>
            </w:r>
            <w:r>
              <w:rPr>
                <w:rFonts w:ascii="Times New Roman" w:hAnsi="Times New Roman" w:cs="宋体"/>
              </w:rPr>
              <w:t>100%</w:t>
            </w:r>
            <w:r>
              <w:rPr>
                <w:rFonts w:hint="eastAsia" w:ascii="Times New Roman" w:hAnsi="Times New Roman" w:cs="宋体"/>
              </w:rPr>
              <w:t>。</w:t>
            </w:r>
            <w:r>
              <w:rPr>
                <w:rFonts w:ascii="Times New Roman" w:hAnsi="Times New Roman"/>
              </w:rPr>
              <w:br w:type="textWrapping"/>
            </w:r>
            <w:r>
              <w:rPr>
                <w:rFonts w:hint="eastAsia" w:ascii="Times New Roman" w:hAnsi="Times New Roman" w:cs="宋体"/>
              </w:rPr>
              <w:t>实际产出数：一定时期（本年度或预算支出期）内预算支出实际产出的产品或提供的服务数量。</w:t>
            </w:r>
            <w:r>
              <w:rPr>
                <w:rFonts w:ascii="Times New Roman" w:hAnsi="Times New Roman"/>
              </w:rPr>
              <w:br w:type="textWrapping"/>
            </w:r>
            <w:r>
              <w:rPr>
                <w:rFonts w:hint="eastAsia" w:ascii="Times New Roman" w:hAnsi="Times New Roman"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295" w:type="pct"/>
            <w:vMerge w:val="continue"/>
            <w:noWrap/>
            <w:tcMar>
              <w:top w:w="10" w:type="dxa"/>
              <w:left w:w="10" w:type="dxa"/>
              <w:bottom w:w="0" w:type="dxa"/>
              <w:right w:w="10" w:type="dxa"/>
            </w:tcMar>
            <w:textDirection w:val="tbRlV"/>
            <w:vAlign w:val="center"/>
          </w:tcPr>
          <w:p>
            <w:pPr>
              <w:spacing w:line="240" w:lineRule="exact"/>
              <w:jc w:val="center"/>
            </w:pPr>
          </w:p>
        </w:tc>
        <w:tc>
          <w:tcPr>
            <w:tcW w:w="247" w:type="pct"/>
            <w:tcMar>
              <w:top w:w="10" w:type="dxa"/>
              <w:left w:w="10" w:type="dxa"/>
              <w:bottom w:w="0" w:type="dxa"/>
              <w:right w:w="10" w:type="dxa"/>
            </w:tcMar>
            <w:vAlign w:val="center"/>
          </w:tcPr>
          <w:p>
            <w:pPr>
              <w:spacing w:line="240" w:lineRule="exact"/>
              <w:jc w:val="center"/>
            </w:pPr>
            <w:r>
              <w:rPr>
                <w:rFonts w:hint="eastAsia" w:ascii="Times New Roman" w:hAnsi="Times New Roman" w:cs="宋体"/>
              </w:rPr>
              <w:t>产出</w:t>
            </w:r>
          </w:p>
          <w:p>
            <w:pPr>
              <w:spacing w:line="240" w:lineRule="exact"/>
              <w:jc w:val="center"/>
            </w:pPr>
            <w:r>
              <w:rPr>
                <w:rFonts w:hint="eastAsia" w:ascii="Times New Roman" w:hAnsi="Times New Roman" w:cs="宋体"/>
              </w:rPr>
              <w:t>质量（</w:t>
            </w:r>
            <w:r>
              <w:rPr>
                <w:rFonts w:ascii="Times New Roman" w:hAnsi="Times New Roman" w:cs="宋体"/>
              </w:rPr>
              <w:t>10</w:t>
            </w:r>
            <w:r>
              <w:rPr>
                <w:rFonts w:hint="eastAsia" w:ascii="Times New Roman" w:hAnsi="Times New Roman"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质量</w:t>
            </w:r>
          </w:p>
          <w:p>
            <w:pPr>
              <w:spacing w:line="240" w:lineRule="exact"/>
              <w:ind w:left="105" w:leftChars="50" w:right="105" w:rightChars="50"/>
              <w:jc w:val="center"/>
            </w:pPr>
            <w:r>
              <w:rPr>
                <w:rFonts w:hint="eastAsia" w:ascii="Times New Roman" w:hAnsi="Times New Roman" w:cs="宋体"/>
              </w:rPr>
              <w:t>达标率（</w:t>
            </w:r>
            <w:r>
              <w:rPr>
                <w:rFonts w:ascii="Times New Roman" w:hAnsi="Times New Roman" w:cs="宋体"/>
              </w:rPr>
              <w:t>10</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10</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预算支出完成的质量达标产出数与实际产出数的比率，用以反映和考核预算支出产出质量目标的实现程度。</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质量达标率</w:t>
            </w:r>
            <w:r>
              <w:rPr>
                <w:rFonts w:ascii="Times New Roman" w:hAnsi="Times New Roman" w:cs="宋体"/>
              </w:rPr>
              <w:t>=</w:t>
            </w:r>
            <w:r>
              <w:rPr>
                <w:rFonts w:hint="eastAsia" w:ascii="Times New Roman" w:hAnsi="Times New Roman" w:cs="宋体"/>
              </w:rPr>
              <w:t>（质量达标产出数</w:t>
            </w:r>
            <w:r>
              <w:rPr>
                <w:rFonts w:ascii="Times New Roman" w:hAnsi="Times New Roman" w:cs="宋体"/>
              </w:rPr>
              <w:t>/</w:t>
            </w:r>
            <w:r>
              <w:rPr>
                <w:rFonts w:hint="eastAsia" w:ascii="Times New Roman" w:hAnsi="Times New Roman" w:cs="宋体"/>
              </w:rPr>
              <w:t>实际产出数）×</w:t>
            </w:r>
            <w:r>
              <w:rPr>
                <w:rFonts w:ascii="Times New Roman" w:hAnsi="Times New Roman" w:cs="宋体"/>
              </w:rPr>
              <w:t>100%</w:t>
            </w:r>
            <w:r>
              <w:rPr>
                <w:rFonts w:hint="eastAsia" w:ascii="Times New Roman" w:hAnsi="Times New Roman" w:cs="宋体"/>
              </w:rPr>
              <w:t>。</w:t>
            </w:r>
            <w:r>
              <w:rPr>
                <w:rFonts w:ascii="Times New Roman" w:hAnsi="Times New Roman"/>
              </w:rPr>
              <w:br w:type="textWrapping"/>
            </w:r>
            <w:r>
              <w:rPr>
                <w:rFonts w:hint="eastAsia" w:ascii="Times New Roman" w:hAnsi="Times New Roman"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295" w:type="pct"/>
            <w:vMerge w:val="restart"/>
            <w:vAlign w:val="center"/>
          </w:tcPr>
          <w:p>
            <w:pPr>
              <w:spacing w:line="240" w:lineRule="exact"/>
              <w:ind w:left="113"/>
            </w:pPr>
            <w:r>
              <w:rPr>
                <w:rFonts w:hint="eastAsia" w:ascii="Times New Roman" w:hAnsi="Times New Roman" w:cs="宋体"/>
              </w:rPr>
              <w:t>产</w:t>
            </w:r>
            <w:r>
              <w:rPr>
                <w:rFonts w:ascii="Times New Roman" w:hAnsi="Times New Roman" w:cs="宋体"/>
              </w:rPr>
              <w:t xml:space="preserve">   </w:t>
            </w:r>
            <w:r>
              <w:rPr>
                <w:rFonts w:hint="eastAsia" w:ascii="Times New Roman" w:hAnsi="Times New Roman" w:cs="宋体"/>
              </w:rPr>
              <w:t>出（</w:t>
            </w:r>
            <w:r>
              <w:rPr>
                <w:rFonts w:ascii="Times New Roman" w:hAnsi="Times New Roman" w:cs="宋体"/>
              </w:rPr>
              <w:t>40</w:t>
            </w:r>
            <w:r>
              <w:rPr>
                <w:rFonts w:hint="eastAsia" w:ascii="Times New Roman" w:hAnsi="Times New Roman" w:cs="宋体"/>
              </w:rPr>
              <w:t>分）</w:t>
            </w:r>
          </w:p>
        </w:tc>
        <w:tc>
          <w:tcPr>
            <w:tcW w:w="247" w:type="pct"/>
            <w:vAlign w:val="center"/>
          </w:tcPr>
          <w:p>
            <w:pPr>
              <w:spacing w:line="240" w:lineRule="exact"/>
              <w:jc w:val="center"/>
            </w:pPr>
            <w:r>
              <w:rPr>
                <w:rFonts w:hint="eastAsia" w:ascii="Times New Roman" w:hAnsi="Times New Roman" w:cs="宋体"/>
              </w:rPr>
              <w:t>产出</w:t>
            </w:r>
          </w:p>
          <w:p>
            <w:pPr>
              <w:spacing w:line="240" w:lineRule="exact"/>
              <w:jc w:val="center"/>
            </w:pPr>
            <w:r>
              <w:rPr>
                <w:rFonts w:hint="eastAsia" w:ascii="Times New Roman" w:hAnsi="Times New Roman" w:cs="宋体"/>
              </w:rPr>
              <w:t>时效（</w:t>
            </w:r>
            <w:r>
              <w:rPr>
                <w:rFonts w:ascii="Times New Roman" w:hAnsi="Times New Roman" w:cs="宋体"/>
              </w:rPr>
              <w:t>10</w:t>
            </w:r>
            <w:r>
              <w:rPr>
                <w:rFonts w:hint="eastAsia" w:ascii="Times New Roman" w:hAnsi="Times New Roman"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完成</w:t>
            </w:r>
          </w:p>
          <w:p>
            <w:pPr>
              <w:spacing w:line="240" w:lineRule="exact"/>
              <w:ind w:left="105" w:leftChars="50" w:right="105" w:rightChars="50"/>
              <w:jc w:val="center"/>
            </w:pPr>
            <w:r>
              <w:rPr>
                <w:rFonts w:hint="eastAsia" w:ascii="Times New Roman" w:hAnsi="Times New Roman" w:cs="宋体"/>
              </w:rPr>
              <w:t>及时性（</w:t>
            </w:r>
            <w:r>
              <w:rPr>
                <w:rFonts w:ascii="Times New Roman" w:hAnsi="Times New Roman" w:cs="宋体"/>
              </w:rPr>
              <w:t>10</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10</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预算支出实际完成时间与计划完成时间的比较，用以反映和考核预算支出产出时效目标的实现程度。</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实际完成时间：预算支出实施单位完成该预算支出实际所耗用的时间。</w:t>
            </w:r>
            <w:r>
              <w:rPr>
                <w:rFonts w:ascii="Times New Roman" w:hAnsi="Times New Roman"/>
              </w:rPr>
              <w:br w:type="textWrapping"/>
            </w:r>
            <w:r>
              <w:rPr>
                <w:rFonts w:hint="eastAsia" w:ascii="Times New Roman" w:hAnsi="Times New Roman"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ind w:left="113"/>
            </w:pPr>
          </w:p>
        </w:tc>
        <w:tc>
          <w:tcPr>
            <w:tcW w:w="247" w:type="pct"/>
            <w:vAlign w:val="center"/>
          </w:tcPr>
          <w:p>
            <w:pPr>
              <w:spacing w:line="240" w:lineRule="exact"/>
              <w:jc w:val="center"/>
            </w:pPr>
            <w:r>
              <w:rPr>
                <w:rFonts w:hint="eastAsia" w:ascii="Times New Roman" w:hAnsi="Times New Roman" w:cs="宋体"/>
              </w:rPr>
              <w:t>产出</w:t>
            </w:r>
          </w:p>
          <w:p>
            <w:pPr>
              <w:spacing w:line="240" w:lineRule="exact"/>
              <w:jc w:val="center"/>
            </w:pPr>
            <w:r>
              <w:rPr>
                <w:rFonts w:hint="eastAsia" w:ascii="Times New Roman" w:hAnsi="Times New Roman" w:cs="宋体"/>
              </w:rPr>
              <w:t>成本（</w:t>
            </w:r>
            <w:r>
              <w:rPr>
                <w:rFonts w:ascii="Times New Roman" w:hAnsi="Times New Roman" w:cs="宋体"/>
              </w:rPr>
              <w:t>10</w:t>
            </w:r>
            <w:r>
              <w:rPr>
                <w:rFonts w:hint="eastAsia" w:ascii="Times New Roman" w:hAnsi="Times New Roman"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成本</w:t>
            </w:r>
          </w:p>
          <w:p>
            <w:pPr>
              <w:spacing w:line="240" w:lineRule="exact"/>
              <w:ind w:left="105" w:leftChars="50" w:right="105" w:rightChars="50"/>
              <w:jc w:val="center"/>
            </w:pPr>
            <w:r>
              <w:rPr>
                <w:rFonts w:hint="eastAsia" w:ascii="Times New Roman" w:hAnsi="Times New Roman" w:cs="宋体"/>
              </w:rPr>
              <w:t>节约率（</w:t>
            </w:r>
            <w:r>
              <w:rPr>
                <w:rFonts w:ascii="Times New Roman" w:hAnsi="Times New Roman" w:cs="宋体"/>
              </w:rPr>
              <w:t>10</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10</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完成预算支出计划工作目标的实际节约成本与计划成本的比率，用以反映和考核预算支出的成本节约程度。</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成本节约率</w:t>
            </w:r>
            <w:r>
              <w:rPr>
                <w:rFonts w:ascii="Times New Roman" w:hAnsi="Times New Roman" w:cs="宋体"/>
              </w:rPr>
              <w:t>=[</w:t>
            </w:r>
            <w:r>
              <w:rPr>
                <w:rFonts w:hint="eastAsia" w:ascii="Times New Roman" w:hAnsi="Times New Roman" w:cs="宋体"/>
              </w:rPr>
              <w:t>（计划成本</w:t>
            </w:r>
            <w:r>
              <w:rPr>
                <w:rFonts w:ascii="Times New Roman" w:hAnsi="Times New Roman" w:cs="宋体"/>
              </w:rPr>
              <w:t>-</w:t>
            </w:r>
            <w:r>
              <w:rPr>
                <w:rFonts w:hint="eastAsia" w:ascii="Times New Roman" w:hAnsi="Times New Roman" w:cs="宋体"/>
              </w:rPr>
              <w:t>实际成本）</w:t>
            </w:r>
            <w:r>
              <w:rPr>
                <w:rFonts w:ascii="Times New Roman" w:hAnsi="Times New Roman" w:cs="宋体"/>
              </w:rPr>
              <w:t>/</w:t>
            </w:r>
            <w:r>
              <w:rPr>
                <w:rFonts w:hint="eastAsia" w:ascii="Times New Roman" w:hAnsi="Times New Roman" w:cs="宋体"/>
              </w:rPr>
              <w:t>计划成本</w:t>
            </w:r>
            <w:r>
              <w:rPr>
                <w:rFonts w:ascii="Times New Roman" w:hAnsi="Times New Roman" w:cs="宋体"/>
              </w:rPr>
              <w:t>]</w:t>
            </w:r>
            <w:r>
              <w:rPr>
                <w:rFonts w:hint="eastAsia" w:ascii="Times New Roman" w:hAnsi="Times New Roman" w:cs="宋体"/>
              </w:rPr>
              <w:t>×</w:t>
            </w:r>
            <w:r>
              <w:rPr>
                <w:rFonts w:ascii="Times New Roman" w:hAnsi="Times New Roman" w:cs="宋体"/>
              </w:rPr>
              <w:t>100%</w:t>
            </w:r>
            <w:r>
              <w:rPr>
                <w:rFonts w:hint="eastAsia" w:ascii="Times New Roman" w:hAnsi="Times New Roman" w:cs="宋体"/>
              </w:rPr>
              <w:t>。</w:t>
            </w:r>
            <w:r>
              <w:rPr>
                <w:rFonts w:ascii="Times New Roman" w:hAnsi="Times New Roman"/>
              </w:rPr>
              <w:br w:type="textWrapping"/>
            </w:r>
            <w:r>
              <w:rPr>
                <w:rFonts w:hint="eastAsia" w:ascii="Times New Roman" w:hAnsi="Times New Roman" w:cs="宋体"/>
              </w:rPr>
              <w:t>实际成本：预算支出实施单位如期、保质、保量完成既定工作目标实际所耗费的支出。</w:t>
            </w:r>
            <w:r>
              <w:rPr>
                <w:rFonts w:ascii="Times New Roman" w:hAnsi="Times New Roman"/>
              </w:rPr>
              <w:br w:type="textWrapping"/>
            </w:r>
            <w:r>
              <w:rPr>
                <w:rFonts w:hint="eastAsia" w:ascii="Times New Roman" w:hAnsi="Times New Roman"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restart"/>
            <w:noWrap/>
            <w:tcMar>
              <w:top w:w="10" w:type="dxa"/>
              <w:left w:w="10" w:type="dxa"/>
              <w:bottom w:w="0" w:type="dxa"/>
              <w:right w:w="10" w:type="dxa"/>
            </w:tcMar>
            <w:textDirection w:val="tbRlV"/>
            <w:vAlign w:val="center"/>
          </w:tcPr>
          <w:p>
            <w:pPr>
              <w:spacing w:line="240" w:lineRule="exact"/>
              <w:jc w:val="center"/>
            </w:pPr>
            <w:r>
              <w:rPr>
                <w:rFonts w:hint="eastAsia" w:ascii="Times New Roman" w:hAnsi="Times New Roman" w:cs="宋体"/>
              </w:rPr>
              <w:t>效</w:t>
            </w:r>
            <w:r>
              <w:rPr>
                <w:rFonts w:ascii="Times New Roman" w:hAnsi="Times New Roman" w:cs="宋体"/>
              </w:rPr>
              <w:t xml:space="preserve">   </w:t>
            </w:r>
            <w:r>
              <w:rPr>
                <w:rFonts w:hint="eastAsia" w:ascii="Times New Roman" w:hAnsi="Times New Roman" w:cs="宋体"/>
              </w:rPr>
              <w:t>益（</w:t>
            </w:r>
            <w:r>
              <w:rPr>
                <w:rFonts w:ascii="Times New Roman" w:hAnsi="Times New Roman" w:cs="宋体"/>
              </w:rPr>
              <w:t>20</w:t>
            </w:r>
            <w:r>
              <w:rPr>
                <w:rFonts w:hint="eastAsia" w:ascii="Times New Roman" w:hAnsi="Times New Roman" w:cs="宋体"/>
              </w:rPr>
              <w:t>分）</w:t>
            </w:r>
          </w:p>
        </w:tc>
        <w:tc>
          <w:tcPr>
            <w:tcW w:w="247" w:type="pct"/>
            <w:vMerge w:val="restart"/>
            <w:tcMar>
              <w:top w:w="10" w:type="dxa"/>
              <w:left w:w="10" w:type="dxa"/>
              <w:bottom w:w="0" w:type="dxa"/>
              <w:right w:w="10" w:type="dxa"/>
            </w:tcMar>
            <w:vAlign w:val="center"/>
          </w:tcPr>
          <w:p>
            <w:pPr>
              <w:spacing w:line="240" w:lineRule="exact"/>
              <w:jc w:val="center"/>
            </w:pPr>
            <w:r>
              <w:rPr>
                <w:rFonts w:hint="eastAsia" w:ascii="Times New Roman" w:hAnsi="Times New Roman" w:cs="宋体"/>
              </w:rPr>
              <w:t>预算支出</w:t>
            </w:r>
            <w:r>
              <w:rPr>
                <w:rFonts w:ascii="Times New Roman" w:hAnsi="Times New Roman"/>
              </w:rPr>
              <w:br w:type="textWrapping"/>
            </w:r>
            <w:r>
              <w:rPr>
                <w:rFonts w:hint="eastAsia" w:ascii="Times New Roman" w:hAnsi="Times New Roman" w:cs="宋体"/>
              </w:rPr>
              <w:t>效益（</w:t>
            </w:r>
            <w:r>
              <w:rPr>
                <w:rFonts w:ascii="Times New Roman" w:hAnsi="Times New Roman" w:cs="宋体"/>
              </w:rPr>
              <w:t>20</w:t>
            </w:r>
            <w:r>
              <w:rPr>
                <w:rFonts w:hint="eastAsia" w:ascii="Times New Roman" w:hAnsi="Times New Roman" w:cs="宋体"/>
              </w:rPr>
              <w:t>分）</w:t>
            </w: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实施效益（</w:t>
            </w:r>
            <w:r>
              <w:rPr>
                <w:rFonts w:ascii="Times New Roman" w:hAnsi="Times New Roman" w:cs="宋体"/>
              </w:rPr>
              <w:t>10</w:t>
            </w:r>
            <w:r>
              <w:rPr>
                <w:rFonts w:hint="eastAsia" w:ascii="Times New Roman" w:hAnsi="Times New Roman" w:cs="宋体"/>
              </w:rPr>
              <w:t>分）</w:t>
            </w:r>
          </w:p>
        </w:tc>
        <w:tc>
          <w:tcPr>
            <w:tcW w:w="294" w:type="pct"/>
            <w:vAlign w:val="center"/>
          </w:tcPr>
          <w:p>
            <w:pPr>
              <w:spacing w:line="240" w:lineRule="exact"/>
              <w:ind w:left="105" w:leftChars="50" w:right="105" w:rightChars="50"/>
              <w:jc w:val="center"/>
            </w:pPr>
            <w:r>
              <w:rPr>
                <w:rFonts w:hint="eastAsia" w:ascii="Times New Roman" w:hAnsi="Times New Roman"/>
              </w:rPr>
              <w:t>10</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预算支出实施所产生的效益。</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Merge w:val="continue"/>
            <w:vAlign w:val="center"/>
          </w:tcPr>
          <w:p>
            <w:pPr>
              <w:spacing w:line="240" w:lineRule="exact"/>
            </w:pPr>
          </w:p>
        </w:tc>
        <w:tc>
          <w:tcPr>
            <w:tcW w:w="247" w:type="pct"/>
            <w:vMerge w:val="continue"/>
            <w:vAlign w:val="center"/>
          </w:tcPr>
          <w:p>
            <w:pPr>
              <w:spacing w:line="240" w:lineRule="exact"/>
            </w:pPr>
          </w:p>
        </w:tc>
        <w:tc>
          <w:tcPr>
            <w:tcW w:w="454" w:type="pct"/>
            <w:tcMar>
              <w:top w:w="10" w:type="dxa"/>
              <w:left w:w="10" w:type="dxa"/>
              <w:bottom w:w="0" w:type="dxa"/>
              <w:right w:w="10" w:type="dxa"/>
            </w:tcMar>
            <w:vAlign w:val="center"/>
          </w:tcPr>
          <w:p>
            <w:pPr>
              <w:spacing w:line="240" w:lineRule="exact"/>
              <w:ind w:left="105" w:leftChars="50" w:right="105" w:rightChars="50"/>
              <w:jc w:val="center"/>
            </w:pPr>
            <w:r>
              <w:rPr>
                <w:rFonts w:hint="eastAsia" w:ascii="Times New Roman" w:hAnsi="Times New Roman" w:cs="宋体"/>
              </w:rPr>
              <w:t>社会公众</w:t>
            </w:r>
          </w:p>
          <w:p>
            <w:pPr>
              <w:spacing w:line="240" w:lineRule="exact"/>
              <w:ind w:left="105" w:leftChars="50" w:right="105" w:rightChars="50"/>
              <w:jc w:val="center"/>
            </w:pPr>
            <w:r>
              <w:rPr>
                <w:rFonts w:hint="eastAsia" w:ascii="Times New Roman" w:hAnsi="Times New Roman" w:cs="宋体"/>
              </w:rPr>
              <w:t>或服务（</w:t>
            </w:r>
            <w:r>
              <w:rPr>
                <w:rFonts w:ascii="Times New Roman" w:hAnsi="Times New Roman" w:cs="宋体"/>
              </w:rPr>
              <w:t>10</w:t>
            </w:r>
            <w:r>
              <w:rPr>
                <w:rFonts w:hint="eastAsia" w:ascii="Times New Roman" w:hAnsi="Times New Roman" w:cs="宋体"/>
              </w:rPr>
              <w:t>分）对</w:t>
            </w:r>
          </w:p>
          <w:p>
            <w:pPr>
              <w:spacing w:line="240" w:lineRule="exact"/>
              <w:ind w:left="105" w:leftChars="50" w:right="105" w:rightChars="50"/>
              <w:jc w:val="center"/>
            </w:pPr>
            <w:r>
              <w:rPr>
                <w:rFonts w:hint="eastAsia" w:ascii="Times New Roman" w:hAnsi="Times New Roman" w:cs="宋体"/>
              </w:rPr>
              <w:t>象满意度</w:t>
            </w:r>
          </w:p>
        </w:tc>
        <w:tc>
          <w:tcPr>
            <w:tcW w:w="294" w:type="pct"/>
            <w:vAlign w:val="center"/>
          </w:tcPr>
          <w:p>
            <w:pPr>
              <w:spacing w:line="240" w:lineRule="exact"/>
              <w:ind w:left="105" w:leftChars="50" w:right="105" w:rightChars="50"/>
              <w:jc w:val="center"/>
            </w:pPr>
            <w:r>
              <w:rPr>
                <w:rFonts w:hint="eastAsia" w:ascii="Times New Roman" w:hAnsi="Times New Roman"/>
              </w:rPr>
              <w:t>10</w:t>
            </w:r>
          </w:p>
        </w:tc>
        <w:tc>
          <w:tcPr>
            <w:tcW w:w="1428"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社会公众或服务对象对预算支出实施效果的满意程度。</w:t>
            </w:r>
          </w:p>
        </w:tc>
        <w:tc>
          <w:tcPr>
            <w:tcW w:w="2282" w:type="pct"/>
            <w:tcMar>
              <w:top w:w="10" w:type="dxa"/>
              <w:left w:w="10" w:type="dxa"/>
              <w:bottom w:w="0" w:type="dxa"/>
              <w:right w:w="10" w:type="dxa"/>
            </w:tcMar>
            <w:vAlign w:val="center"/>
          </w:tcPr>
          <w:p>
            <w:pPr>
              <w:spacing w:line="240" w:lineRule="exact"/>
              <w:ind w:left="105" w:leftChars="50" w:right="105" w:rightChars="50"/>
            </w:pPr>
            <w:r>
              <w:rPr>
                <w:rFonts w:hint="eastAsia" w:ascii="Times New Roman" w:hAnsi="Times New Roman"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95" w:type="pct"/>
            <w:vAlign w:val="center"/>
          </w:tcPr>
          <w:p>
            <w:pPr>
              <w:spacing w:line="240" w:lineRule="exact"/>
            </w:pPr>
            <w:r>
              <w:rPr>
                <w:rFonts w:hint="eastAsia" w:ascii="Times New Roman" w:hAnsi="Times New Roman" w:cs="宋体"/>
              </w:rPr>
              <w:t>总分</w:t>
            </w:r>
          </w:p>
        </w:tc>
        <w:tc>
          <w:tcPr>
            <w:tcW w:w="247" w:type="pct"/>
            <w:vAlign w:val="center"/>
          </w:tcPr>
          <w:p>
            <w:pPr>
              <w:spacing w:line="240" w:lineRule="exact"/>
            </w:pPr>
          </w:p>
        </w:tc>
        <w:tc>
          <w:tcPr>
            <w:tcW w:w="454" w:type="pct"/>
            <w:tcMar>
              <w:top w:w="10" w:type="dxa"/>
              <w:left w:w="10" w:type="dxa"/>
              <w:bottom w:w="0" w:type="dxa"/>
              <w:right w:w="10" w:type="dxa"/>
            </w:tcMar>
            <w:vAlign w:val="center"/>
          </w:tcPr>
          <w:p>
            <w:pPr>
              <w:spacing w:line="240" w:lineRule="exact"/>
              <w:ind w:left="105" w:leftChars="50" w:right="105" w:rightChars="50"/>
              <w:jc w:val="center"/>
            </w:pPr>
          </w:p>
        </w:tc>
        <w:tc>
          <w:tcPr>
            <w:tcW w:w="294" w:type="pct"/>
            <w:vAlign w:val="center"/>
          </w:tcPr>
          <w:p>
            <w:pPr>
              <w:spacing w:line="240" w:lineRule="exact"/>
              <w:ind w:left="105" w:leftChars="50" w:right="105" w:rightChars="50"/>
              <w:jc w:val="center"/>
            </w:pPr>
            <w:r>
              <w:rPr>
                <w:rFonts w:hint="eastAsia" w:ascii="Times New Roman" w:hAnsi="Times New Roman"/>
              </w:rPr>
              <w:t>100</w:t>
            </w:r>
          </w:p>
        </w:tc>
        <w:tc>
          <w:tcPr>
            <w:tcW w:w="1428" w:type="pct"/>
            <w:tcMar>
              <w:top w:w="10" w:type="dxa"/>
              <w:left w:w="10" w:type="dxa"/>
              <w:bottom w:w="0" w:type="dxa"/>
              <w:right w:w="10" w:type="dxa"/>
            </w:tcMar>
            <w:vAlign w:val="center"/>
          </w:tcPr>
          <w:p>
            <w:pPr>
              <w:spacing w:line="240" w:lineRule="exact"/>
              <w:ind w:left="105" w:leftChars="50" w:right="105" w:rightChars="50"/>
            </w:pPr>
          </w:p>
        </w:tc>
        <w:tc>
          <w:tcPr>
            <w:tcW w:w="2282" w:type="pct"/>
            <w:tcMar>
              <w:top w:w="10" w:type="dxa"/>
              <w:left w:w="10" w:type="dxa"/>
              <w:bottom w:w="0" w:type="dxa"/>
              <w:right w:w="10" w:type="dxa"/>
            </w:tcMar>
            <w:vAlign w:val="center"/>
          </w:tcPr>
          <w:p>
            <w:pPr>
              <w:spacing w:line="240" w:lineRule="exact"/>
              <w:ind w:left="105" w:leftChars="50" w:right="105" w:rightChars="50"/>
            </w:pPr>
          </w:p>
        </w:tc>
      </w:tr>
    </w:tbl>
    <w:p>
      <w:pPr>
        <w:widowControl/>
        <w:spacing w:line="500" w:lineRule="exact"/>
        <w:jc w:val="left"/>
        <w:rPr>
          <w:rFonts w:hint="eastAsia"/>
        </w:rPr>
      </w:pPr>
    </w:p>
    <w:p>
      <w:pPr>
        <w:ind w:firstLine="640" w:firstLineChars="200"/>
        <w:jc w:val="left"/>
        <w:rPr>
          <w:rFonts w:cs="黑体" w:asciiTheme="minorEastAsia" w:hAnsiTheme="minorEastAsia"/>
          <w:color w:val="000000"/>
          <w:kern w:val="0"/>
          <w:sz w:val="32"/>
          <w:szCs w:val="32"/>
        </w:rPr>
      </w:pPr>
    </w:p>
    <w:p/>
    <w:sectPr>
      <w:pgSz w:w="11906" w:h="16838"/>
      <w:pgMar w:top="1134"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412D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2023-06-27T07:38:26Z</dcterms:created>
  <dc:creator>admin-3</dc:creator>
  <cp:lastModifiedBy>admin-3</cp:lastModifiedBy>
  <dcterms:modified xsi:type="dcterms:W3CDTF">2023-06-27T07:38:41Z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CDE3CF67B7384E92BF96958E74A61FF8_12</vt:lpwstr>
  </property>
</Properties>
</file>