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00" w:lineRule="exact"/>
        <w:jc w:val="center"/>
        <w:outlineLvl w:val="0"/>
        <w:rPr>
          <w:rFonts w:hint="eastAsia" w:ascii="黑体" w:hAnsi="黑体" w:eastAsia="黑体" w:cs="黑体"/>
          <w:kern w:val="36"/>
          <w:sz w:val="36"/>
          <w:szCs w:val="36"/>
          <w:lang w:val="en-US" w:eastAsia="zh-CN"/>
        </w:rPr>
      </w:pPr>
    </w:p>
    <w:p>
      <w:pPr>
        <w:shd w:val="clear" w:color="auto" w:fill="FFFFFF"/>
        <w:spacing w:line="600" w:lineRule="exact"/>
        <w:jc w:val="center"/>
        <w:outlineLvl w:val="0"/>
        <w:rPr>
          <w:rFonts w:hint="eastAsia" w:ascii="黑体" w:hAnsi="黑体" w:eastAsia="黑体" w:cs="黑体"/>
          <w:kern w:val="36"/>
          <w:sz w:val="36"/>
          <w:szCs w:val="36"/>
        </w:rPr>
      </w:pPr>
      <w:bookmarkStart w:id="0" w:name="_GoBack"/>
      <w:bookmarkEnd w:id="0"/>
      <w:r>
        <w:rPr>
          <w:rFonts w:hint="eastAsia" w:ascii="黑体" w:hAnsi="黑体" w:eastAsia="黑体" w:cs="黑体"/>
          <w:kern w:val="36"/>
          <w:sz w:val="36"/>
          <w:szCs w:val="36"/>
          <w:lang w:val="en-US" w:eastAsia="zh-CN"/>
        </w:rPr>
        <w:t>益阳市</w:t>
      </w:r>
      <w:r>
        <w:rPr>
          <w:rFonts w:hint="eastAsia" w:ascii="黑体" w:hAnsi="黑体" w:eastAsia="黑体" w:cs="黑体"/>
          <w:kern w:val="36"/>
          <w:sz w:val="36"/>
          <w:szCs w:val="36"/>
        </w:rPr>
        <w:t>赫山区统计局</w:t>
      </w:r>
      <w:r>
        <w:rPr>
          <w:rFonts w:hint="eastAsia" w:ascii="黑体" w:hAnsi="黑体" w:eastAsia="黑体" w:cs="黑体"/>
          <w:kern w:val="36"/>
          <w:sz w:val="36"/>
          <w:szCs w:val="36"/>
          <w:lang w:val="en-US" w:eastAsia="zh-CN"/>
        </w:rPr>
        <w:t>2021年度</w:t>
      </w:r>
      <w:r>
        <w:rPr>
          <w:rFonts w:hint="eastAsia" w:ascii="黑体" w:hAnsi="黑体" w:eastAsia="黑体" w:cs="黑体"/>
          <w:kern w:val="36"/>
          <w:sz w:val="36"/>
          <w:szCs w:val="36"/>
        </w:rPr>
        <w:t>“第七次人口普查”</w:t>
      </w:r>
    </w:p>
    <w:p>
      <w:pPr>
        <w:shd w:val="clear" w:color="auto" w:fill="FFFFFF"/>
        <w:spacing w:line="600" w:lineRule="exact"/>
        <w:jc w:val="center"/>
        <w:outlineLvl w:val="0"/>
        <w:rPr>
          <w:rFonts w:hint="eastAsia" w:ascii="黑体" w:hAnsi="黑体" w:eastAsia="黑体" w:cs="黑体"/>
          <w:kern w:val="36"/>
          <w:sz w:val="36"/>
          <w:szCs w:val="36"/>
        </w:rPr>
      </w:pPr>
      <w:r>
        <w:rPr>
          <w:rFonts w:hint="eastAsia" w:ascii="黑体" w:hAnsi="黑体" w:eastAsia="黑体" w:cs="黑体"/>
          <w:kern w:val="36"/>
          <w:sz w:val="36"/>
          <w:szCs w:val="36"/>
        </w:rPr>
        <w:t>项目支出绩效评价报告</w:t>
      </w:r>
    </w:p>
    <w:p>
      <w:pPr>
        <w:pStyle w:val="3"/>
        <w:shd w:val="clear" w:color="auto" w:fill="FFFFFF"/>
        <w:spacing w:beforeAutospacing="0" w:afterAutospacing="0" w:line="560" w:lineRule="exact"/>
        <w:ind w:firstLine="480"/>
        <w:jc w:val="both"/>
        <w:rPr>
          <w:rFonts w:eastAsia="仿宋_GB2312"/>
          <w:sz w:val="32"/>
          <w:szCs w:val="32"/>
        </w:rPr>
      </w:pPr>
    </w:p>
    <w:p>
      <w:pPr>
        <w:pStyle w:val="3"/>
        <w:shd w:val="clear" w:color="auto" w:fill="FFFFFF"/>
        <w:spacing w:beforeAutospacing="0" w:afterAutospacing="0" w:line="560" w:lineRule="exact"/>
        <w:ind w:firstLine="640" w:firstLineChars="200"/>
        <w:jc w:val="both"/>
        <w:rPr>
          <w:rFonts w:eastAsia="黑体"/>
          <w:sz w:val="32"/>
          <w:szCs w:val="32"/>
        </w:rPr>
      </w:pPr>
      <w:r>
        <w:rPr>
          <w:rFonts w:hAnsi="黑体" w:eastAsia="黑体"/>
          <w:sz w:val="32"/>
          <w:szCs w:val="32"/>
        </w:rPr>
        <w:t>一、基本情况</w:t>
      </w:r>
    </w:p>
    <w:p>
      <w:pPr>
        <w:pStyle w:val="3"/>
        <w:shd w:val="clear" w:color="auto" w:fill="FFFFFF"/>
        <w:spacing w:beforeAutospacing="0" w:afterAutospacing="0" w:line="560" w:lineRule="exact"/>
        <w:ind w:firstLine="480"/>
        <w:jc w:val="both"/>
        <w:rPr>
          <w:rFonts w:eastAsia="楷体_GB2312"/>
          <w:sz w:val="32"/>
          <w:szCs w:val="32"/>
        </w:rPr>
      </w:pPr>
      <w:r>
        <w:rPr>
          <w:rFonts w:eastAsia="楷体_GB2312"/>
          <w:sz w:val="32"/>
          <w:szCs w:val="32"/>
        </w:rPr>
        <w:t>（一）项目概况</w:t>
      </w:r>
    </w:p>
    <w:p>
      <w:pPr>
        <w:pStyle w:val="3"/>
        <w:shd w:val="clear" w:color="auto" w:fill="FFFFFF"/>
        <w:spacing w:beforeAutospacing="0" w:afterAutospacing="0" w:line="560" w:lineRule="exact"/>
        <w:ind w:firstLine="640" w:firstLineChars="200"/>
        <w:jc w:val="both"/>
        <w:rPr>
          <w:rFonts w:eastAsia="仿宋_GB2312"/>
          <w:sz w:val="32"/>
          <w:szCs w:val="32"/>
        </w:rPr>
      </w:pPr>
      <w:r>
        <w:rPr>
          <w:rFonts w:eastAsia="仿宋_GB2312"/>
          <w:sz w:val="32"/>
          <w:szCs w:val="32"/>
        </w:rPr>
        <w:t>第七次全国人口普查是在中国特色社会主义进入新时代开展的重大国情国力调查，将全面查清我国人口数量、结构、分布、城乡住房待方面的情况，为完善人口发展战略和政策体系，促进人口长期均衡发展，科学制定国民经济和社会发展规划，推动经济高质量发展，开启全面建设社会主义现代化国家新征程，向第二个百年奋斗目标进军，提供科学准确的统计信息支持。</w:t>
      </w:r>
    </w:p>
    <w:p>
      <w:pPr>
        <w:spacing w:line="600" w:lineRule="exact"/>
        <w:ind w:firstLine="640" w:firstLineChars="200"/>
        <w:rPr>
          <w:rFonts w:eastAsia="仿宋_GB2312"/>
          <w:sz w:val="32"/>
          <w:szCs w:val="32"/>
        </w:rPr>
      </w:pPr>
      <w:r>
        <w:rPr>
          <w:rFonts w:eastAsia="仿宋_GB2312"/>
          <w:sz w:val="32"/>
          <w:szCs w:val="32"/>
          <w:shd w:val="clear" w:color="auto" w:fill="FFFFFF"/>
        </w:rPr>
        <w:t>根据《</w:t>
      </w:r>
      <w:r>
        <w:rPr>
          <w:rFonts w:eastAsia="仿宋_GB2312"/>
          <w:sz w:val="32"/>
          <w:szCs w:val="32"/>
        </w:rPr>
        <w:t>全国人口普查条例》</w:t>
      </w:r>
      <w:r>
        <w:rPr>
          <w:rFonts w:eastAsia="仿宋_GB2312"/>
          <w:sz w:val="32"/>
          <w:szCs w:val="32"/>
          <w:shd w:val="clear" w:color="auto" w:fill="FFFFFF"/>
        </w:rPr>
        <w:t>的规定，国务院决定于2020年开展第七次全国人口普查。普查历时四年，2019年至2022年，2020年是人口普查正式登记年。普查标准时点是2020年11月1日零时，分3个阶段进行：准备阶段（2019年10月—2020年10月）、普查登记阶段（2020年11月—12月）、数据汇总和发布阶段（2020年12月—2022年12月）。</w:t>
      </w:r>
      <w:r>
        <w:rPr>
          <w:rFonts w:eastAsia="仿宋_GB2312"/>
          <w:sz w:val="32"/>
          <w:szCs w:val="32"/>
        </w:rPr>
        <w:t>国务院规定，第七次全国人口普查所需经费由中央和地方各级人民政府共同负担，按照普查人数人均不低于10元的标准保障经费投入，并列入相应年度的财政预算，按时拨付，确保到位。经区人民政府常务会议研究（区人民政府常务会议纪要[2020]7号），原则同意区本级安排450万元，其中2020年350万元，2021年100万元。赫山区统计局2021年度第七次全国人口普查活动专项支出总计194.97万元。</w:t>
      </w:r>
    </w:p>
    <w:p>
      <w:pPr>
        <w:pStyle w:val="3"/>
        <w:shd w:val="clear" w:color="auto" w:fill="FFFFFF"/>
        <w:spacing w:beforeAutospacing="0" w:afterAutospacing="0" w:line="560" w:lineRule="exact"/>
        <w:ind w:firstLine="480"/>
        <w:jc w:val="both"/>
        <w:rPr>
          <w:rFonts w:eastAsia="楷体_GB2312"/>
          <w:sz w:val="32"/>
          <w:szCs w:val="32"/>
        </w:rPr>
      </w:pPr>
      <w:r>
        <w:rPr>
          <w:rFonts w:eastAsia="楷体_GB2312"/>
          <w:sz w:val="32"/>
          <w:szCs w:val="32"/>
        </w:rPr>
        <w:t>（二）项目绩效目标</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1、总体目标</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全面掌握全县人口基本情况，为研究制定人口政策和经济社会发展规划提供依据，为社会公众提供人口统计信息服务。</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2、阶段性目标</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完成第七次全国人口普查数据审核、发布工作；安排部署人口普查数据开发利用，对县区进行业务培训。</w:t>
      </w:r>
    </w:p>
    <w:p>
      <w:pPr>
        <w:pStyle w:val="3"/>
        <w:shd w:val="clear" w:color="auto" w:fill="FFFFFF"/>
        <w:spacing w:beforeAutospacing="0" w:afterAutospacing="0" w:line="560" w:lineRule="exact"/>
        <w:ind w:firstLine="480"/>
        <w:jc w:val="both"/>
        <w:rPr>
          <w:rFonts w:eastAsia="黑体"/>
          <w:sz w:val="32"/>
          <w:szCs w:val="32"/>
        </w:rPr>
      </w:pPr>
      <w:r>
        <w:rPr>
          <w:rFonts w:hAnsi="黑体" w:eastAsia="黑体"/>
          <w:sz w:val="32"/>
          <w:szCs w:val="32"/>
        </w:rPr>
        <w:t>二、绩效评价工作开展情况</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一是提高认识。局主要领导高度重视项目支出自我绩效评价工作，第一时间布置相关工作，明确自评工作分工和有关时间节点，落实责任到人，认真开展自评自查工作。二是明确职责分工。此次自评工作以办公室财务人员为主，其他相关职能科室人员配合收集自评材料，经查阅、核实有关账务及项目等执行情况。三是认真梳理分析。对部门项目支出的“目标设定”的合理性、可行性、明确性，“资金投入”的合理性、科学性，“组织实施”的合法性、完成性，“资金管理”的合法合规性、规范性，“产出和效益”的真实性、相关性等方面进行全面详细分析自评，将产出指标进一步细分为数量指标、时效指标，效益指标进一步细分为社会效益指标进行定量分析，填写相关自评表格，形成本评价报告。</w:t>
      </w:r>
    </w:p>
    <w:p>
      <w:pPr>
        <w:pStyle w:val="3"/>
        <w:shd w:val="clear" w:color="auto" w:fill="FFFFFF"/>
        <w:spacing w:beforeAutospacing="0" w:afterAutospacing="0" w:line="560" w:lineRule="exact"/>
        <w:ind w:firstLine="480"/>
        <w:jc w:val="both"/>
        <w:rPr>
          <w:rFonts w:eastAsia="仿宋_GB2312"/>
          <w:sz w:val="32"/>
          <w:szCs w:val="32"/>
        </w:rPr>
      </w:pPr>
      <w:r>
        <w:rPr>
          <w:rFonts w:hAnsi="黑体" w:eastAsia="黑体"/>
          <w:sz w:val="32"/>
          <w:szCs w:val="32"/>
        </w:rPr>
        <w:t>三、综合评价情况及评价结论</w:t>
      </w:r>
      <w:r>
        <w:rPr>
          <w:rFonts w:eastAsia="仿宋_GB2312"/>
          <w:sz w:val="32"/>
          <w:szCs w:val="32"/>
        </w:rPr>
        <w:t>（附相关评分表）</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根据《全国人口普查条例》、《国务院关于开展第七次全国人口普查的通知》的有关要求，在上级部门的大力支持下，全县人普工作人员克服时间紧、任务重等困难，提高认识、统筹兼顾、重点突破，全面完成2021年人口普查既定工作目标。同时加强项目预算收支的管理，建立健全内部管理制度，严格内部管理流程。根据《项目支出绩效评价评分表》评分，得分98.0分，财政支出绩效为“优”。</w:t>
      </w:r>
    </w:p>
    <w:p>
      <w:pPr>
        <w:pStyle w:val="3"/>
        <w:shd w:val="clear" w:color="auto" w:fill="FFFFFF"/>
        <w:spacing w:beforeAutospacing="0" w:afterAutospacing="0" w:line="560" w:lineRule="exact"/>
        <w:ind w:firstLine="480"/>
        <w:jc w:val="both"/>
        <w:rPr>
          <w:rFonts w:eastAsia="黑体"/>
          <w:sz w:val="32"/>
          <w:szCs w:val="32"/>
        </w:rPr>
      </w:pPr>
      <w:r>
        <w:rPr>
          <w:rFonts w:hAnsi="黑体" w:eastAsia="黑体"/>
          <w:sz w:val="32"/>
          <w:szCs w:val="32"/>
        </w:rPr>
        <w:t>四、绩效评价指标分析</w:t>
      </w:r>
    </w:p>
    <w:p>
      <w:pPr>
        <w:pStyle w:val="3"/>
        <w:shd w:val="clear" w:color="auto" w:fill="FFFFFF"/>
        <w:spacing w:beforeAutospacing="0" w:afterAutospacing="0" w:line="560" w:lineRule="exact"/>
        <w:ind w:firstLine="480"/>
        <w:jc w:val="both"/>
        <w:rPr>
          <w:rFonts w:eastAsia="楷体_GB2312"/>
          <w:sz w:val="32"/>
          <w:szCs w:val="32"/>
        </w:rPr>
      </w:pPr>
      <w:r>
        <w:rPr>
          <w:rFonts w:eastAsia="楷体_GB2312"/>
          <w:sz w:val="32"/>
          <w:szCs w:val="32"/>
        </w:rPr>
        <w:t>1、产出指标</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（1）数量指标：2021年度共撰写第七次全国人口普查统计分析2篇。开展专题培训7次。</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（2）质量指标：为按时、保量完成全区第七次全国人口普查相关工作，对培训普查员、指导员进行培训，培训合格率达到100%。</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（3）时效指标：2021年6月底前发布普查公报。</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（4）成本指标：该项目2021年度耗费资金194.97万元。</w:t>
      </w:r>
    </w:p>
    <w:p>
      <w:pPr>
        <w:pStyle w:val="3"/>
        <w:shd w:val="clear" w:color="auto" w:fill="FFFFFF"/>
        <w:spacing w:beforeAutospacing="0" w:afterAutospacing="0" w:line="560" w:lineRule="exact"/>
        <w:ind w:firstLine="480"/>
        <w:jc w:val="both"/>
        <w:rPr>
          <w:rFonts w:eastAsia="楷体_GB2312"/>
          <w:sz w:val="32"/>
          <w:szCs w:val="32"/>
        </w:rPr>
      </w:pPr>
      <w:r>
        <w:rPr>
          <w:rFonts w:eastAsia="楷体_GB2312"/>
          <w:sz w:val="32"/>
          <w:szCs w:val="32"/>
        </w:rPr>
        <w:t>2、效益指标</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（1）社会效益指标：按时、保量完成全区第七次全国人口普查工作，并充分利用普查结果为解决就业、养老、教育及人民的物质和精神生活提供可靠的人口信息保障。</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（2）可持续影响指标：为研究制定人口政策和经济社会发展规划提供依据。</w:t>
      </w:r>
    </w:p>
    <w:p>
      <w:pPr>
        <w:pStyle w:val="3"/>
        <w:shd w:val="clear" w:color="auto" w:fill="FFFFFF"/>
        <w:spacing w:beforeAutospacing="0" w:afterAutospacing="0" w:line="560" w:lineRule="exact"/>
        <w:ind w:firstLine="480"/>
        <w:jc w:val="both"/>
        <w:rPr>
          <w:rFonts w:eastAsia="楷体_GB2312"/>
          <w:sz w:val="32"/>
          <w:szCs w:val="32"/>
        </w:rPr>
      </w:pPr>
      <w:r>
        <w:rPr>
          <w:rFonts w:eastAsia="楷体_GB2312"/>
          <w:sz w:val="32"/>
          <w:szCs w:val="32"/>
        </w:rPr>
        <w:t>3、满意度指标</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通过对“两员”入户登记技巧、清查摸底、普查登记以及普查相关保密要求等知识的业务培训，使每位普查人员准确理解人口普查的调查内容和工作要求，熟练掌握人口普查的访问技巧和工作方法。培训合格率100%，被调查对象满意度100%。</w:t>
      </w:r>
    </w:p>
    <w:p>
      <w:pPr>
        <w:pStyle w:val="3"/>
        <w:shd w:val="clear" w:color="auto" w:fill="FFFFFF"/>
        <w:spacing w:beforeAutospacing="0" w:afterAutospacing="0" w:line="560" w:lineRule="exact"/>
        <w:ind w:firstLine="480"/>
        <w:jc w:val="both"/>
        <w:rPr>
          <w:rFonts w:eastAsia="黑体"/>
          <w:sz w:val="32"/>
          <w:szCs w:val="32"/>
        </w:rPr>
      </w:pPr>
      <w:r>
        <w:rPr>
          <w:rFonts w:hAnsi="黑体" w:eastAsia="黑体"/>
          <w:sz w:val="32"/>
          <w:szCs w:val="32"/>
        </w:rPr>
        <w:t>五、主要经验、存在的问题及原因分析</w:t>
      </w:r>
    </w:p>
    <w:p>
      <w:pPr>
        <w:pStyle w:val="3"/>
        <w:shd w:val="clear" w:color="auto" w:fill="FFFFFF"/>
        <w:spacing w:beforeAutospacing="0" w:afterAutospacing="0" w:line="560" w:lineRule="exact"/>
        <w:ind w:firstLine="480"/>
        <w:jc w:val="both"/>
        <w:rPr>
          <w:rFonts w:eastAsia="楷体_GB2312"/>
          <w:sz w:val="32"/>
          <w:szCs w:val="32"/>
        </w:rPr>
      </w:pPr>
      <w:r>
        <w:rPr>
          <w:rFonts w:eastAsia="楷体_GB2312"/>
          <w:sz w:val="32"/>
          <w:szCs w:val="32"/>
        </w:rPr>
        <w:t>（一）强化工作基础</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成立了第七次全国人口普查领导小组及其办公室，且明确了各工作人员的工作职责。配备了353台PAD，租赁2083台智能手机，做到了每名普查“两员”都有智能录入设备。下发公开信28.5万份、海报3726套、公告3500张、户主姓名底册10万多张、清查表35万多张、长表4万多张，确保了普查工作顺利开展。</w:t>
      </w:r>
    </w:p>
    <w:p>
      <w:pPr>
        <w:pStyle w:val="3"/>
        <w:shd w:val="clear" w:color="auto" w:fill="FFFFFF"/>
        <w:spacing w:beforeAutospacing="0" w:afterAutospacing="0" w:line="560" w:lineRule="exact"/>
        <w:ind w:firstLine="480"/>
        <w:jc w:val="both"/>
        <w:rPr>
          <w:rFonts w:eastAsia="楷体_GB2312"/>
          <w:sz w:val="32"/>
          <w:szCs w:val="32"/>
        </w:rPr>
      </w:pPr>
      <w:r>
        <w:rPr>
          <w:rFonts w:eastAsia="楷体_GB2312"/>
          <w:sz w:val="32"/>
          <w:szCs w:val="32"/>
        </w:rPr>
        <w:t>（二）强化两员培训</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结合工作要求，开展区、乡两级专题与集中业务培训，培训内容较全面，包括区划工作、普查全流程及“两员”选聘等相关内容。全区</w:t>
      </w:r>
      <w:r>
        <w:rPr>
          <w:rFonts w:eastAsia="仿宋_GB2312"/>
          <w:sz w:val="32"/>
          <w:szCs w:val="32"/>
          <w:shd w:val="clear" w:color="auto" w:fill="FFFFFF"/>
        </w:rPr>
        <w:t>科学划分1346个普查小区</w:t>
      </w:r>
      <w:r>
        <w:rPr>
          <w:rFonts w:eastAsia="仿宋_GB2312"/>
          <w:b/>
          <w:sz w:val="32"/>
          <w:szCs w:val="32"/>
        </w:rPr>
        <w:t>，</w:t>
      </w:r>
      <w:r>
        <w:rPr>
          <w:rFonts w:eastAsia="仿宋_GB2312"/>
          <w:sz w:val="32"/>
          <w:szCs w:val="32"/>
        </w:rPr>
        <w:t>选聘了2431名爱岗敬业、业务熟悉的普查“两员”，落实了每个普查区有1名以上指导员，每个普查小区有1名以上普查员的要求。</w:t>
      </w:r>
    </w:p>
    <w:p>
      <w:pPr>
        <w:pStyle w:val="3"/>
        <w:shd w:val="clear" w:color="auto" w:fill="FFFFFF"/>
        <w:spacing w:beforeAutospacing="0" w:afterAutospacing="0" w:line="560" w:lineRule="exact"/>
        <w:ind w:firstLine="480"/>
        <w:jc w:val="both"/>
        <w:rPr>
          <w:rFonts w:eastAsia="楷体_GB2312"/>
          <w:sz w:val="32"/>
          <w:szCs w:val="32"/>
        </w:rPr>
      </w:pPr>
      <w:r>
        <w:rPr>
          <w:rFonts w:eastAsia="楷体_GB2312"/>
          <w:sz w:val="32"/>
          <w:szCs w:val="32"/>
        </w:rPr>
        <w:t xml:space="preserve"> (三）强化工作指导</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多次召开工作推进会，部署普查区划分和绘图的相关工作；经常性走访调研、实地查看绘图操作、带队开展验收等，进一步提升普查数据质量。</w:t>
      </w:r>
    </w:p>
    <w:p>
      <w:pPr>
        <w:pStyle w:val="3"/>
        <w:shd w:val="clear" w:color="auto" w:fill="FFFFFF"/>
        <w:spacing w:beforeAutospacing="0" w:afterAutospacing="0" w:line="560" w:lineRule="exact"/>
        <w:ind w:firstLine="480"/>
        <w:jc w:val="both"/>
        <w:rPr>
          <w:rFonts w:eastAsia="楷体_GB2312"/>
          <w:sz w:val="32"/>
          <w:szCs w:val="32"/>
        </w:rPr>
      </w:pPr>
      <w:r>
        <w:rPr>
          <w:rFonts w:eastAsia="楷体_GB2312"/>
          <w:sz w:val="32"/>
          <w:szCs w:val="32"/>
        </w:rPr>
        <w:t>（四）落实经费保障</w:t>
      </w:r>
    </w:p>
    <w:p>
      <w:pPr>
        <w:pStyle w:val="3"/>
        <w:shd w:val="clear" w:color="auto" w:fill="FFFFFF"/>
        <w:spacing w:beforeAutospacing="0" w:afterAutospacing="0" w:line="560" w:lineRule="exact"/>
        <w:ind w:left="160" w:firstLine="640"/>
        <w:jc w:val="both"/>
        <w:rPr>
          <w:rFonts w:eastAsia="仿宋_GB2312"/>
          <w:sz w:val="32"/>
          <w:szCs w:val="32"/>
        </w:rPr>
      </w:pPr>
      <w:r>
        <w:rPr>
          <w:rFonts w:eastAsia="仿宋_GB2312"/>
          <w:sz w:val="32"/>
          <w:szCs w:val="32"/>
        </w:rPr>
        <w:t>按照《全国人口普查条例》、《国务院关于开展第七次全国人口普查的通知》（国发〔2019〕24号）等文件精神，本年度人口普查财政预算经费194.97万元，主要用于人口普查会议培训、下拨基层“两员”补贴、设备采购、宣传费、户籍资料整顿、聘用人员工资、资料印刷、综合试点等费用。用于下拨会议培训6.2万元、基层“两员”工作补贴124.84万元、设备采购14.24万元、宣传费5.1万元、户籍资料整顿10万元、印刷费16.25万元、综合试点4万元、聘用人员工资7.42万元、办公费6.92等开支。</w:t>
      </w:r>
    </w:p>
    <w:p>
      <w:pPr>
        <w:pStyle w:val="3"/>
        <w:shd w:val="clear" w:color="auto" w:fill="FFFFFF"/>
        <w:spacing w:beforeAutospacing="0" w:afterAutospacing="0" w:line="560" w:lineRule="exact"/>
        <w:ind w:firstLine="480"/>
        <w:jc w:val="both"/>
        <w:rPr>
          <w:rFonts w:eastAsia="仿宋_GB2312"/>
          <w:sz w:val="32"/>
          <w:szCs w:val="32"/>
        </w:rPr>
      </w:pPr>
      <w:r>
        <w:rPr>
          <w:rFonts w:eastAsia="仿宋_GB2312"/>
          <w:sz w:val="32"/>
          <w:szCs w:val="32"/>
        </w:rPr>
        <w:t>存在问题主要是资金支出的科学性还需进一步加强。</w:t>
      </w:r>
    </w:p>
    <w:p>
      <w:pPr>
        <w:pStyle w:val="3"/>
        <w:shd w:val="clear" w:color="auto" w:fill="FFFFFF"/>
        <w:spacing w:beforeAutospacing="0" w:afterAutospacing="0" w:line="560" w:lineRule="exact"/>
        <w:ind w:firstLine="480"/>
        <w:jc w:val="both"/>
        <w:rPr>
          <w:rFonts w:eastAsia="黑体"/>
          <w:sz w:val="32"/>
          <w:szCs w:val="32"/>
        </w:rPr>
      </w:pPr>
      <w:r>
        <w:rPr>
          <w:rFonts w:hAnsi="黑体" w:eastAsia="黑体"/>
          <w:sz w:val="32"/>
          <w:szCs w:val="32"/>
        </w:rPr>
        <w:t>六、有关建议</w:t>
      </w:r>
    </w:p>
    <w:p>
      <w:pPr>
        <w:pStyle w:val="3"/>
        <w:shd w:val="clear" w:color="auto" w:fill="FFFFFF"/>
        <w:spacing w:beforeAutospacing="0" w:afterAutospacing="0" w:line="560" w:lineRule="exact"/>
        <w:ind w:firstLine="634"/>
        <w:jc w:val="both"/>
        <w:rPr>
          <w:rFonts w:eastAsia="仿宋_GB2312"/>
          <w:sz w:val="32"/>
          <w:szCs w:val="32"/>
        </w:rPr>
      </w:pPr>
      <w:r>
        <w:rPr>
          <w:rFonts w:eastAsia="仿宋_GB2312"/>
          <w:sz w:val="32"/>
          <w:szCs w:val="32"/>
        </w:rPr>
        <w:t>进一步提高项目精细化、科学化管理，进一步加强项目预算编制和支出管理，不断提高项目资金使用水平。</w:t>
      </w:r>
    </w:p>
    <w:p>
      <w:pPr>
        <w:pStyle w:val="3"/>
        <w:shd w:val="clear" w:color="auto" w:fill="FFFFFF"/>
        <w:spacing w:beforeAutospacing="0" w:afterAutospacing="0" w:line="560" w:lineRule="exact"/>
        <w:ind w:firstLine="480"/>
        <w:jc w:val="both"/>
        <w:rPr>
          <w:rFonts w:eastAsia="黑体"/>
          <w:sz w:val="32"/>
          <w:szCs w:val="32"/>
        </w:rPr>
      </w:pPr>
      <w:r>
        <w:rPr>
          <w:rFonts w:hAnsi="黑体" w:eastAsia="黑体"/>
          <w:sz w:val="32"/>
          <w:szCs w:val="32"/>
        </w:rPr>
        <w:t>七、其他需要说明的问题</w:t>
      </w:r>
    </w:p>
    <w:p>
      <w:pPr>
        <w:pStyle w:val="3"/>
        <w:shd w:val="clear" w:color="auto" w:fill="FFFFFF"/>
        <w:spacing w:beforeAutospacing="0" w:afterAutospacing="0" w:line="560" w:lineRule="exact"/>
        <w:ind w:firstLine="634"/>
        <w:jc w:val="both"/>
        <w:rPr>
          <w:rFonts w:eastAsia="仿宋_GB2312"/>
          <w:sz w:val="32"/>
          <w:szCs w:val="32"/>
        </w:rPr>
      </w:pPr>
      <w:r>
        <w:rPr>
          <w:rFonts w:eastAsia="仿宋_GB2312"/>
          <w:sz w:val="32"/>
          <w:szCs w:val="32"/>
        </w:rPr>
        <w:t>由于人口普查工作量大、业务环节多，开展过程中存在一定的不可控因素，从而造成了年度资金使用计划难以做得很精确，可能存在少部分无法掌握的必要费用支出。今后将进一步细化工作流程，力求做得对每项工作进行量化，科学预判各个环节、各项工作资金需求情况，制定详细的物资采购清单、培训计划、劳务发放标准等。</w:t>
      </w:r>
    </w:p>
    <w:p>
      <w:pPr>
        <w:pStyle w:val="3"/>
        <w:shd w:val="clear" w:color="auto" w:fill="FFFFFF"/>
        <w:spacing w:beforeAutospacing="0" w:afterAutospacing="0" w:line="560" w:lineRule="exact"/>
        <w:ind w:firstLine="634"/>
        <w:jc w:val="both"/>
        <w:rPr>
          <w:rFonts w:eastAsia="仿宋_GB2312"/>
          <w:sz w:val="32"/>
          <w:szCs w:val="32"/>
        </w:rPr>
      </w:pPr>
    </w:p>
    <w:p>
      <w:pPr>
        <w:pStyle w:val="3"/>
        <w:shd w:val="clear" w:color="auto" w:fill="FFFFFF"/>
        <w:spacing w:beforeAutospacing="0" w:afterAutospacing="0" w:line="560" w:lineRule="exact"/>
        <w:ind w:firstLine="634"/>
        <w:jc w:val="both"/>
        <w:rPr>
          <w:rFonts w:eastAsia="仿宋_GB2312"/>
          <w:sz w:val="32"/>
          <w:szCs w:val="32"/>
        </w:rPr>
      </w:pPr>
    </w:p>
    <w:p>
      <w:pPr>
        <w:pStyle w:val="3"/>
        <w:shd w:val="clear" w:color="auto" w:fill="FFFFFF"/>
        <w:spacing w:beforeAutospacing="0" w:afterAutospacing="0" w:line="560" w:lineRule="exact"/>
        <w:ind w:firstLine="634"/>
        <w:jc w:val="both"/>
        <w:rPr>
          <w:rFonts w:eastAsia="仿宋_GB2312"/>
          <w:sz w:val="32"/>
          <w:szCs w:val="32"/>
        </w:rPr>
      </w:pPr>
    </w:p>
    <w:p>
      <w:pPr>
        <w:pStyle w:val="3"/>
        <w:shd w:val="clear" w:color="auto" w:fill="FFFFFF"/>
        <w:spacing w:beforeAutospacing="0" w:afterAutospacing="0" w:line="560" w:lineRule="exact"/>
        <w:ind w:firstLine="634"/>
        <w:jc w:val="both"/>
        <w:rPr>
          <w:rFonts w:eastAsia="仿宋_GB2312"/>
          <w:sz w:val="32"/>
          <w:szCs w:val="32"/>
        </w:rPr>
      </w:pPr>
    </w:p>
    <w:p>
      <w:pPr>
        <w:pStyle w:val="3"/>
        <w:shd w:val="clear" w:color="auto" w:fill="FFFFFF"/>
        <w:spacing w:beforeAutospacing="0" w:afterAutospacing="0" w:line="560" w:lineRule="exact"/>
        <w:ind w:firstLine="634"/>
        <w:jc w:val="both"/>
        <w:rPr>
          <w:rFonts w:eastAsia="仿宋_GB2312"/>
          <w:sz w:val="32"/>
          <w:szCs w:val="32"/>
        </w:rPr>
      </w:pPr>
    </w:p>
    <w:p>
      <w:pPr>
        <w:pStyle w:val="3"/>
        <w:shd w:val="clear" w:color="auto" w:fill="FFFFFF"/>
        <w:spacing w:beforeAutospacing="0" w:afterAutospacing="0" w:line="560" w:lineRule="exact"/>
        <w:ind w:firstLine="634"/>
        <w:jc w:val="both"/>
        <w:rPr>
          <w:rFonts w:eastAsia="仿宋_GB2312"/>
          <w:sz w:val="32"/>
          <w:szCs w:val="32"/>
        </w:rPr>
      </w:pPr>
    </w:p>
    <w:p>
      <w:pPr>
        <w:pStyle w:val="3"/>
        <w:shd w:val="clear" w:color="auto" w:fill="FFFFFF"/>
        <w:spacing w:beforeAutospacing="0" w:afterAutospacing="0" w:line="560" w:lineRule="exact"/>
        <w:ind w:firstLine="634"/>
        <w:jc w:val="both"/>
        <w:rPr>
          <w:rFonts w:eastAsia="仿宋_GB2312"/>
          <w:sz w:val="32"/>
          <w:szCs w:val="32"/>
        </w:rPr>
      </w:pPr>
    </w:p>
    <w:p>
      <w:pPr>
        <w:pStyle w:val="3"/>
        <w:shd w:val="clear" w:color="auto" w:fill="FFFFFF"/>
        <w:spacing w:beforeAutospacing="0" w:afterAutospacing="0" w:line="560" w:lineRule="exact"/>
        <w:ind w:firstLine="634"/>
        <w:jc w:val="both"/>
        <w:rPr>
          <w:rFonts w:eastAsia="仿宋_GB2312"/>
          <w:sz w:val="32"/>
          <w:szCs w:val="32"/>
        </w:rPr>
      </w:pPr>
    </w:p>
    <w:p>
      <w:pPr>
        <w:pStyle w:val="3"/>
        <w:shd w:val="clear" w:color="auto" w:fill="FFFFFF"/>
        <w:spacing w:beforeAutospacing="0" w:afterAutospacing="0" w:line="560" w:lineRule="exact"/>
        <w:ind w:firstLine="634"/>
        <w:jc w:val="both"/>
        <w:rPr>
          <w:rFonts w:eastAsia="仿宋_GB2312"/>
          <w:sz w:val="32"/>
          <w:szCs w:val="32"/>
        </w:rPr>
      </w:pPr>
    </w:p>
    <w:p>
      <w:pPr>
        <w:pStyle w:val="3"/>
        <w:shd w:val="clear" w:color="auto" w:fill="FFFFFF"/>
        <w:spacing w:beforeAutospacing="0" w:afterAutospacing="0" w:line="560" w:lineRule="exact"/>
        <w:ind w:firstLine="634"/>
        <w:jc w:val="both"/>
        <w:rPr>
          <w:rFonts w:eastAsia="仿宋_GB2312"/>
          <w:sz w:val="32"/>
          <w:szCs w:val="32"/>
        </w:rPr>
      </w:pPr>
    </w:p>
    <w:p>
      <w:pPr>
        <w:pStyle w:val="3"/>
        <w:shd w:val="clear" w:color="auto" w:fill="FFFFFF"/>
        <w:spacing w:beforeAutospacing="0" w:afterAutospacing="0" w:line="560" w:lineRule="exact"/>
        <w:ind w:firstLine="634"/>
        <w:jc w:val="both"/>
        <w:rPr>
          <w:rFonts w:eastAsia="仿宋_GB2312"/>
          <w:sz w:val="32"/>
          <w:szCs w:val="32"/>
        </w:rPr>
      </w:pPr>
    </w:p>
    <w:p>
      <w:pPr>
        <w:pStyle w:val="3"/>
        <w:shd w:val="clear" w:color="auto" w:fill="FFFFFF"/>
        <w:spacing w:beforeAutospacing="0" w:afterAutospacing="0" w:line="560" w:lineRule="exact"/>
        <w:ind w:firstLine="634"/>
        <w:jc w:val="both"/>
        <w:rPr>
          <w:rFonts w:eastAsia="仿宋_GB2312"/>
          <w:sz w:val="32"/>
          <w:szCs w:val="32"/>
        </w:rPr>
      </w:pPr>
    </w:p>
    <w:p>
      <w:pPr>
        <w:pStyle w:val="3"/>
        <w:shd w:val="clear" w:color="auto" w:fill="FFFFFF"/>
        <w:spacing w:beforeAutospacing="0" w:afterAutospacing="0" w:line="560" w:lineRule="exact"/>
        <w:ind w:firstLine="634"/>
        <w:jc w:val="both"/>
        <w:rPr>
          <w:rFonts w:eastAsia="仿宋_GB2312"/>
          <w:sz w:val="32"/>
          <w:szCs w:val="32"/>
        </w:rPr>
      </w:pPr>
    </w:p>
    <w:p>
      <w:pPr>
        <w:pStyle w:val="3"/>
        <w:shd w:val="clear" w:color="auto" w:fill="FFFFFF"/>
        <w:spacing w:beforeAutospacing="0" w:afterAutospacing="0" w:line="560" w:lineRule="exact"/>
        <w:ind w:firstLine="634"/>
        <w:jc w:val="both"/>
        <w:rPr>
          <w:rFonts w:eastAsia="仿宋_GB2312"/>
          <w:sz w:val="32"/>
          <w:szCs w:val="32"/>
        </w:rPr>
      </w:pPr>
    </w:p>
    <w:p>
      <w:pPr>
        <w:spacing w:line="560" w:lineRule="exact"/>
        <w:jc w:val="center"/>
        <w:rPr>
          <w:rFonts w:ascii="方正小标宋简体" w:hAnsi="黑体" w:eastAsia="方正小标宋简体" w:cs="黑体"/>
          <w:bCs/>
          <w:color w:val="000000"/>
          <w:kern w:val="0"/>
          <w:sz w:val="36"/>
          <w:szCs w:val="36"/>
        </w:rPr>
      </w:pPr>
      <w:r>
        <w:rPr>
          <w:rFonts w:ascii="方正小标宋简体" w:hAnsi="黑体" w:eastAsia="方正小标宋简体" w:cs="黑体"/>
          <w:bCs/>
          <w:color w:val="000000"/>
          <w:kern w:val="0"/>
          <w:sz w:val="36"/>
          <w:szCs w:val="36"/>
        </w:rPr>
        <w:t>2021年度中央对地方专项转移支付 （“七人普”工作）绩效目标自评表</w:t>
      </w:r>
    </w:p>
    <w:p>
      <w:pPr>
        <w:jc w:val="center"/>
        <w:rPr>
          <w:rFonts w:eastAsia="楷体_GB2312"/>
          <w:b/>
          <w:color w:val="000000"/>
          <w:kern w:val="0"/>
          <w:sz w:val="36"/>
          <w:szCs w:val="36"/>
        </w:rPr>
      </w:pPr>
      <w:r>
        <w:rPr>
          <w:rFonts w:eastAsia="楷体_GB2312"/>
          <w:b/>
          <w:color w:val="000000"/>
          <w:kern w:val="0"/>
          <w:sz w:val="36"/>
          <w:szCs w:val="36"/>
        </w:rPr>
        <w:t>(2021年度)</w:t>
      </w:r>
    </w:p>
    <w:tbl>
      <w:tblPr>
        <w:tblStyle w:val="4"/>
        <w:tblW w:w="9907" w:type="dxa"/>
        <w:jc w:val="center"/>
        <w:tblLayout w:type="fixed"/>
        <w:tblCellMar>
          <w:top w:w="0" w:type="dxa"/>
          <w:left w:w="108" w:type="dxa"/>
          <w:bottom w:w="0" w:type="dxa"/>
          <w:right w:w="108" w:type="dxa"/>
        </w:tblCellMar>
      </w:tblPr>
      <w:tblGrid>
        <w:gridCol w:w="667"/>
        <w:gridCol w:w="886"/>
        <w:gridCol w:w="1718"/>
        <w:gridCol w:w="1729"/>
        <w:gridCol w:w="896"/>
        <w:gridCol w:w="1078"/>
        <w:gridCol w:w="1022"/>
        <w:gridCol w:w="1911"/>
      </w:tblGrid>
      <w:tr>
        <w:tblPrEx>
          <w:tblCellMar>
            <w:top w:w="0" w:type="dxa"/>
            <w:left w:w="108" w:type="dxa"/>
            <w:bottom w:w="0" w:type="dxa"/>
            <w:right w:w="108" w:type="dxa"/>
          </w:tblCellMar>
        </w:tblPrEx>
        <w:trPr>
          <w:jc w:val="center"/>
        </w:trPr>
        <w:tc>
          <w:tcPr>
            <w:tcW w:w="3271" w:type="dxa"/>
            <w:gridSpan w:val="3"/>
            <w:tcBorders>
              <w:top w:val="single" w:color="auto" w:sz="4" w:space="0"/>
              <w:left w:val="single" w:color="auto" w:sz="4" w:space="0"/>
              <w:bottom w:val="single" w:color="auto" w:sz="4" w:space="0"/>
              <w:right w:val="nil"/>
            </w:tcBorders>
            <w:vAlign w:val="center"/>
          </w:tcPr>
          <w:p>
            <w:pPr>
              <w:spacing w:line="260" w:lineRule="exact"/>
              <w:jc w:val="left"/>
              <w:rPr>
                <w:rFonts w:ascii="仿宋_GB2312" w:eastAsia="仿宋_GB2312"/>
                <w:kern w:val="0"/>
                <w:szCs w:val="21"/>
              </w:rPr>
            </w:pPr>
            <w:r>
              <w:rPr>
                <w:rFonts w:ascii="仿宋_GB2312" w:eastAsia="仿宋_GB2312"/>
                <w:kern w:val="0"/>
                <w:szCs w:val="21"/>
              </w:rPr>
              <w:t>转移支付（项目）名称</w:t>
            </w:r>
          </w:p>
        </w:tc>
        <w:tc>
          <w:tcPr>
            <w:tcW w:w="6636"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第七次全国人口普查工作经费</w:t>
            </w:r>
          </w:p>
        </w:tc>
      </w:tr>
      <w:tr>
        <w:tblPrEx>
          <w:tblCellMar>
            <w:top w:w="0" w:type="dxa"/>
            <w:left w:w="108" w:type="dxa"/>
            <w:bottom w:w="0" w:type="dxa"/>
            <w:right w:w="108" w:type="dxa"/>
          </w:tblCellMar>
        </w:tblPrEx>
        <w:trPr>
          <w:jc w:val="center"/>
        </w:trPr>
        <w:tc>
          <w:tcPr>
            <w:tcW w:w="3271" w:type="dxa"/>
            <w:gridSpan w:val="3"/>
            <w:tcBorders>
              <w:top w:val="single" w:color="auto" w:sz="4" w:space="0"/>
              <w:left w:val="single" w:color="auto" w:sz="4" w:space="0"/>
              <w:bottom w:val="single" w:color="auto" w:sz="4" w:space="0"/>
              <w:right w:val="nil"/>
            </w:tcBorders>
            <w:vAlign w:val="center"/>
          </w:tcPr>
          <w:p>
            <w:pPr>
              <w:spacing w:line="260" w:lineRule="exact"/>
              <w:jc w:val="left"/>
              <w:rPr>
                <w:rFonts w:ascii="仿宋_GB2312" w:eastAsia="仿宋_GB2312"/>
                <w:kern w:val="0"/>
                <w:szCs w:val="21"/>
              </w:rPr>
            </w:pPr>
            <w:r>
              <w:rPr>
                <w:rFonts w:ascii="仿宋_GB2312" w:eastAsia="仿宋_GB2312"/>
                <w:kern w:val="0"/>
                <w:szCs w:val="21"/>
              </w:rPr>
              <w:t>中央主管部门</w:t>
            </w:r>
          </w:p>
        </w:tc>
        <w:tc>
          <w:tcPr>
            <w:tcW w:w="6636" w:type="dxa"/>
            <w:gridSpan w:val="5"/>
            <w:tcBorders>
              <w:top w:val="single" w:color="auto" w:sz="4" w:space="0"/>
              <w:left w:val="single" w:color="auto" w:sz="4" w:space="0"/>
              <w:bottom w:val="single" w:color="auto" w:sz="4" w:space="0"/>
              <w:right w:val="single" w:color="000000" w:sz="4" w:space="0"/>
            </w:tcBorders>
            <w:vAlign w:val="center"/>
          </w:tcPr>
          <w:p>
            <w:pPr>
              <w:spacing w:line="260" w:lineRule="exact"/>
              <w:jc w:val="center"/>
              <w:rPr>
                <w:rFonts w:ascii="仿宋_GB2312" w:eastAsia="仿宋_GB2312"/>
                <w:kern w:val="0"/>
                <w:szCs w:val="21"/>
              </w:rPr>
            </w:pPr>
          </w:p>
        </w:tc>
      </w:tr>
      <w:tr>
        <w:tblPrEx>
          <w:tblCellMar>
            <w:top w:w="0" w:type="dxa"/>
            <w:left w:w="108" w:type="dxa"/>
            <w:bottom w:w="0" w:type="dxa"/>
            <w:right w:w="108" w:type="dxa"/>
          </w:tblCellMar>
        </w:tblPrEx>
        <w:trPr>
          <w:jc w:val="center"/>
        </w:trPr>
        <w:tc>
          <w:tcPr>
            <w:tcW w:w="3271" w:type="dxa"/>
            <w:gridSpan w:val="3"/>
            <w:tcBorders>
              <w:top w:val="single" w:color="auto" w:sz="4" w:space="0"/>
              <w:left w:val="single" w:color="auto" w:sz="4" w:space="0"/>
              <w:bottom w:val="single" w:color="auto" w:sz="4" w:space="0"/>
              <w:right w:val="single" w:color="000000" w:sz="4" w:space="0"/>
            </w:tcBorders>
            <w:vAlign w:val="center"/>
          </w:tcPr>
          <w:p>
            <w:pPr>
              <w:spacing w:line="260" w:lineRule="exact"/>
              <w:jc w:val="left"/>
              <w:rPr>
                <w:rFonts w:ascii="仿宋_GB2312" w:eastAsia="仿宋_GB2312"/>
                <w:kern w:val="0"/>
                <w:szCs w:val="21"/>
              </w:rPr>
            </w:pPr>
            <w:r>
              <w:rPr>
                <w:rFonts w:ascii="仿宋_GB2312" w:eastAsia="仿宋_GB2312"/>
                <w:kern w:val="0"/>
                <w:szCs w:val="21"/>
              </w:rPr>
              <w:t>地方主管部门</w:t>
            </w:r>
          </w:p>
        </w:tc>
        <w:tc>
          <w:tcPr>
            <w:tcW w:w="2625" w:type="dxa"/>
            <w:gridSpan w:val="2"/>
            <w:tcBorders>
              <w:top w:val="single" w:color="auto" w:sz="4" w:space="0"/>
              <w:left w:val="nil"/>
              <w:bottom w:val="single" w:color="auto" w:sz="4" w:space="0"/>
              <w:right w:val="single" w:color="000000"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益阳市赫山区统计局　</w:t>
            </w: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实施单位</w:t>
            </w:r>
          </w:p>
        </w:tc>
        <w:tc>
          <w:tcPr>
            <w:tcW w:w="2933" w:type="dxa"/>
            <w:gridSpan w:val="2"/>
            <w:tcBorders>
              <w:top w:val="single" w:color="auto" w:sz="4" w:space="0"/>
              <w:left w:val="nil"/>
              <w:bottom w:val="single" w:color="auto" w:sz="4" w:space="0"/>
              <w:right w:val="single" w:color="000000"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益阳市赫山区统计局　</w:t>
            </w:r>
          </w:p>
        </w:tc>
      </w:tr>
      <w:tr>
        <w:tblPrEx>
          <w:tblCellMar>
            <w:top w:w="0" w:type="dxa"/>
            <w:left w:w="108" w:type="dxa"/>
            <w:bottom w:w="0" w:type="dxa"/>
            <w:right w:w="108" w:type="dxa"/>
          </w:tblCellMar>
        </w:tblPrEx>
        <w:trPr>
          <w:jc w:val="center"/>
        </w:trPr>
        <w:tc>
          <w:tcPr>
            <w:tcW w:w="3271" w:type="dxa"/>
            <w:gridSpan w:val="3"/>
            <w:vMerge w:val="restart"/>
            <w:tcBorders>
              <w:top w:val="single" w:color="auto" w:sz="4" w:space="0"/>
              <w:left w:val="single" w:color="auto" w:sz="4" w:space="0"/>
              <w:bottom w:val="single" w:color="000000" w:sz="4" w:space="0"/>
              <w:right w:val="single" w:color="000000"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项目资金（万元）</w:t>
            </w:r>
          </w:p>
        </w:tc>
        <w:tc>
          <w:tcPr>
            <w:tcW w:w="1729"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c>
          <w:tcPr>
            <w:tcW w:w="896"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全年预算数（A）</w:t>
            </w:r>
          </w:p>
        </w:tc>
        <w:tc>
          <w:tcPr>
            <w:tcW w:w="2100" w:type="dxa"/>
            <w:gridSpan w:val="2"/>
            <w:tcBorders>
              <w:top w:val="single" w:color="auto" w:sz="4" w:space="0"/>
              <w:left w:val="nil"/>
              <w:bottom w:val="single" w:color="auto" w:sz="4" w:space="0"/>
              <w:right w:val="single" w:color="000000"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全年执行数（B）</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预算执行率（B/A）</w:t>
            </w:r>
          </w:p>
        </w:tc>
      </w:tr>
      <w:tr>
        <w:tblPrEx>
          <w:tblCellMar>
            <w:top w:w="0" w:type="dxa"/>
            <w:left w:w="108" w:type="dxa"/>
            <w:bottom w:w="0" w:type="dxa"/>
            <w:right w:w="108" w:type="dxa"/>
          </w:tblCellMar>
        </w:tblPrEx>
        <w:trPr>
          <w:jc w:val="center"/>
        </w:trPr>
        <w:tc>
          <w:tcPr>
            <w:tcW w:w="3271" w:type="dxa"/>
            <w:gridSpan w:val="3"/>
            <w:vMerge w:val="continue"/>
            <w:tcBorders>
              <w:top w:val="single" w:color="auto" w:sz="4" w:space="0"/>
              <w:left w:val="single" w:color="auto" w:sz="4" w:space="0"/>
              <w:bottom w:val="single" w:color="000000" w:sz="4" w:space="0"/>
              <w:right w:val="single" w:color="000000" w:sz="4" w:space="0"/>
            </w:tcBorders>
            <w:vAlign w:val="center"/>
          </w:tcPr>
          <w:p>
            <w:pPr>
              <w:spacing w:line="260" w:lineRule="exact"/>
              <w:jc w:val="left"/>
              <w:rPr>
                <w:rFonts w:ascii="仿宋_GB2312" w:eastAsia="仿宋_GB2312"/>
                <w:kern w:val="0"/>
                <w:szCs w:val="21"/>
              </w:rPr>
            </w:pPr>
          </w:p>
        </w:tc>
        <w:tc>
          <w:tcPr>
            <w:tcW w:w="1729"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年度资金总额：</w:t>
            </w:r>
          </w:p>
        </w:tc>
        <w:tc>
          <w:tcPr>
            <w:tcW w:w="896"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194.97　</w:t>
            </w: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194.97　</w:t>
            </w:r>
          </w:p>
        </w:tc>
        <w:tc>
          <w:tcPr>
            <w:tcW w:w="1022"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100%　</w:t>
            </w:r>
          </w:p>
        </w:tc>
      </w:tr>
      <w:tr>
        <w:tblPrEx>
          <w:tblCellMar>
            <w:top w:w="0" w:type="dxa"/>
            <w:left w:w="108" w:type="dxa"/>
            <w:bottom w:w="0" w:type="dxa"/>
            <w:right w:w="108" w:type="dxa"/>
          </w:tblCellMar>
        </w:tblPrEx>
        <w:trPr>
          <w:jc w:val="center"/>
        </w:trPr>
        <w:tc>
          <w:tcPr>
            <w:tcW w:w="3271" w:type="dxa"/>
            <w:gridSpan w:val="3"/>
            <w:vMerge w:val="continue"/>
            <w:tcBorders>
              <w:top w:val="single" w:color="auto" w:sz="4" w:space="0"/>
              <w:left w:val="single" w:color="auto" w:sz="4" w:space="0"/>
              <w:bottom w:val="single" w:color="000000" w:sz="4" w:space="0"/>
              <w:right w:val="single" w:color="000000" w:sz="4" w:space="0"/>
            </w:tcBorders>
            <w:vAlign w:val="center"/>
          </w:tcPr>
          <w:p>
            <w:pPr>
              <w:spacing w:line="260" w:lineRule="exact"/>
              <w:jc w:val="left"/>
              <w:rPr>
                <w:rFonts w:ascii="仿宋_GB2312" w:eastAsia="仿宋_GB2312"/>
                <w:kern w:val="0"/>
                <w:szCs w:val="21"/>
              </w:rPr>
            </w:pPr>
          </w:p>
        </w:tc>
        <w:tc>
          <w:tcPr>
            <w:tcW w:w="1729"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其中：中央补助</w:t>
            </w:r>
          </w:p>
        </w:tc>
        <w:tc>
          <w:tcPr>
            <w:tcW w:w="896"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194.97　</w:t>
            </w: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194.97</w:t>
            </w:r>
          </w:p>
        </w:tc>
        <w:tc>
          <w:tcPr>
            <w:tcW w:w="1022"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100%</w:t>
            </w:r>
          </w:p>
        </w:tc>
      </w:tr>
      <w:tr>
        <w:tblPrEx>
          <w:tblCellMar>
            <w:top w:w="0" w:type="dxa"/>
            <w:left w:w="108" w:type="dxa"/>
            <w:bottom w:w="0" w:type="dxa"/>
            <w:right w:w="108" w:type="dxa"/>
          </w:tblCellMar>
        </w:tblPrEx>
        <w:trPr>
          <w:jc w:val="center"/>
        </w:trPr>
        <w:tc>
          <w:tcPr>
            <w:tcW w:w="3271" w:type="dxa"/>
            <w:gridSpan w:val="3"/>
            <w:vMerge w:val="continue"/>
            <w:tcBorders>
              <w:top w:val="single" w:color="auto" w:sz="4" w:space="0"/>
              <w:left w:val="single" w:color="auto" w:sz="4" w:space="0"/>
              <w:bottom w:val="single" w:color="000000" w:sz="4" w:space="0"/>
              <w:right w:val="single" w:color="000000" w:sz="4" w:space="0"/>
            </w:tcBorders>
            <w:vAlign w:val="center"/>
          </w:tcPr>
          <w:p>
            <w:pPr>
              <w:spacing w:line="260" w:lineRule="exact"/>
              <w:jc w:val="left"/>
              <w:rPr>
                <w:rFonts w:ascii="仿宋_GB2312" w:eastAsia="仿宋_GB2312"/>
                <w:kern w:val="0"/>
                <w:szCs w:val="21"/>
              </w:rPr>
            </w:pPr>
          </w:p>
        </w:tc>
        <w:tc>
          <w:tcPr>
            <w:tcW w:w="1729"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地方资金</w:t>
            </w:r>
          </w:p>
        </w:tc>
        <w:tc>
          <w:tcPr>
            <w:tcW w:w="896"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c>
          <w:tcPr>
            <w:tcW w:w="1022"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100%</w:t>
            </w:r>
          </w:p>
        </w:tc>
      </w:tr>
      <w:tr>
        <w:tblPrEx>
          <w:tblCellMar>
            <w:top w:w="0" w:type="dxa"/>
            <w:left w:w="108" w:type="dxa"/>
            <w:bottom w:w="0" w:type="dxa"/>
            <w:right w:w="108" w:type="dxa"/>
          </w:tblCellMar>
        </w:tblPrEx>
        <w:trPr>
          <w:jc w:val="center"/>
        </w:trPr>
        <w:tc>
          <w:tcPr>
            <w:tcW w:w="3271" w:type="dxa"/>
            <w:gridSpan w:val="3"/>
            <w:vMerge w:val="continue"/>
            <w:tcBorders>
              <w:top w:val="single" w:color="auto" w:sz="4" w:space="0"/>
              <w:left w:val="single" w:color="auto" w:sz="4" w:space="0"/>
              <w:bottom w:val="single" w:color="000000" w:sz="4" w:space="0"/>
              <w:right w:val="single" w:color="000000" w:sz="4" w:space="0"/>
            </w:tcBorders>
            <w:vAlign w:val="center"/>
          </w:tcPr>
          <w:p>
            <w:pPr>
              <w:spacing w:line="260" w:lineRule="exact"/>
              <w:jc w:val="left"/>
              <w:rPr>
                <w:rFonts w:ascii="仿宋_GB2312" w:eastAsia="仿宋_GB2312"/>
                <w:kern w:val="0"/>
                <w:szCs w:val="21"/>
              </w:rPr>
            </w:pPr>
          </w:p>
        </w:tc>
        <w:tc>
          <w:tcPr>
            <w:tcW w:w="1729"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其他资金</w:t>
            </w:r>
          </w:p>
        </w:tc>
        <w:tc>
          <w:tcPr>
            <w:tcW w:w="896"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c>
          <w:tcPr>
            <w:tcW w:w="1022"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r>
      <w:tr>
        <w:tblPrEx>
          <w:tblCellMar>
            <w:top w:w="0" w:type="dxa"/>
            <w:left w:w="108" w:type="dxa"/>
            <w:bottom w:w="0" w:type="dxa"/>
            <w:right w:w="108" w:type="dxa"/>
          </w:tblCellMar>
        </w:tblPrEx>
        <w:trPr>
          <w:jc w:val="center"/>
        </w:trPr>
        <w:tc>
          <w:tcPr>
            <w:tcW w:w="667"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年度总体目标</w:t>
            </w:r>
          </w:p>
        </w:tc>
        <w:tc>
          <w:tcPr>
            <w:tcW w:w="4333" w:type="dxa"/>
            <w:gridSpan w:val="3"/>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年初设定目标</w:t>
            </w:r>
          </w:p>
        </w:tc>
        <w:tc>
          <w:tcPr>
            <w:tcW w:w="4907" w:type="dxa"/>
            <w:gridSpan w:val="4"/>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全年实际完成情况</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4333" w:type="dxa"/>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ind w:left="-15" w:leftChars="-7" w:firstLine="12" w:firstLineChars="6"/>
              <w:jc w:val="center"/>
              <w:rPr>
                <w:rFonts w:ascii="仿宋_GB2312" w:hAnsi="仿宋" w:eastAsia="仿宋_GB2312"/>
                <w:bCs/>
                <w:szCs w:val="21"/>
              </w:rPr>
            </w:pPr>
            <w:r>
              <w:rPr>
                <w:rFonts w:ascii="仿宋_GB2312" w:eastAsia="仿宋_GB2312"/>
                <w:kern w:val="0"/>
                <w:szCs w:val="21"/>
              </w:rPr>
              <w:t>　根据</w:t>
            </w:r>
            <w:r>
              <w:rPr>
                <w:rFonts w:ascii="仿宋_GB2312" w:hAnsi="仿宋" w:eastAsia="仿宋_GB2312"/>
                <w:bCs/>
                <w:szCs w:val="21"/>
              </w:rPr>
              <w:t>益赫政发〔2020〕3号《益阳市赫山区人民政府</w:t>
            </w:r>
            <w:r>
              <w:rPr>
                <w:rFonts w:ascii="仿宋_GB2312" w:hAnsi="仿宋" w:eastAsia="仿宋_GB2312" w:cs="仿宋"/>
                <w:szCs w:val="21"/>
              </w:rPr>
              <w:t>关于认真做好第七次全国人口普查工作的通知》要求，安排人普专项工作经费。</w:t>
            </w:r>
          </w:p>
          <w:p>
            <w:pPr>
              <w:spacing w:line="260" w:lineRule="exact"/>
              <w:rPr>
                <w:rFonts w:ascii="仿宋_GB2312" w:eastAsia="仿宋_GB2312"/>
                <w:kern w:val="0"/>
                <w:szCs w:val="21"/>
              </w:rPr>
            </w:pPr>
          </w:p>
        </w:tc>
        <w:tc>
          <w:tcPr>
            <w:tcW w:w="4907" w:type="dxa"/>
            <w:gridSpan w:val="4"/>
            <w:tcBorders>
              <w:top w:val="single" w:color="auto" w:sz="4" w:space="0"/>
              <w:left w:val="nil"/>
              <w:bottom w:val="single" w:color="auto" w:sz="4" w:space="0"/>
              <w:right w:val="single" w:color="auto" w:sz="4" w:space="0"/>
            </w:tcBorders>
            <w:vAlign w:val="center"/>
          </w:tcPr>
          <w:p>
            <w:pPr>
              <w:spacing w:line="260" w:lineRule="exact"/>
              <w:jc w:val="left"/>
              <w:rPr>
                <w:rFonts w:ascii="仿宋_GB2312" w:eastAsia="仿宋_GB2312"/>
                <w:kern w:val="0"/>
                <w:szCs w:val="21"/>
              </w:rPr>
            </w:pPr>
            <w:r>
              <w:rPr>
                <w:rFonts w:ascii="仿宋_GB2312" w:hAnsi="仿宋_GB2312" w:eastAsia="仿宋_GB2312" w:cs="仿宋_GB2312"/>
                <w:kern w:val="0"/>
                <w:szCs w:val="21"/>
                <w:shd w:val="clear" w:color="auto" w:fill="FFFFFF"/>
              </w:rPr>
              <w:t>全区人口情况和人力资源状况基本查清，经费按时足额拨付到位。</w:t>
            </w:r>
          </w:p>
        </w:tc>
      </w:tr>
      <w:tr>
        <w:tblPrEx>
          <w:tblCellMar>
            <w:top w:w="0" w:type="dxa"/>
            <w:left w:w="108" w:type="dxa"/>
            <w:bottom w:w="0" w:type="dxa"/>
            <w:right w:w="108" w:type="dxa"/>
          </w:tblCellMar>
        </w:tblPrEx>
        <w:trPr>
          <w:jc w:val="center"/>
        </w:trPr>
        <w:tc>
          <w:tcPr>
            <w:tcW w:w="667"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绩效指标</w:t>
            </w:r>
          </w:p>
        </w:tc>
        <w:tc>
          <w:tcPr>
            <w:tcW w:w="886"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一级指标</w:t>
            </w:r>
          </w:p>
        </w:tc>
        <w:tc>
          <w:tcPr>
            <w:tcW w:w="171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二级指标</w:t>
            </w:r>
          </w:p>
        </w:tc>
        <w:tc>
          <w:tcPr>
            <w:tcW w:w="2625" w:type="dxa"/>
            <w:gridSpan w:val="2"/>
            <w:tcBorders>
              <w:top w:val="single" w:color="auto" w:sz="4" w:space="0"/>
              <w:left w:val="nil"/>
              <w:bottom w:val="single" w:color="auto" w:sz="4" w:space="0"/>
              <w:right w:val="single" w:color="000000"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三级指标</w:t>
            </w: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年度指标值</w:t>
            </w:r>
          </w:p>
        </w:tc>
        <w:tc>
          <w:tcPr>
            <w:tcW w:w="1022"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全年完成值</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未完成原因和改造措施</w:t>
            </w:r>
          </w:p>
        </w:tc>
      </w:tr>
      <w:tr>
        <w:tblPrEx>
          <w:tblCellMar>
            <w:top w:w="0" w:type="dxa"/>
            <w:left w:w="108" w:type="dxa"/>
            <w:bottom w:w="0" w:type="dxa"/>
            <w:right w:w="108" w:type="dxa"/>
          </w:tblCellMar>
        </w:tblPrEx>
        <w:trPr>
          <w:trHeight w:val="775" w:hRule="atLeast"/>
          <w:jc w:val="center"/>
        </w:trPr>
        <w:tc>
          <w:tcPr>
            <w:tcW w:w="667"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886"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产出指标</w:t>
            </w:r>
          </w:p>
        </w:tc>
        <w:tc>
          <w:tcPr>
            <w:tcW w:w="171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数量指标</w:t>
            </w:r>
          </w:p>
        </w:tc>
        <w:tc>
          <w:tcPr>
            <w:tcW w:w="2625" w:type="dxa"/>
            <w:gridSpan w:val="2"/>
            <w:tcBorders>
              <w:top w:val="single" w:color="auto" w:sz="4" w:space="0"/>
              <w:left w:val="nil"/>
              <w:bottom w:val="single" w:color="auto" w:sz="4" w:space="0"/>
              <w:right w:val="single" w:color="000000" w:sz="4" w:space="0"/>
            </w:tcBorders>
            <w:vAlign w:val="center"/>
          </w:tcPr>
          <w:p>
            <w:pPr>
              <w:spacing w:line="260" w:lineRule="exact"/>
              <w:jc w:val="left"/>
              <w:rPr>
                <w:rFonts w:ascii="仿宋_GB2312" w:eastAsia="仿宋_GB2312"/>
                <w:kern w:val="0"/>
                <w:szCs w:val="21"/>
              </w:rPr>
            </w:pPr>
            <w:r>
              <w:rPr>
                <w:rFonts w:ascii="仿宋_GB2312" w:hAnsi="微软雅黑" w:eastAsia="仿宋_GB2312"/>
                <w:szCs w:val="21"/>
              </w:rPr>
              <w:t>2021年度共撰写第七次全国人口普查统计分析2篇。开展专题培训7次。</w:t>
            </w:r>
            <w:r>
              <w:rPr>
                <w:rFonts w:ascii="仿宋_GB2312" w:eastAsia="仿宋_GB2312"/>
                <w:kern w:val="0"/>
                <w:szCs w:val="21"/>
              </w:rPr>
              <w:t>　</w:t>
            </w: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w w:val="90"/>
                <w:kern w:val="0"/>
                <w:szCs w:val="21"/>
              </w:rPr>
            </w:pPr>
            <w:r>
              <w:rPr>
                <w:rFonts w:ascii="仿宋_GB2312" w:eastAsia="仿宋_GB2312"/>
                <w:w w:val="90"/>
                <w:kern w:val="0"/>
                <w:szCs w:val="21"/>
              </w:rPr>
              <w:t>按要求完成　</w:t>
            </w:r>
          </w:p>
        </w:tc>
        <w:tc>
          <w:tcPr>
            <w:tcW w:w="1022"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w w:val="90"/>
                <w:kern w:val="0"/>
                <w:szCs w:val="21"/>
              </w:rPr>
            </w:pPr>
            <w:r>
              <w:rPr>
                <w:rFonts w:ascii="仿宋_GB2312" w:eastAsia="仿宋_GB2312"/>
                <w:w w:val="90"/>
                <w:kern w:val="0"/>
                <w:szCs w:val="21"/>
              </w:rPr>
              <w:t>按要求完成　</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88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171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质量指标</w:t>
            </w:r>
          </w:p>
        </w:tc>
        <w:tc>
          <w:tcPr>
            <w:tcW w:w="2625" w:type="dxa"/>
            <w:gridSpan w:val="2"/>
            <w:tcBorders>
              <w:top w:val="single" w:color="auto" w:sz="4" w:space="0"/>
              <w:left w:val="nil"/>
              <w:bottom w:val="single" w:color="auto" w:sz="4" w:space="0"/>
              <w:right w:val="single" w:color="000000" w:sz="4" w:space="0"/>
            </w:tcBorders>
            <w:vAlign w:val="center"/>
          </w:tcPr>
          <w:p>
            <w:pPr>
              <w:pStyle w:val="3"/>
              <w:shd w:val="clear" w:color="auto" w:fill="FFFFFF"/>
              <w:spacing w:line="260" w:lineRule="exact"/>
              <w:rPr>
                <w:rFonts w:ascii="仿宋_GB2312" w:hAnsi="微软雅黑" w:eastAsia="仿宋_GB2312"/>
                <w:sz w:val="21"/>
                <w:szCs w:val="21"/>
              </w:rPr>
            </w:pPr>
            <w:r>
              <w:rPr>
                <w:rFonts w:ascii="仿宋_GB2312" w:hAnsi="仿宋" w:eastAsia="仿宋_GB2312"/>
                <w:sz w:val="21"/>
                <w:szCs w:val="21"/>
              </w:rPr>
              <w:t>全面查清我国人口数量、结构、分布、城乡住房等方面情况，</w:t>
            </w:r>
            <w:r>
              <w:rPr>
                <w:rFonts w:ascii="仿宋_GB2312" w:hAnsi="微软雅黑" w:eastAsia="仿宋_GB2312"/>
                <w:sz w:val="21"/>
                <w:szCs w:val="21"/>
              </w:rPr>
              <w:t>对普查员、普查指导员进行培训，培训合格率达到100%。</w:t>
            </w:r>
          </w:p>
          <w:p>
            <w:pPr>
              <w:spacing w:line="260" w:lineRule="exact"/>
              <w:jc w:val="left"/>
              <w:rPr>
                <w:rFonts w:ascii="仿宋_GB2312" w:eastAsia="仿宋_GB2312"/>
                <w:kern w:val="0"/>
                <w:szCs w:val="21"/>
              </w:rPr>
            </w:pPr>
            <w:r>
              <w:rPr>
                <w:rFonts w:ascii="仿宋_GB2312" w:eastAsia="仿宋_GB2312"/>
                <w:kern w:val="0"/>
                <w:szCs w:val="21"/>
              </w:rPr>
              <w:t>　</w:t>
            </w: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w w:val="90"/>
                <w:kern w:val="0"/>
                <w:szCs w:val="21"/>
              </w:rPr>
            </w:pPr>
            <w:r>
              <w:rPr>
                <w:rFonts w:ascii="仿宋_GB2312" w:eastAsia="仿宋_GB2312"/>
                <w:w w:val="90"/>
                <w:kern w:val="0"/>
                <w:szCs w:val="21"/>
              </w:rPr>
              <w:t>符合要求　</w:t>
            </w:r>
          </w:p>
        </w:tc>
        <w:tc>
          <w:tcPr>
            <w:tcW w:w="1022"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w w:val="90"/>
                <w:kern w:val="0"/>
                <w:szCs w:val="21"/>
              </w:rPr>
            </w:pPr>
            <w:r>
              <w:rPr>
                <w:rFonts w:ascii="仿宋_GB2312" w:eastAsia="仿宋_GB2312"/>
                <w:w w:val="90"/>
                <w:kern w:val="0"/>
                <w:szCs w:val="21"/>
              </w:rPr>
              <w:t>符合要求　</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88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171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时效指标</w:t>
            </w:r>
          </w:p>
        </w:tc>
        <w:tc>
          <w:tcPr>
            <w:tcW w:w="2625" w:type="dxa"/>
            <w:gridSpan w:val="2"/>
            <w:tcBorders>
              <w:top w:val="single" w:color="auto" w:sz="4" w:space="0"/>
              <w:left w:val="nil"/>
              <w:bottom w:val="single" w:color="auto" w:sz="4" w:space="0"/>
              <w:right w:val="single" w:color="000000" w:sz="4" w:space="0"/>
            </w:tcBorders>
            <w:vAlign w:val="center"/>
          </w:tcPr>
          <w:p>
            <w:pPr>
              <w:spacing w:line="260" w:lineRule="exact"/>
              <w:jc w:val="left"/>
              <w:rPr>
                <w:rFonts w:ascii="仿宋_GB2312" w:eastAsia="仿宋_GB2312"/>
                <w:kern w:val="0"/>
                <w:szCs w:val="21"/>
              </w:rPr>
            </w:pPr>
            <w:r>
              <w:rPr>
                <w:rFonts w:ascii="仿宋_GB2312" w:hAnsi="微软雅黑" w:eastAsia="仿宋_GB2312"/>
                <w:szCs w:val="21"/>
              </w:rPr>
              <w:t>2021年6月底前发布普查公报</w:t>
            </w: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w w:val="90"/>
                <w:kern w:val="0"/>
                <w:szCs w:val="21"/>
              </w:rPr>
            </w:pPr>
            <w:r>
              <w:rPr>
                <w:rFonts w:ascii="仿宋_GB2312" w:eastAsia="仿宋_GB2312"/>
                <w:w w:val="90"/>
                <w:kern w:val="0"/>
                <w:szCs w:val="21"/>
              </w:rPr>
              <w:t>符合要求　</w:t>
            </w:r>
          </w:p>
        </w:tc>
        <w:tc>
          <w:tcPr>
            <w:tcW w:w="1022"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w w:val="90"/>
                <w:kern w:val="0"/>
                <w:szCs w:val="21"/>
              </w:rPr>
            </w:pPr>
            <w:r>
              <w:rPr>
                <w:rFonts w:ascii="仿宋_GB2312" w:eastAsia="仿宋_GB2312"/>
                <w:w w:val="90"/>
                <w:kern w:val="0"/>
                <w:szCs w:val="21"/>
              </w:rPr>
              <w:t>符合要求　</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88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171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成本指标</w:t>
            </w:r>
          </w:p>
        </w:tc>
        <w:tc>
          <w:tcPr>
            <w:tcW w:w="2625" w:type="dxa"/>
            <w:gridSpan w:val="2"/>
            <w:tcBorders>
              <w:top w:val="single" w:color="auto" w:sz="4" w:space="0"/>
              <w:left w:val="nil"/>
              <w:bottom w:val="single" w:color="auto" w:sz="4" w:space="0"/>
              <w:right w:val="single" w:color="000000" w:sz="4" w:space="0"/>
            </w:tcBorders>
            <w:vAlign w:val="center"/>
          </w:tcPr>
          <w:p>
            <w:pPr>
              <w:spacing w:line="260" w:lineRule="exact"/>
              <w:jc w:val="left"/>
              <w:rPr>
                <w:rFonts w:ascii="仿宋_GB2312" w:eastAsia="仿宋_GB2312"/>
                <w:kern w:val="0"/>
                <w:szCs w:val="21"/>
              </w:rPr>
            </w:pPr>
            <w:r>
              <w:rPr>
                <w:rFonts w:ascii="仿宋_GB2312" w:hAnsi="微软雅黑" w:eastAsia="仿宋_GB2312"/>
                <w:szCs w:val="21"/>
              </w:rPr>
              <w:t>年度耗费资金194.97万元</w:t>
            </w:r>
            <w:r>
              <w:rPr>
                <w:rFonts w:ascii="仿宋_GB2312" w:eastAsia="仿宋_GB2312"/>
                <w:kern w:val="0"/>
                <w:szCs w:val="21"/>
              </w:rPr>
              <w:t>　</w:t>
            </w: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w w:val="90"/>
                <w:kern w:val="0"/>
                <w:szCs w:val="21"/>
              </w:rPr>
            </w:pPr>
            <w:r>
              <w:rPr>
                <w:rFonts w:ascii="仿宋_GB2312" w:eastAsia="仿宋_GB2312"/>
                <w:w w:val="90"/>
                <w:kern w:val="0"/>
                <w:szCs w:val="21"/>
              </w:rPr>
              <w:t>　194.97</w:t>
            </w:r>
          </w:p>
        </w:tc>
        <w:tc>
          <w:tcPr>
            <w:tcW w:w="1022"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w w:val="90"/>
                <w:kern w:val="0"/>
                <w:szCs w:val="21"/>
              </w:rPr>
            </w:pPr>
            <w:r>
              <w:rPr>
                <w:rFonts w:ascii="仿宋_GB2312" w:eastAsia="仿宋_GB2312"/>
                <w:w w:val="90"/>
                <w:kern w:val="0"/>
                <w:szCs w:val="21"/>
              </w:rPr>
              <w:t>194.97　</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88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171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w:t>
            </w:r>
          </w:p>
        </w:tc>
        <w:tc>
          <w:tcPr>
            <w:tcW w:w="2625" w:type="dxa"/>
            <w:gridSpan w:val="2"/>
            <w:tcBorders>
              <w:top w:val="single" w:color="auto" w:sz="4" w:space="0"/>
              <w:left w:val="nil"/>
              <w:bottom w:val="single" w:color="auto" w:sz="4" w:space="0"/>
              <w:right w:val="single" w:color="000000" w:sz="4" w:space="0"/>
            </w:tcBorders>
            <w:vAlign w:val="center"/>
          </w:tcPr>
          <w:p>
            <w:pPr>
              <w:spacing w:line="260" w:lineRule="exact"/>
              <w:jc w:val="left"/>
              <w:rPr>
                <w:rFonts w:ascii="仿宋_GB2312" w:eastAsia="仿宋_GB2312"/>
                <w:kern w:val="0"/>
                <w:szCs w:val="21"/>
              </w:rPr>
            </w:pPr>
            <w:r>
              <w:rPr>
                <w:rFonts w:ascii="仿宋_GB2312" w:eastAsia="仿宋_GB2312"/>
                <w:kern w:val="0"/>
                <w:szCs w:val="21"/>
              </w:rPr>
              <w:t>　</w:t>
            </w: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w w:val="90"/>
                <w:kern w:val="0"/>
                <w:szCs w:val="21"/>
              </w:rPr>
            </w:pPr>
            <w:r>
              <w:rPr>
                <w:rFonts w:ascii="仿宋_GB2312" w:eastAsia="仿宋_GB2312"/>
                <w:w w:val="90"/>
                <w:kern w:val="0"/>
                <w:szCs w:val="21"/>
              </w:rPr>
              <w:t>　</w:t>
            </w:r>
          </w:p>
        </w:tc>
        <w:tc>
          <w:tcPr>
            <w:tcW w:w="1022"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w w:val="90"/>
                <w:kern w:val="0"/>
                <w:szCs w:val="21"/>
              </w:rPr>
            </w:pPr>
            <w:r>
              <w:rPr>
                <w:rFonts w:ascii="仿宋_GB2312" w:eastAsia="仿宋_GB2312"/>
                <w:w w:val="90"/>
                <w:kern w:val="0"/>
                <w:szCs w:val="21"/>
              </w:rPr>
              <w:t>　</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886"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效益指标</w:t>
            </w:r>
          </w:p>
        </w:tc>
        <w:tc>
          <w:tcPr>
            <w:tcW w:w="171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经济效益指标</w:t>
            </w:r>
          </w:p>
        </w:tc>
        <w:tc>
          <w:tcPr>
            <w:tcW w:w="2625" w:type="dxa"/>
            <w:gridSpan w:val="2"/>
            <w:tcBorders>
              <w:top w:val="single" w:color="auto" w:sz="4" w:space="0"/>
              <w:left w:val="nil"/>
              <w:bottom w:val="single" w:color="auto" w:sz="4" w:space="0"/>
              <w:right w:val="single" w:color="000000" w:sz="4" w:space="0"/>
            </w:tcBorders>
            <w:vAlign w:val="center"/>
          </w:tcPr>
          <w:p>
            <w:pPr>
              <w:spacing w:line="260" w:lineRule="exact"/>
              <w:jc w:val="left"/>
              <w:rPr>
                <w:rFonts w:ascii="仿宋_GB2312" w:eastAsia="仿宋_GB2312"/>
                <w:kern w:val="0"/>
                <w:szCs w:val="21"/>
              </w:rPr>
            </w:pPr>
            <w:r>
              <w:rPr>
                <w:rFonts w:ascii="仿宋_GB2312" w:hAnsi="仿宋" w:eastAsia="仿宋_GB2312"/>
                <w:szCs w:val="21"/>
              </w:rPr>
              <w:t>促进人口长期均衡发展，科学制定国民经济和社会发展规划，推动经济高质量发展</w:t>
            </w:r>
            <w:r>
              <w:rPr>
                <w:rFonts w:ascii="仿宋_GB2312" w:hAnsi="仿宋" w:eastAsia="仿宋_GB2312"/>
              </w:rPr>
              <w:t>，</w:t>
            </w:r>
            <w:r>
              <w:rPr>
                <w:rFonts w:ascii="仿宋_GB2312" w:hAnsi="仿宋" w:eastAsia="仿宋_GB2312"/>
                <w:szCs w:val="21"/>
              </w:rPr>
              <w:t>提供科学准确的统计信息支持</w:t>
            </w:r>
            <w:r>
              <w:rPr>
                <w:rFonts w:ascii="仿宋_GB2312" w:hAnsi="仿宋" w:eastAsia="仿宋_GB2312"/>
              </w:rPr>
              <w:t>。</w:t>
            </w: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w w:val="90"/>
                <w:kern w:val="0"/>
                <w:szCs w:val="21"/>
              </w:rPr>
            </w:pPr>
            <w:r>
              <w:rPr>
                <w:rFonts w:ascii="仿宋_GB2312" w:eastAsia="仿宋_GB2312"/>
                <w:w w:val="90"/>
                <w:kern w:val="0"/>
                <w:szCs w:val="21"/>
              </w:rPr>
              <w:t>符合要求　</w:t>
            </w:r>
          </w:p>
        </w:tc>
        <w:tc>
          <w:tcPr>
            <w:tcW w:w="1022"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w w:val="90"/>
                <w:kern w:val="0"/>
                <w:szCs w:val="21"/>
              </w:rPr>
            </w:pPr>
            <w:r>
              <w:rPr>
                <w:rFonts w:ascii="仿宋_GB2312" w:eastAsia="仿宋_GB2312"/>
                <w:w w:val="90"/>
                <w:kern w:val="0"/>
                <w:szCs w:val="21"/>
              </w:rPr>
              <w:t>符合要求　</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88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171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社会效益指标</w:t>
            </w:r>
          </w:p>
        </w:tc>
        <w:tc>
          <w:tcPr>
            <w:tcW w:w="2625" w:type="dxa"/>
            <w:gridSpan w:val="2"/>
            <w:tcBorders>
              <w:top w:val="single" w:color="auto" w:sz="4" w:space="0"/>
              <w:left w:val="nil"/>
              <w:bottom w:val="single" w:color="auto" w:sz="4" w:space="0"/>
              <w:right w:val="single" w:color="000000" w:sz="4" w:space="0"/>
            </w:tcBorders>
            <w:vAlign w:val="center"/>
          </w:tcPr>
          <w:p>
            <w:pPr>
              <w:pStyle w:val="3"/>
              <w:shd w:val="clear" w:color="auto" w:fill="FFFFFF"/>
              <w:spacing w:line="260" w:lineRule="exact"/>
              <w:ind w:firstLine="480"/>
              <w:rPr>
                <w:rFonts w:ascii="仿宋_GB2312" w:hAnsi="微软雅黑" w:eastAsia="仿宋_GB2312"/>
                <w:kern w:val="2"/>
                <w:sz w:val="21"/>
                <w:szCs w:val="21"/>
              </w:rPr>
            </w:pPr>
            <w:r>
              <w:rPr>
                <w:rFonts w:ascii="仿宋_GB2312" w:hAnsi="微软雅黑" w:eastAsia="仿宋_GB2312"/>
                <w:sz w:val="21"/>
                <w:szCs w:val="21"/>
              </w:rPr>
              <w:t>为研究制定人口政策和经济社会发展规划提供依据。</w:t>
            </w: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w w:val="90"/>
                <w:kern w:val="0"/>
                <w:szCs w:val="21"/>
              </w:rPr>
            </w:pPr>
            <w:r>
              <w:rPr>
                <w:rFonts w:ascii="仿宋_GB2312" w:eastAsia="仿宋_GB2312"/>
                <w:w w:val="90"/>
                <w:kern w:val="0"/>
                <w:szCs w:val="21"/>
              </w:rPr>
              <w:t>符合要求　</w:t>
            </w:r>
          </w:p>
        </w:tc>
        <w:tc>
          <w:tcPr>
            <w:tcW w:w="1022"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w w:val="90"/>
                <w:kern w:val="0"/>
                <w:szCs w:val="21"/>
              </w:rPr>
            </w:pPr>
            <w:r>
              <w:rPr>
                <w:rFonts w:ascii="仿宋_GB2312" w:eastAsia="仿宋_GB2312"/>
                <w:w w:val="90"/>
                <w:kern w:val="0"/>
                <w:szCs w:val="21"/>
              </w:rPr>
              <w:t>符合要求　</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88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171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w:t>
            </w:r>
          </w:p>
        </w:tc>
        <w:tc>
          <w:tcPr>
            <w:tcW w:w="2625" w:type="dxa"/>
            <w:gridSpan w:val="2"/>
            <w:tcBorders>
              <w:top w:val="single" w:color="auto" w:sz="4" w:space="0"/>
              <w:left w:val="nil"/>
              <w:bottom w:val="single" w:color="auto" w:sz="4" w:space="0"/>
              <w:right w:val="single" w:color="000000"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c>
          <w:tcPr>
            <w:tcW w:w="1022"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886"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满意度指标</w:t>
            </w:r>
          </w:p>
        </w:tc>
        <w:tc>
          <w:tcPr>
            <w:tcW w:w="171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服务对象满意度指标</w:t>
            </w:r>
          </w:p>
        </w:tc>
        <w:tc>
          <w:tcPr>
            <w:tcW w:w="2625" w:type="dxa"/>
            <w:gridSpan w:val="2"/>
            <w:tcBorders>
              <w:top w:val="single" w:color="auto" w:sz="4" w:space="0"/>
              <w:left w:val="nil"/>
              <w:bottom w:val="single" w:color="auto" w:sz="4" w:space="0"/>
              <w:right w:val="single" w:color="000000"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满意度达98%　</w:t>
            </w: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100%</w:t>
            </w:r>
          </w:p>
        </w:tc>
        <w:tc>
          <w:tcPr>
            <w:tcW w:w="1022"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100%　</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r>
      <w:tr>
        <w:tblPrEx>
          <w:tblCellMar>
            <w:top w:w="0" w:type="dxa"/>
            <w:left w:w="108" w:type="dxa"/>
            <w:bottom w:w="0" w:type="dxa"/>
            <w:right w:w="108" w:type="dxa"/>
          </w:tblCellMar>
        </w:tblPrEx>
        <w:trPr>
          <w:jc w:val="center"/>
        </w:trPr>
        <w:tc>
          <w:tcPr>
            <w:tcW w:w="667"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88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eastAsia="仿宋_GB2312"/>
                <w:kern w:val="0"/>
                <w:szCs w:val="21"/>
              </w:rPr>
            </w:pPr>
          </w:p>
        </w:tc>
        <w:tc>
          <w:tcPr>
            <w:tcW w:w="171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w:t>
            </w:r>
          </w:p>
        </w:tc>
        <w:tc>
          <w:tcPr>
            <w:tcW w:w="2625" w:type="dxa"/>
            <w:gridSpan w:val="2"/>
            <w:tcBorders>
              <w:top w:val="single" w:color="auto" w:sz="4" w:space="0"/>
              <w:left w:val="nil"/>
              <w:bottom w:val="single" w:color="auto" w:sz="4" w:space="0"/>
              <w:right w:val="single" w:color="000000"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c>
          <w:tcPr>
            <w:tcW w:w="1078"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c>
          <w:tcPr>
            <w:tcW w:w="1022"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c>
          <w:tcPr>
            <w:tcW w:w="1911" w:type="dxa"/>
            <w:tcBorders>
              <w:top w:val="nil"/>
              <w:left w:val="nil"/>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　</w:t>
            </w:r>
          </w:p>
        </w:tc>
      </w:tr>
      <w:tr>
        <w:tblPrEx>
          <w:tblCellMar>
            <w:top w:w="0" w:type="dxa"/>
            <w:left w:w="108" w:type="dxa"/>
            <w:bottom w:w="0" w:type="dxa"/>
            <w:right w:w="108" w:type="dxa"/>
          </w:tblCellMar>
        </w:tblPrEx>
        <w:trPr>
          <w:jc w:val="center"/>
        </w:trPr>
        <w:tc>
          <w:tcPr>
            <w:tcW w:w="667" w:type="dxa"/>
            <w:tcBorders>
              <w:top w:val="nil"/>
              <w:left w:val="single" w:color="auto" w:sz="4" w:space="0"/>
              <w:bottom w:val="single" w:color="auto" w:sz="4" w:space="0"/>
              <w:right w:val="single" w:color="auto" w:sz="4" w:space="0"/>
            </w:tcBorders>
            <w:vAlign w:val="center"/>
          </w:tcPr>
          <w:p>
            <w:pPr>
              <w:spacing w:line="260" w:lineRule="exact"/>
              <w:jc w:val="center"/>
              <w:rPr>
                <w:rFonts w:ascii="仿宋_GB2312" w:eastAsia="仿宋_GB2312"/>
                <w:kern w:val="0"/>
                <w:szCs w:val="21"/>
              </w:rPr>
            </w:pPr>
            <w:r>
              <w:rPr>
                <w:rFonts w:ascii="仿宋_GB2312" w:eastAsia="仿宋_GB2312"/>
                <w:kern w:val="0"/>
                <w:szCs w:val="21"/>
              </w:rPr>
              <w:t>说明</w:t>
            </w:r>
          </w:p>
        </w:tc>
        <w:tc>
          <w:tcPr>
            <w:tcW w:w="9240" w:type="dxa"/>
            <w:gridSpan w:val="7"/>
            <w:tcBorders>
              <w:top w:val="single" w:color="auto" w:sz="4" w:space="0"/>
              <w:left w:val="nil"/>
              <w:bottom w:val="single" w:color="auto" w:sz="4" w:space="0"/>
              <w:right w:val="single" w:color="auto" w:sz="4" w:space="0"/>
            </w:tcBorders>
            <w:vAlign w:val="center"/>
          </w:tcPr>
          <w:p>
            <w:pPr>
              <w:spacing w:line="260" w:lineRule="exact"/>
              <w:jc w:val="left"/>
              <w:rPr>
                <w:rFonts w:ascii="仿宋_GB2312" w:eastAsia="仿宋_GB2312"/>
                <w:kern w:val="0"/>
                <w:szCs w:val="21"/>
              </w:rPr>
            </w:pPr>
            <w:r>
              <w:rPr>
                <w:rFonts w:ascii="仿宋_GB2312" w:eastAsia="仿宋_GB2312"/>
                <w:kern w:val="0"/>
                <w:szCs w:val="21"/>
              </w:rPr>
              <w:t>请在此处简要说明中央巡视、各级审计和财政监督中发现的问题及其所涉及的金额，如没有请填无。</w:t>
            </w:r>
          </w:p>
        </w:tc>
      </w:tr>
    </w:tbl>
    <w:p>
      <w:pPr>
        <w:pStyle w:val="2"/>
        <w:rPr>
          <w:rFonts w:hint="default" w:eastAsia="仿宋_GB2312"/>
        </w:rPr>
      </w:pPr>
    </w:p>
    <w:p/>
    <w:sectPr>
      <w:pgSz w:w="12240" w:h="15840"/>
      <w:pgMar w:top="1134" w:right="1531" w:bottom="1134" w:left="1531"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1E51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jc w:val="both"/>
    </w:pPr>
    <w:rPr>
      <w:rFonts w:hint="eastAsia" w:ascii="Times New Roman" w:hAnsi="Times New Roman" w:eastAsia="Times New Roman"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0"/>
  </w:style>
  <w:style w:type="paragraph" w:styleId="3">
    <w:name w:val="Normal (Web)"/>
    <w:basedOn w:val="1"/>
    <w:unhideWhenUsed/>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2023-06-17T15:53:34Z</dcterms:created>
  <dc:creator>admin-3</dc:creator>
  <cp:lastModifiedBy>admin-3</cp:lastModifiedBy>
  <dcterms:modified xsi:type="dcterms:W3CDTF">2023-06-17T15:54:14Z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D337503183C44777B7CC7860EC7E9B44_12</vt:lpwstr>
  </property>
</Properties>
</file>