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720" w:firstLineChars="200"/>
        <w:jc w:val="center"/>
        <w:rPr>
          <w:rFonts w:ascii="黑体" w:hAnsi="黑体" w:eastAsia="黑体" w:cs="黑体"/>
          <w:color w:val="000000"/>
          <w:kern w:val="0"/>
          <w:sz w:val="36"/>
          <w:szCs w:val="36"/>
        </w:rPr>
      </w:pPr>
    </w:p>
    <w:p>
      <w:pPr>
        <w:spacing w:line="600" w:lineRule="exact"/>
        <w:jc w:val="center"/>
        <w:rPr>
          <w:rFonts w:ascii="黑体" w:hAnsi="黑体" w:eastAsia="黑体" w:cs="黑体"/>
          <w:color w:val="000000"/>
          <w:kern w:val="0"/>
          <w:sz w:val="36"/>
          <w:szCs w:val="36"/>
        </w:rPr>
      </w:pPr>
      <w:r>
        <w:rPr>
          <w:rFonts w:ascii="黑体" w:hAnsi="黑体" w:eastAsia="黑体" w:cs="黑体"/>
          <w:color w:val="000000"/>
          <w:kern w:val="0"/>
          <w:sz w:val="36"/>
          <w:szCs w:val="36"/>
        </w:rPr>
        <w:t>益阳市赫山区统计局2021年度部门</w:t>
      </w:r>
    </w:p>
    <w:p>
      <w:pPr>
        <w:spacing w:line="600" w:lineRule="exact"/>
        <w:ind w:firstLine="720" w:firstLineChars="200"/>
        <w:jc w:val="center"/>
        <w:rPr>
          <w:rFonts w:hint="default" w:ascii="黑体" w:hAnsi="黑体" w:eastAsia="黑体" w:cs="黑体"/>
          <w:color w:val="000000"/>
          <w:kern w:val="0"/>
          <w:sz w:val="36"/>
          <w:szCs w:val="36"/>
        </w:rPr>
      </w:pPr>
      <w:r>
        <w:rPr>
          <w:rFonts w:ascii="黑体" w:hAnsi="黑体" w:eastAsia="黑体" w:cs="黑体"/>
          <w:color w:val="000000"/>
          <w:kern w:val="0"/>
          <w:sz w:val="36"/>
          <w:szCs w:val="36"/>
        </w:rPr>
        <w:t>整体支出绩效评价报告</w:t>
      </w:r>
    </w:p>
    <w:p>
      <w:pPr>
        <w:spacing w:line="600" w:lineRule="exact"/>
        <w:ind w:firstLine="600" w:firstLineChars="200"/>
        <w:rPr>
          <w:rFonts w:hint="default" w:ascii="黑体" w:hAnsi="黑体" w:eastAsia="黑体" w:cs="黑体"/>
          <w:kern w:val="0"/>
          <w:sz w:val="30"/>
          <w:szCs w:val="30"/>
          <w:shd w:val="clear" w:color="auto" w:fill="FFFFFF"/>
        </w:rPr>
      </w:pPr>
    </w:p>
    <w:p>
      <w:pPr>
        <w:pStyle w:val="4"/>
        <w:shd w:val="clear" w:color="auto" w:fill="FFFFFF"/>
        <w:spacing w:beforeAutospacing="0" w:afterAutospacing="0" w:line="600" w:lineRule="exact"/>
        <w:ind w:firstLine="1205" w:firstLineChars="400"/>
        <w:rPr>
          <w:rFonts w:hint="default"/>
        </w:rPr>
      </w:pPr>
      <w:r>
        <w:rPr>
          <w:rFonts w:ascii="黑体" w:hAnsi="黑体" w:eastAsia="黑体" w:cs="黑体"/>
          <w:b/>
          <w:bCs/>
          <w:sz w:val="30"/>
          <w:szCs w:val="30"/>
        </w:rPr>
        <w:t>一、部门基本情况</w:t>
      </w:r>
    </w:p>
    <w:p>
      <w:pPr>
        <w:pStyle w:val="7"/>
        <w:widowControl w:val="0"/>
        <w:spacing w:line="600" w:lineRule="exact"/>
        <w:ind w:firstLine="843" w:firstLineChars="400"/>
        <w:jc w:val="left"/>
        <w:rPr>
          <w:rFonts w:hint="default" w:eastAsiaTheme="minorEastAsia"/>
        </w:rPr>
      </w:pPr>
      <w:r>
        <w:rPr>
          <w:rFonts w:ascii="仿宋" w:hAnsi="仿宋" w:eastAsia="仿宋" w:cs="仿宋"/>
          <w:b/>
          <w:bCs/>
        </w:rPr>
        <w:t>（一）</w:t>
      </w:r>
      <w:r>
        <w:rPr>
          <w:rFonts w:ascii="仿宋" w:hAnsi="仿宋" w:eastAsia="仿宋" w:cs="仿宋"/>
          <w:b/>
          <w:bCs/>
          <w:sz w:val="30"/>
          <w:szCs w:val="30"/>
        </w:rPr>
        <w:t>部门职责</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1、贯彻执行国家、省、市统计工作的方针、政策和统计法律法规，研究统计制度和统计方法的改革；组织领导和协调全区统计工作，检查监督统计法规的执行情况，开展统计巡查、调查和执法检查，查处各类统计违法行为。</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2、拟定并组织实施全区统计调查计划和调查方案，建立健全国民经济核算体系和统计指标体系。指导和协调全区统计业务工作，完成国家和省、市、区统计调查任务，执行国家统计报表制度。</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3、负责依法审批、审核或备案区直部门、乡镇、街道、园区的统计调查计划及调查方案。牵头组织有关部门拟定大型普查计划与方案，组织实施全区农业、人口、经济等重大社会经济发展情况普查及各项专项调查，汇总、整理和提供普查的有关统计数据。</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4、负责提供区委、区政府制定政策、编制国民经济和社会发展规划所需的统计资料；对全区国民经济、科技进步、社会发展、资源环境等情况进行统计分析、预测、调研、检查和监督；向区委、区政府及有关部门提供统计信息和咨询建议。</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5、负责统一核定、管理、公布全区经济、社会、科技的基本统计资料，定期发布全区国民经济和社会发展情况统计公报以及有关普查和专项调查公报；发布社会经济统计信息。</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6、建立和管理统计信息自动化系统和统计数据库体系，加强电子计算站建设。建立健全并维护全区统计信息网络。</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7、组织指导本行政区域内各部门、各单位加强统计基层基础工作建设，监督和管理全区中央统计事业经费，协助管理和考核乡镇、街道、园区统计站长，组织指导全区统计科研、统计教育、统计宣传工作。</w:t>
      </w:r>
    </w:p>
    <w:p>
      <w:pPr>
        <w:spacing w:line="600" w:lineRule="exact"/>
        <w:ind w:left="420" w:firstLine="600" w:firstLineChars="200"/>
        <w:rPr>
          <w:rFonts w:hint="default" w:ascii="仿宋" w:hAnsi="仿宋" w:eastAsia="仿宋" w:cs="仿宋"/>
          <w:sz w:val="30"/>
          <w:szCs w:val="30"/>
        </w:rPr>
      </w:pPr>
      <w:r>
        <w:rPr>
          <w:rFonts w:ascii="仿宋" w:hAnsi="仿宋" w:eastAsia="仿宋" w:cs="仿宋"/>
          <w:sz w:val="30"/>
          <w:szCs w:val="30"/>
        </w:rPr>
        <w:t>8完成区委、区政府交办的其他任务。</w:t>
      </w:r>
    </w:p>
    <w:p>
      <w:pPr>
        <w:pStyle w:val="2"/>
        <w:rPr>
          <w:rFonts w:hint="default"/>
        </w:rPr>
      </w:pPr>
    </w:p>
    <w:p>
      <w:pPr>
        <w:shd w:val="clear" w:color="auto" w:fill="FFFFFF"/>
        <w:spacing w:line="600" w:lineRule="exact"/>
        <w:ind w:firstLine="602" w:firstLineChars="200"/>
        <w:rPr>
          <w:rFonts w:hint="default" w:ascii="仿宋" w:hAnsi="仿宋" w:eastAsia="仿宋" w:cs="仿宋"/>
          <w:b/>
          <w:bCs/>
          <w:sz w:val="30"/>
          <w:szCs w:val="30"/>
        </w:rPr>
      </w:pPr>
      <w:r>
        <w:rPr>
          <w:rFonts w:ascii="仿宋" w:hAnsi="仿宋" w:eastAsia="仿宋" w:cs="仿宋"/>
          <w:b/>
          <w:bCs/>
          <w:sz w:val="30"/>
          <w:szCs w:val="30"/>
        </w:rPr>
        <w:t>（二）机构设置</w:t>
      </w:r>
    </w:p>
    <w:p>
      <w:pPr>
        <w:spacing w:line="600" w:lineRule="exact"/>
        <w:ind w:firstLine="600" w:firstLineChars="200"/>
        <w:rPr>
          <w:rFonts w:hint="default" w:ascii="仿宋" w:hAnsi="仿宋" w:eastAsia="仿宋" w:cs="仿宋"/>
          <w:sz w:val="30"/>
          <w:szCs w:val="30"/>
        </w:rPr>
      </w:pPr>
      <w:r>
        <w:rPr>
          <w:rFonts w:ascii="仿宋" w:hAnsi="仿宋" w:eastAsia="仿宋" w:cs="仿宋"/>
          <w:kern w:val="0"/>
          <w:sz w:val="30"/>
          <w:szCs w:val="30"/>
        </w:rPr>
        <w:t>2021年度，赫山区统计局</w:t>
      </w:r>
      <w:r>
        <w:rPr>
          <w:rFonts w:ascii="仿宋" w:hAnsi="仿宋" w:eastAsia="仿宋" w:cs="仿宋"/>
          <w:sz w:val="30"/>
          <w:szCs w:val="30"/>
        </w:rPr>
        <w:t>办公室（执法队）、综合股、投资股、工业股、服务业股。所属股级公益一类事业单位有三个：益阳市赫山区电子计算站、益阳市赫山区普查中心和益阳市赫山区城乡经济调查队。</w:t>
      </w:r>
    </w:p>
    <w:p>
      <w:pPr>
        <w:spacing w:line="600" w:lineRule="exact"/>
        <w:ind w:firstLine="602" w:firstLineChars="200"/>
        <w:rPr>
          <w:rFonts w:hint="default" w:ascii="仿宋" w:hAnsi="仿宋" w:eastAsia="仿宋" w:cs="仿宋"/>
          <w:b/>
          <w:bCs/>
          <w:kern w:val="0"/>
          <w:sz w:val="30"/>
          <w:szCs w:val="30"/>
        </w:rPr>
      </w:pPr>
      <w:r>
        <w:rPr>
          <w:rFonts w:ascii="仿宋" w:hAnsi="仿宋" w:eastAsia="仿宋" w:cs="仿宋"/>
          <w:b/>
          <w:bCs/>
          <w:kern w:val="0"/>
          <w:sz w:val="30"/>
          <w:szCs w:val="30"/>
        </w:rPr>
        <w:t>（三）人员编制情况</w:t>
      </w:r>
    </w:p>
    <w:p>
      <w:pPr>
        <w:spacing w:line="600" w:lineRule="exact"/>
        <w:ind w:firstLine="600" w:firstLineChars="200"/>
        <w:rPr>
          <w:rFonts w:hint="default" w:ascii="黑体" w:hAnsi="黑体" w:eastAsia="黑体" w:cs="黑体"/>
          <w:kern w:val="0"/>
          <w:sz w:val="30"/>
          <w:szCs w:val="30"/>
          <w:shd w:val="clear" w:color="auto" w:fill="FFFFFF"/>
        </w:rPr>
      </w:pPr>
      <w:r>
        <w:rPr>
          <w:rFonts w:ascii="仿宋" w:hAnsi="仿宋" w:eastAsia="仿宋" w:cs="仿宋"/>
          <w:kern w:val="0"/>
          <w:sz w:val="30"/>
          <w:szCs w:val="30"/>
        </w:rPr>
        <w:t>赫山区统计局核定行政编制数9名，12个事业编，2021年在编在岗19人，其中局机关8人，二级机构11人。退休20人。</w:t>
      </w:r>
    </w:p>
    <w:p>
      <w:pPr>
        <w:pStyle w:val="4"/>
        <w:shd w:val="clear" w:color="auto" w:fill="FFFFFF"/>
        <w:spacing w:beforeAutospacing="0" w:afterAutospacing="0" w:line="600" w:lineRule="exact"/>
        <w:ind w:firstLine="602" w:firstLineChars="200"/>
        <w:rPr>
          <w:rFonts w:hint="default" w:ascii="黑体" w:hAnsi="黑体" w:eastAsia="黑体" w:cs="黑体"/>
          <w:b/>
          <w:bCs/>
          <w:sz w:val="30"/>
          <w:szCs w:val="30"/>
        </w:rPr>
      </w:pPr>
      <w:r>
        <w:rPr>
          <w:rFonts w:ascii="黑体" w:hAnsi="黑体" w:eastAsia="黑体" w:cs="黑体"/>
          <w:b/>
          <w:bCs/>
          <w:sz w:val="30"/>
          <w:szCs w:val="30"/>
        </w:rPr>
        <w:t>二、一般公共预算支出情况</w:t>
      </w:r>
    </w:p>
    <w:p>
      <w:pPr>
        <w:spacing w:line="600" w:lineRule="exact"/>
        <w:ind w:firstLine="600" w:firstLineChars="200"/>
        <w:jc w:val="left"/>
        <w:rPr>
          <w:rFonts w:hint="default" w:ascii="仿宋" w:hAnsi="仿宋" w:eastAsia="仿宋" w:cs="仿宋"/>
          <w:sz w:val="30"/>
          <w:szCs w:val="30"/>
        </w:rPr>
      </w:pPr>
      <w:r>
        <w:rPr>
          <w:rFonts w:ascii="仿宋" w:hAnsi="仿宋" w:eastAsia="仿宋" w:cs="仿宋"/>
          <w:sz w:val="30"/>
          <w:szCs w:val="30"/>
        </w:rPr>
        <w:t>2021年一般公共预算财政拨款收入536.16万元，上年结余149.66万元，具体安排情况如下：</w:t>
      </w:r>
    </w:p>
    <w:p>
      <w:pPr>
        <w:pStyle w:val="8"/>
        <w:spacing w:line="600" w:lineRule="exact"/>
        <w:ind w:firstLine="602" w:firstLineChars="200"/>
        <w:rPr>
          <w:rFonts w:hint="default" w:ascii="仿宋" w:hAnsi="仿宋" w:eastAsia="仿宋" w:cs="仿宋"/>
          <w:sz w:val="30"/>
          <w:szCs w:val="30"/>
        </w:rPr>
      </w:pPr>
      <w:r>
        <w:rPr>
          <w:rFonts w:ascii="仿宋" w:hAnsi="仿宋" w:eastAsia="仿宋" w:cs="仿宋"/>
          <w:b/>
          <w:bCs/>
          <w:sz w:val="30"/>
          <w:szCs w:val="30"/>
        </w:rPr>
        <w:t>（一）基本支出：</w:t>
      </w:r>
      <w:r>
        <w:rPr>
          <w:rFonts w:ascii="仿宋" w:hAnsi="仿宋" w:eastAsia="仿宋" w:cs="仿宋"/>
          <w:sz w:val="30"/>
          <w:szCs w:val="30"/>
        </w:rPr>
        <w:t>2021年末决算数为490.85万元，主要用于基本工资、津贴补贴等人员经费以及办公费、印刷费、水电费、办公设备购置等日常公用经费，与上年相比减少108.93万元，减少18.16 %，主要原因是</w:t>
      </w:r>
      <w:r>
        <w:rPr>
          <w:rFonts w:ascii="仿宋" w:hAnsi="仿宋" w:eastAsia="仿宋" w:cs="仿宋"/>
          <w:color w:val="auto"/>
          <w:kern w:val="2"/>
          <w:sz w:val="30"/>
          <w:szCs w:val="30"/>
        </w:rPr>
        <w:t>减少外出调查，减少劳务派遣聘用了4名辅助调查员，故减少机关运行经费。</w:t>
      </w:r>
      <w:r>
        <w:rPr>
          <w:rFonts w:ascii="仿宋" w:hAnsi="仿宋" w:eastAsia="仿宋" w:cs="仿宋"/>
          <w:sz w:val="30"/>
          <w:szCs w:val="30"/>
        </w:rPr>
        <w:t>。</w:t>
      </w:r>
    </w:p>
    <w:p>
      <w:pPr>
        <w:pStyle w:val="8"/>
        <w:spacing w:line="600" w:lineRule="exact"/>
        <w:ind w:firstLine="602" w:firstLineChars="200"/>
        <w:rPr>
          <w:rFonts w:hint="default" w:ascii="仿宋" w:hAnsi="仿宋" w:eastAsia="仿宋" w:cs="仿宋"/>
          <w:color w:val="auto"/>
          <w:kern w:val="2"/>
          <w:sz w:val="30"/>
          <w:szCs w:val="30"/>
        </w:rPr>
      </w:pPr>
      <w:r>
        <w:rPr>
          <w:rFonts w:ascii="仿宋" w:hAnsi="仿宋" w:eastAsia="仿宋" w:cs="仿宋"/>
          <w:b/>
          <w:bCs/>
          <w:sz w:val="30"/>
          <w:szCs w:val="30"/>
        </w:rPr>
        <w:t>（二）项目支出：</w:t>
      </w:r>
      <w:r>
        <w:rPr>
          <w:rFonts w:ascii="仿宋" w:hAnsi="仿宋" w:eastAsia="仿宋" w:cs="仿宋"/>
          <w:sz w:val="30"/>
          <w:szCs w:val="30"/>
        </w:rPr>
        <w:t>2021年项目支出194.97万元，与上年相比减少124.85万元，减少39.04%，主要原因是</w:t>
      </w:r>
      <w:r>
        <w:rPr>
          <w:rFonts w:ascii="仿宋" w:hAnsi="仿宋" w:eastAsia="仿宋" w:cs="仿宋"/>
          <w:color w:val="auto"/>
          <w:kern w:val="2"/>
          <w:sz w:val="30"/>
          <w:szCs w:val="30"/>
        </w:rPr>
        <w:t>2020年拨付了第七次全国人口普查经费。</w:t>
      </w:r>
    </w:p>
    <w:p>
      <w:pPr>
        <w:spacing w:line="600" w:lineRule="exact"/>
        <w:ind w:firstLine="600" w:firstLineChars="200"/>
        <w:rPr>
          <w:rFonts w:hint="default" w:ascii="黑体" w:hAnsi="黑体" w:eastAsia="黑体" w:cs="黑体"/>
          <w:sz w:val="30"/>
          <w:szCs w:val="30"/>
        </w:rPr>
      </w:pPr>
      <w:r>
        <w:rPr>
          <w:rFonts w:ascii="黑体" w:hAnsi="黑体" w:eastAsia="黑体" w:cs="黑体"/>
          <w:sz w:val="30"/>
          <w:szCs w:val="30"/>
        </w:rPr>
        <w:t>三、政府性基金预算支出情况</w:t>
      </w:r>
    </w:p>
    <w:p>
      <w:pPr>
        <w:spacing w:line="600" w:lineRule="exact"/>
        <w:ind w:firstLine="600" w:firstLineChars="200"/>
        <w:rPr>
          <w:rFonts w:hint="default" w:ascii="仿宋" w:hAnsi="仿宋" w:eastAsia="仿宋" w:cs="仿宋"/>
          <w:kern w:val="0"/>
          <w:sz w:val="30"/>
          <w:szCs w:val="30"/>
        </w:rPr>
      </w:pPr>
      <w:r>
        <w:rPr>
          <w:rFonts w:ascii="仿宋" w:hAnsi="仿宋" w:eastAsia="仿宋" w:cs="仿宋"/>
          <w:sz w:val="30"/>
          <w:szCs w:val="30"/>
        </w:rPr>
        <w:t>2021年本部门无政府性基金预算支出</w:t>
      </w:r>
    </w:p>
    <w:p>
      <w:pPr>
        <w:spacing w:line="600" w:lineRule="exact"/>
        <w:ind w:firstLine="600" w:firstLineChars="200"/>
        <w:rPr>
          <w:rFonts w:hint="default" w:ascii="黑体" w:hAnsi="黑体" w:eastAsia="黑体" w:cs="黑体"/>
          <w:sz w:val="30"/>
          <w:szCs w:val="30"/>
        </w:rPr>
      </w:pPr>
      <w:r>
        <w:rPr>
          <w:rFonts w:ascii="黑体" w:hAnsi="黑体" w:eastAsia="黑体" w:cs="黑体"/>
          <w:sz w:val="30"/>
          <w:szCs w:val="30"/>
        </w:rPr>
        <w:t>四、国有资本经营预算支出情况</w:t>
      </w:r>
    </w:p>
    <w:p>
      <w:pPr>
        <w:spacing w:line="600" w:lineRule="exact"/>
        <w:ind w:firstLine="600" w:firstLineChars="200"/>
        <w:rPr>
          <w:rFonts w:hint="default" w:ascii="仿宋" w:hAnsi="仿宋" w:eastAsia="仿宋" w:cs="仿宋"/>
          <w:kern w:val="0"/>
          <w:sz w:val="30"/>
          <w:szCs w:val="30"/>
        </w:rPr>
      </w:pPr>
      <w:r>
        <w:rPr>
          <w:rFonts w:ascii="仿宋" w:hAnsi="仿宋" w:eastAsia="仿宋" w:cs="仿宋"/>
          <w:sz w:val="30"/>
          <w:szCs w:val="30"/>
        </w:rPr>
        <w:t>2021年本部门无</w:t>
      </w:r>
      <w:r>
        <w:rPr>
          <w:rFonts w:ascii="仿宋" w:hAnsi="仿宋" w:eastAsia="仿宋" w:cs="仿宋"/>
          <w:kern w:val="0"/>
          <w:sz w:val="30"/>
          <w:szCs w:val="30"/>
        </w:rPr>
        <w:t>国有资本经营</w:t>
      </w:r>
      <w:r>
        <w:rPr>
          <w:rFonts w:ascii="仿宋" w:hAnsi="仿宋" w:eastAsia="仿宋" w:cs="仿宋"/>
          <w:sz w:val="30"/>
          <w:szCs w:val="30"/>
        </w:rPr>
        <w:t>预算支出</w:t>
      </w:r>
    </w:p>
    <w:p>
      <w:pPr>
        <w:spacing w:line="600" w:lineRule="exact"/>
        <w:ind w:firstLine="600" w:firstLineChars="200"/>
        <w:rPr>
          <w:rFonts w:hint="default" w:ascii="黑体" w:hAnsi="黑体" w:eastAsia="黑体" w:cs="黑体"/>
          <w:sz w:val="30"/>
          <w:szCs w:val="30"/>
        </w:rPr>
      </w:pPr>
      <w:r>
        <w:rPr>
          <w:rFonts w:ascii="黑体" w:hAnsi="黑体" w:eastAsia="黑体" w:cs="黑体"/>
          <w:sz w:val="30"/>
          <w:szCs w:val="30"/>
        </w:rPr>
        <w:t>五、社会保险基金预算支出情况</w:t>
      </w:r>
    </w:p>
    <w:p>
      <w:pPr>
        <w:spacing w:line="600" w:lineRule="exact"/>
        <w:ind w:firstLine="600" w:firstLineChars="200"/>
        <w:rPr>
          <w:rFonts w:hint="default" w:ascii="仿宋" w:hAnsi="仿宋" w:eastAsia="仿宋" w:cs="仿宋"/>
          <w:kern w:val="0"/>
          <w:sz w:val="30"/>
          <w:szCs w:val="30"/>
        </w:rPr>
      </w:pPr>
      <w:r>
        <w:rPr>
          <w:rFonts w:ascii="仿宋" w:hAnsi="仿宋" w:eastAsia="仿宋" w:cs="仿宋"/>
          <w:sz w:val="30"/>
          <w:szCs w:val="30"/>
        </w:rPr>
        <w:t>2021年本部门无社会保险</w:t>
      </w:r>
      <w:r>
        <w:rPr>
          <w:rFonts w:ascii="仿宋" w:hAnsi="仿宋" w:eastAsia="仿宋" w:cs="仿宋"/>
          <w:kern w:val="0"/>
          <w:sz w:val="30"/>
          <w:szCs w:val="30"/>
        </w:rPr>
        <w:t>经营</w:t>
      </w:r>
      <w:r>
        <w:rPr>
          <w:rFonts w:ascii="仿宋" w:hAnsi="仿宋" w:eastAsia="仿宋" w:cs="仿宋"/>
          <w:sz w:val="30"/>
          <w:szCs w:val="30"/>
        </w:rPr>
        <w:t>预算支出。</w:t>
      </w:r>
    </w:p>
    <w:p>
      <w:pPr>
        <w:spacing w:line="600" w:lineRule="exact"/>
        <w:ind w:firstLine="600" w:firstLineChars="200"/>
        <w:rPr>
          <w:rFonts w:hint="default" w:ascii="黑体" w:hAnsi="黑体" w:eastAsia="黑体" w:cs="黑体"/>
          <w:sz w:val="30"/>
          <w:szCs w:val="30"/>
        </w:rPr>
      </w:pPr>
      <w:r>
        <w:rPr>
          <w:rFonts w:ascii="黑体" w:hAnsi="黑体" w:eastAsia="黑体" w:cs="黑体"/>
          <w:sz w:val="30"/>
          <w:szCs w:val="30"/>
        </w:rPr>
        <w:t>六、部门整体支出绩效情况</w:t>
      </w:r>
    </w:p>
    <w:p>
      <w:pPr>
        <w:spacing w:line="600" w:lineRule="exact"/>
        <w:ind w:firstLine="602" w:firstLineChars="200"/>
        <w:rPr>
          <w:rFonts w:hint="default" w:ascii="仿宋" w:hAnsi="仿宋" w:eastAsia="仿宋" w:cs="仿宋"/>
          <w:b/>
          <w:bCs/>
          <w:sz w:val="30"/>
          <w:szCs w:val="30"/>
        </w:rPr>
      </w:pPr>
      <w:r>
        <w:rPr>
          <w:rFonts w:ascii="仿宋" w:hAnsi="仿宋" w:eastAsia="仿宋" w:cs="仿宋"/>
          <w:b/>
          <w:bCs/>
          <w:sz w:val="30"/>
          <w:szCs w:val="30"/>
        </w:rPr>
        <w:t>（一）预算绩效目标情况</w:t>
      </w:r>
    </w:p>
    <w:p>
      <w:pPr>
        <w:spacing w:line="600" w:lineRule="exact"/>
        <w:ind w:firstLine="600" w:firstLineChars="200"/>
        <w:rPr>
          <w:rFonts w:hint="default" w:ascii="仿宋" w:hAnsi="仿宋" w:eastAsia="仿宋" w:cs="仿宋"/>
          <w:b/>
          <w:bCs/>
          <w:sz w:val="30"/>
          <w:szCs w:val="30"/>
        </w:rPr>
      </w:pPr>
      <w:r>
        <w:rPr>
          <w:rFonts w:ascii="仿宋" w:hAnsi="仿宋" w:eastAsia="仿宋" w:cs="仿宋"/>
          <w:sz w:val="30"/>
          <w:szCs w:val="30"/>
        </w:rPr>
        <w:t>2021年区统计局整体支出绩效目标</w:t>
      </w:r>
      <w:r>
        <w:rPr>
          <w:rFonts w:ascii="仿宋" w:hAnsi="仿宋" w:eastAsia="仿宋" w:cs="仿宋"/>
          <w:color w:val="000000"/>
          <w:kern w:val="0"/>
          <w:sz w:val="30"/>
          <w:szCs w:val="30"/>
        </w:rPr>
        <w:t>715.94</w:t>
      </w:r>
      <w:r>
        <w:rPr>
          <w:rFonts w:ascii="仿宋" w:hAnsi="仿宋" w:eastAsia="仿宋" w:cs="仿宋"/>
          <w:sz w:val="30"/>
          <w:szCs w:val="30"/>
        </w:rPr>
        <w:t>万元，其中：基本支出</w:t>
      </w:r>
      <w:r>
        <w:rPr>
          <w:rFonts w:ascii="仿宋" w:hAnsi="仿宋" w:eastAsia="仿宋" w:cs="仿宋"/>
          <w:color w:val="000000"/>
          <w:kern w:val="0"/>
          <w:sz w:val="30"/>
          <w:szCs w:val="30"/>
        </w:rPr>
        <w:t>520.97</w:t>
      </w:r>
      <w:r>
        <w:rPr>
          <w:rFonts w:ascii="仿宋" w:hAnsi="仿宋" w:eastAsia="仿宋" w:cs="仿宋"/>
          <w:sz w:val="30"/>
          <w:szCs w:val="30"/>
        </w:rPr>
        <w:t>万元，项目支出194.97万元。全部实行整体绩效目标管理，涉及一般公共预算当年拨款 685.82万元。</w:t>
      </w:r>
    </w:p>
    <w:p>
      <w:pPr>
        <w:spacing w:line="600" w:lineRule="exact"/>
        <w:ind w:firstLine="602" w:firstLineChars="200"/>
        <w:rPr>
          <w:rFonts w:hint="default" w:ascii="仿宋" w:hAnsi="仿宋" w:eastAsia="仿宋" w:cs="仿宋"/>
          <w:b/>
          <w:bCs/>
          <w:sz w:val="30"/>
          <w:szCs w:val="30"/>
        </w:rPr>
      </w:pPr>
      <w:r>
        <w:rPr>
          <w:rFonts w:ascii="仿宋" w:hAnsi="仿宋" w:eastAsia="仿宋" w:cs="仿宋"/>
          <w:b/>
          <w:bCs/>
          <w:sz w:val="30"/>
          <w:szCs w:val="30"/>
        </w:rPr>
        <w:t>（二）部门整体支出绩效目标</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预决算公开：2021年，按照上级的要求，我局在赫山区门户网站进行了预算公开。</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资产管理：我们进一步加强资产的管理，制定了《益阳市赫山区统计局财务管理制度》，明确了具体责任人，严格报批、销审等手续，单位无任何资产流失现象。</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“三公经费”控制情况：贯彻落实上级有关精神，严格控制“三公经费”支出，取得了良好效果。</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绩效目标：为赫山区经济发展做好数据统计工作，力争各专业数据的真实可靠,严格落实中央八项规定。</w:t>
      </w:r>
    </w:p>
    <w:p>
      <w:pPr>
        <w:numPr>
          <w:ilvl w:val="0"/>
          <w:numId w:val="1"/>
        </w:numPr>
        <w:spacing w:line="600" w:lineRule="exact"/>
        <w:ind w:firstLine="600" w:firstLineChars="200"/>
        <w:rPr>
          <w:rFonts w:hint="default" w:ascii="黑体" w:hAnsi="黑体" w:eastAsia="黑体" w:cs="黑体"/>
          <w:kern w:val="0"/>
          <w:sz w:val="30"/>
          <w:szCs w:val="30"/>
          <w:shd w:val="clear" w:color="auto" w:fill="FFFFFF"/>
        </w:rPr>
      </w:pPr>
      <w:r>
        <w:rPr>
          <w:rFonts w:ascii="黑体" w:hAnsi="黑体" w:eastAsia="黑体" w:cs="黑体"/>
          <w:kern w:val="0"/>
          <w:sz w:val="30"/>
          <w:szCs w:val="30"/>
          <w:shd w:val="clear" w:color="auto" w:fill="FFFFFF"/>
        </w:rPr>
        <w:t>绩效评价工作开展情况</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一）绩效评价目的为进一步规范财政资金管理，牢固树立预算绩效概念，强化部门支出责任，提高财政资金使用效益，根据《益阳市赫山区财政局关于做好2021年预算绩效自评工作的通知》文件精神，在全局开展财政预算绩效评价工作。</w:t>
      </w:r>
    </w:p>
    <w:p>
      <w:pPr>
        <w:spacing w:line="600" w:lineRule="exact"/>
        <w:ind w:firstLine="600" w:firstLineChars="200"/>
        <w:rPr>
          <w:rFonts w:hint="default" w:ascii="仿宋" w:hAnsi="仿宋" w:eastAsia="仿宋" w:cs="仿宋"/>
          <w:kern w:val="0"/>
          <w:sz w:val="30"/>
          <w:szCs w:val="30"/>
          <w:shd w:val="clear" w:color="auto" w:fill="FFFFFF"/>
        </w:rPr>
      </w:pPr>
      <w:r>
        <w:rPr>
          <w:rFonts w:ascii="仿宋" w:hAnsi="仿宋" w:eastAsia="仿宋" w:cs="仿宋"/>
          <w:sz w:val="30"/>
          <w:szCs w:val="30"/>
        </w:rPr>
        <w:t>（二）绩效评价工作过程。我局成立了财政预算绩效评价领导小组，并依照全区财政预算绩效考评指标对我局2021度财政预算情况开展了为期一周的自评。通过核实数据、查阅资料、实地查看、归纳汇总等环节对绩效执行情况、资金的来源和使用情况以及绩效目标的实现程度进行了分析评价，并形成了自评报告。</w:t>
      </w:r>
    </w:p>
    <w:p>
      <w:pPr>
        <w:spacing w:line="600" w:lineRule="exact"/>
        <w:ind w:firstLine="600" w:firstLineChars="200"/>
        <w:rPr>
          <w:rFonts w:hint="default" w:ascii="黑体" w:hAnsi="黑体" w:eastAsia="黑体" w:cs="黑体"/>
          <w:kern w:val="0"/>
          <w:sz w:val="30"/>
          <w:szCs w:val="30"/>
          <w:shd w:val="clear" w:color="auto" w:fill="FFFFFF"/>
        </w:rPr>
      </w:pPr>
      <w:r>
        <w:rPr>
          <w:rFonts w:ascii="黑体" w:hAnsi="黑体" w:eastAsia="黑体" w:cs="黑体"/>
          <w:kern w:val="0"/>
          <w:sz w:val="30"/>
          <w:szCs w:val="30"/>
          <w:shd w:val="clear" w:color="auto" w:fill="FFFFFF"/>
        </w:rPr>
        <w:t>三、主要绩效及评价结论</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根据部门整体支出绩效评价指标确定的内容，经评价组综合评价，赫山区统计局2021年度整体支出绩效评为“优”，主要体现在以下方面：</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加强核算预警制度建设。及时掌握核算制度改革动态，深入领会改革精神，提前预判对我区核算指标带来的影响；严格核算，加强对GDP核算相关数据的预判、审核、评估；研究制定全区主要经济指标预警信号发布制度及统计系统主要指标预警信号发布制度，每季度召开相关区直部门核算联席会，分析研判经济指标走势。</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2.大力夯实基层基础。以实施统计管理体制改革为契机，进一步强化乡镇（街道）统计基层基础建设，按照省局、市局提出的乡镇（街道）统计机构“六化”、“三中心”工作要求，积极推行乡镇（街道）服务型统计机构建设，进一步完善对乡镇（街道）统计机构的动态管理方法和机制，建立健全乡镇（街道）统计机构信息台帐。</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3.深入推进统计改革。认真开展5000万元及以上投资项目统计联网直报工作，加强对5000万元及以上投资项目入库管理，确保2021年投资统计数据在反映全区投资实际情况下与上年合理衔接。完善规模以上服务业调查，继续深化服务业统计改革；完善贸易统计数据评估机制，不断优化名录库结构；开展劳资、科技和文化产业统计，加强和改进人口变动调查。</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4.推出统计拳头产品。做好《赫山区国民经济和社会发展统计公报》、《赫山经济动态》、《赫山统计年鉴》组稿工作，提高编辑、出版质量和时效。加强数据解读，分析数据异动原因，实现数据、解读双呈报。</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5.预决算等重要信息公开透明。2021年在赫山门户网站上公开预决算信息。同时，我们还对“三公经费”的预决算收支情况也在以上网站进行了公示，做到主动接受社会公众的监督评价。</w:t>
      </w:r>
    </w:p>
    <w:p>
      <w:pPr>
        <w:spacing w:line="600" w:lineRule="exact"/>
        <w:ind w:firstLine="600" w:firstLineChars="200"/>
        <w:rPr>
          <w:rFonts w:hint="default" w:ascii="仿宋" w:hAnsi="仿宋" w:eastAsia="仿宋" w:cs="仿宋"/>
          <w:kern w:val="0"/>
          <w:sz w:val="30"/>
          <w:szCs w:val="30"/>
          <w:shd w:val="clear" w:color="auto" w:fill="FFFFFF"/>
        </w:rPr>
      </w:pPr>
      <w:r>
        <w:rPr>
          <w:rFonts w:ascii="仿宋" w:hAnsi="仿宋" w:eastAsia="仿宋" w:cs="仿宋"/>
          <w:sz w:val="30"/>
          <w:szCs w:val="30"/>
        </w:rPr>
        <w:t>6.规范资金使用，把好“支出关”。我局经费开支按预算执行，基本支出的日常财务管理工作由机关财务实行统一核算和统一管理，做到厉行节约，开源节流。2021年度区统计局没有出国出境考察的情况，廉政建设情况良好，努力做到使有限的经费保证机关正常运转。</w:t>
      </w:r>
    </w:p>
    <w:p>
      <w:pPr>
        <w:spacing w:line="600" w:lineRule="exact"/>
        <w:ind w:firstLine="600" w:firstLineChars="200"/>
        <w:rPr>
          <w:rFonts w:hint="default" w:ascii="黑体" w:hAnsi="黑体" w:eastAsia="黑体" w:cs="黑体"/>
          <w:kern w:val="0"/>
          <w:sz w:val="30"/>
          <w:szCs w:val="30"/>
          <w:shd w:val="clear" w:color="auto" w:fill="FFFFFF"/>
        </w:rPr>
      </w:pPr>
      <w:r>
        <w:rPr>
          <w:rFonts w:ascii="黑体" w:hAnsi="黑体" w:eastAsia="黑体" w:cs="黑体"/>
          <w:kern w:val="0"/>
          <w:sz w:val="30"/>
          <w:szCs w:val="30"/>
          <w:shd w:val="clear" w:color="auto" w:fill="FFFFFF"/>
        </w:rPr>
        <w:t>四、存在的主要问题</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无。</w:t>
      </w:r>
    </w:p>
    <w:p>
      <w:pPr>
        <w:spacing w:line="600" w:lineRule="exact"/>
        <w:ind w:firstLine="600" w:firstLineChars="200"/>
        <w:rPr>
          <w:rFonts w:hint="default" w:ascii="黑体" w:hAnsi="黑体" w:eastAsia="黑体" w:cs="黑体"/>
          <w:kern w:val="0"/>
          <w:sz w:val="30"/>
          <w:szCs w:val="30"/>
          <w:shd w:val="clear" w:color="auto" w:fill="FFFFFF"/>
        </w:rPr>
      </w:pPr>
      <w:r>
        <w:rPr>
          <w:rFonts w:ascii="黑体" w:hAnsi="黑体" w:eastAsia="黑体" w:cs="黑体"/>
          <w:kern w:val="0"/>
          <w:sz w:val="30"/>
          <w:szCs w:val="30"/>
          <w:shd w:val="clear" w:color="auto" w:fill="FFFFFF"/>
        </w:rPr>
        <w:t>五、改进措施和有关建议 </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操作性。 </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2.在日常预算管理过程中，进一步加强预算支出的审核、跟踪及预算执行情况分析。 </w:t>
      </w:r>
    </w:p>
    <w:p>
      <w:pPr>
        <w:spacing w:line="600" w:lineRule="exact"/>
        <w:ind w:firstLine="600" w:firstLineChars="200"/>
        <w:rPr>
          <w:rFonts w:hint="default" w:ascii="黑体" w:hAnsi="黑体" w:eastAsia="黑体" w:cs="黑体"/>
          <w:kern w:val="0"/>
          <w:sz w:val="30"/>
          <w:szCs w:val="30"/>
          <w:shd w:val="clear" w:color="auto" w:fill="FFFFFF"/>
        </w:rPr>
      </w:pPr>
      <w:r>
        <w:rPr>
          <w:rFonts w:ascii="黑体" w:hAnsi="黑体" w:eastAsia="黑体" w:cs="黑体"/>
          <w:kern w:val="0"/>
          <w:sz w:val="30"/>
          <w:szCs w:val="30"/>
          <w:shd w:val="clear" w:color="auto" w:fill="FFFFFF"/>
        </w:rPr>
        <w:t>六、其他需要说明的问题</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无。</w:t>
      </w:r>
    </w:p>
    <w:p>
      <w:pPr>
        <w:spacing w:line="600" w:lineRule="exact"/>
        <w:ind w:firstLine="600" w:firstLineChars="200"/>
        <w:rPr>
          <w:rFonts w:hint="default" w:ascii="仿宋" w:hAnsi="仿宋" w:eastAsia="仿宋" w:cs="仿宋"/>
          <w:sz w:val="30"/>
          <w:szCs w:val="30"/>
        </w:rPr>
      </w:pPr>
      <w:r>
        <w:rPr>
          <w:rFonts w:ascii="仿宋" w:hAnsi="仿宋" w:eastAsia="仿宋" w:cs="仿宋"/>
          <w:sz w:val="30"/>
          <w:szCs w:val="30"/>
        </w:rPr>
        <w:t>附件：统计局2021年度部门整体支出绩效自评指标计分表</w:t>
      </w:r>
    </w:p>
    <w:p>
      <w:pPr>
        <w:pStyle w:val="2"/>
        <w:rPr>
          <w:rFonts w:hint="default" w:ascii="方正小标宋简体" w:eastAsia="方正小标宋简体" w:cs="方正小标宋_GBK"/>
          <w:sz w:val="36"/>
          <w:szCs w:val="36"/>
        </w:rPr>
      </w:pPr>
      <w:bookmarkStart w:id="0" w:name="_GoBack"/>
      <w:bookmarkEnd w:id="0"/>
    </w:p>
    <w:p>
      <w:pPr>
        <w:rPr>
          <w:rFonts w:hint="default" w:ascii="方正小标宋简体" w:eastAsia="方正小标宋简体" w:cs="方正小标宋_GBK"/>
          <w:sz w:val="36"/>
          <w:szCs w:val="36"/>
        </w:rPr>
      </w:pPr>
    </w:p>
    <w:p>
      <w:pPr>
        <w:spacing w:line="560" w:lineRule="exact"/>
        <w:jc w:val="center"/>
        <w:rPr>
          <w:rFonts w:hint="default" w:ascii="黑体" w:hAnsi="黑体" w:eastAsia="黑体" w:cs="黑体"/>
          <w:color w:val="000000"/>
          <w:kern w:val="0"/>
          <w:sz w:val="36"/>
          <w:szCs w:val="36"/>
          <w:highlight w:val="white"/>
        </w:rPr>
      </w:pPr>
      <w:r>
        <w:rPr>
          <w:rFonts w:ascii="黑体" w:hAnsi="黑体" w:eastAsia="黑体" w:cs="黑体"/>
          <w:color w:val="000000"/>
          <w:kern w:val="0"/>
          <w:sz w:val="36"/>
          <w:szCs w:val="36"/>
          <w:highlight w:val="white"/>
        </w:rPr>
        <w:t>统计局2021年度部门整体支出绩效自评指标计分表</w:t>
      </w:r>
    </w:p>
    <w:tbl>
      <w:tblPr>
        <w:tblStyle w:val="5"/>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Mar>
              <w:top w:w="10" w:type="dxa"/>
              <w:left w:w="10" w:type="dxa"/>
              <w:bottom w:w="0" w:type="dxa"/>
              <w:right w:w="10" w:type="dxa"/>
            </w:tcMar>
            <w:vAlign w:val="center"/>
          </w:tcPr>
          <w:p>
            <w:pPr>
              <w:spacing w:line="240" w:lineRule="exact"/>
              <w:jc w:val="center"/>
              <w:rPr>
                <w:rFonts w:hint="default" w:ascii="宋体" w:hAnsi="宋体" w:eastAsia="宋体" w:cs="宋体"/>
                <w:b/>
                <w:bCs/>
              </w:rPr>
            </w:pPr>
            <w:r>
              <w:rPr>
                <w:rFonts w:ascii="宋体" w:hAnsi="宋体" w:cs="宋体"/>
                <w:b/>
                <w:bCs/>
              </w:rPr>
              <w:t>一级</w:t>
            </w:r>
          </w:p>
          <w:p>
            <w:pPr>
              <w:spacing w:line="240" w:lineRule="exact"/>
              <w:jc w:val="center"/>
              <w:rPr>
                <w:rFonts w:hint="default" w:ascii="宋体" w:cs="宋体"/>
                <w:b/>
                <w:bCs/>
              </w:rPr>
            </w:pPr>
            <w:r>
              <w:rPr>
                <w:rFonts w:ascii="宋体" w:hAnsi="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hint="default" w:ascii="宋体" w:cs="宋体"/>
                <w:b/>
                <w:bCs/>
              </w:rPr>
            </w:pPr>
            <w:r>
              <w:rPr>
                <w:rFonts w:ascii="宋体" w:hAnsi="宋体" w:cs="宋体"/>
                <w:b/>
                <w:bCs/>
              </w:rPr>
              <w:t>二级</w:t>
            </w:r>
          </w:p>
          <w:p>
            <w:pPr>
              <w:spacing w:line="240" w:lineRule="exact"/>
              <w:ind w:right="-174" w:rightChars="-83"/>
              <w:jc w:val="center"/>
              <w:rPr>
                <w:rFonts w:hint="default" w:ascii="宋体" w:cs="宋体"/>
                <w:b/>
                <w:bCs/>
              </w:rPr>
            </w:pPr>
            <w:r>
              <w:rPr>
                <w:rFonts w:ascii="宋体" w:hAnsi="宋体" w:cs="宋体"/>
                <w:b/>
                <w:bCs/>
              </w:rPr>
              <w:t>指标</w:t>
            </w:r>
          </w:p>
        </w:tc>
        <w:tc>
          <w:tcPr>
            <w:tcW w:w="500" w:type="pct"/>
            <w:tcMar>
              <w:top w:w="10" w:type="dxa"/>
              <w:left w:w="10" w:type="dxa"/>
              <w:bottom w:w="0" w:type="dxa"/>
              <w:right w:w="10" w:type="dxa"/>
            </w:tcMar>
            <w:vAlign w:val="center"/>
          </w:tcPr>
          <w:p>
            <w:pPr>
              <w:spacing w:line="240" w:lineRule="exact"/>
              <w:jc w:val="center"/>
              <w:rPr>
                <w:rFonts w:hint="default" w:ascii="宋体" w:cs="宋体"/>
                <w:b/>
                <w:bCs/>
              </w:rPr>
            </w:pPr>
            <w:r>
              <w:rPr>
                <w:rFonts w:ascii="宋体" w:hAnsi="宋体" w:cs="宋体"/>
                <w:b/>
                <w:bCs/>
              </w:rPr>
              <w:t>三级</w:t>
            </w:r>
          </w:p>
          <w:p>
            <w:pPr>
              <w:spacing w:line="240" w:lineRule="exact"/>
              <w:jc w:val="center"/>
              <w:rPr>
                <w:rFonts w:hint="default" w:ascii="宋体" w:cs="宋体"/>
                <w:b/>
                <w:bCs/>
              </w:rPr>
            </w:pPr>
            <w:r>
              <w:rPr>
                <w:rFonts w:ascii="宋体" w:hAnsi="宋体" w:cs="宋体"/>
                <w:b/>
                <w:bCs/>
              </w:rPr>
              <w:t>指标</w:t>
            </w:r>
          </w:p>
        </w:tc>
        <w:tc>
          <w:tcPr>
            <w:tcW w:w="375" w:type="pct"/>
            <w:vAlign w:val="center"/>
          </w:tcPr>
          <w:p>
            <w:pPr>
              <w:spacing w:line="240" w:lineRule="exact"/>
              <w:ind w:left="105" w:leftChars="50" w:right="105" w:rightChars="50"/>
              <w:jc w:val="center"/>
              <w:rPr>
                <w:rFonts w:hint="default" w:ascii="宋体" w:cs="宋体"/>
                <w:b/>
                <w:bCs/>
              </w:rPr>
            </w:pPr>
            <w:r>
              <w:rPr>
                <w:rFonts w:ascii="宋体" w:hAnsi="宋体" w:cs="宋体"/>
                <w:b/>
                <w:bCs/>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hint="default" w:ascii="宋体" w:cs="宋体"/>
                <w:b/>
                <w:bCs/>
              </w:rPr>
            </w:pPr>
            <w:r>
              <w:rPr>
                <w:rFonts w:ascii="宋体" w:hAnsi="宋体" w:cs="宋体"/>
                <w:b/>
                <w:bCs/>
              </w:rPr>
              <w:t>指标解释</w:t>
            </w:r>
          </w:p>
        </w:tc>
        <w:tc>
          <w:tcPr>
            <w:tcW w:w="1867" w:type="pct"/>
            <w:tcMar>
              <w:top w:w="10" w:type="dxa"/>
              <w:left w:w="10" w:type="dxa"/>
              <w:bottom w:w="0" w:type="dxa"/>
              <w:right w:w="10" w:type="dxa"/>
            </w:tcMar>
            <w:vAlign w:val="center"/>
          </w:tcPr>
          <w:p>
            <w:pPr>
              <w:spacing w:line="240" w:lineRule="exact"/>
              <w:ind w:left="105" w:leftChars="50" w:right="105" w:rightChars="50"/>
              <w:jc w:val="center"/>
              <w:rPr>
                <w:rFonts w:hint="default" w:ascii="宋体" w:cs="宋体"/>
                <w:b/>
                <w:bCs/>
              </w:rPr>
            </w:pPr>
            <w:r>
              <w:rPr>
                <w:rFonts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hint="default" w:ascii="宋体" w:cs="宋体"/>
              </w:rPr>
            </w:pPr>
            <w:r>
              <w:rPr>
                <w:rFonts w:ascii="宋体" w:hAnsi="宋体" w:cs="宋体"/>
              </w:rPr>
              <w:t>投   入（20分）</w:t>
            </w: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目标</w:t>
            </w:r>
          </w:p>
          <w:p>
            <w:pPr>
              <w:spacing w:line="240" w:lineRule="exact"/>
              <w:jc w:val="center"/>
              <w:rPr>
                <w:rFonts w:hint="default" w:ascii="宋体" w:cs="宋体"/>
              </w:rPr>
            </w:pPr>
            <w:r>
              <w:rPr>
                <w:rFonts w:ascii="宋体" w:hAnsi="宋体" w:cs="宋体"/>
              </w:rPr>
              <w:t>设定（5分）</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绩效目标</w:t>
            </w:r>
          </w:p>
          <w:p>
            <w:pPr>
              <w:spacing w:line="240" w:lineRule="exact"/>
              <w:jc w:val="center"/>
              <w:rPr>
                <w:rFonts w:hint="default" w:ascii="宋体" w:cs="宋体"/>
              </w:rPr>
            </w:pPr>
            <w:r>
              <w:rPr>
                <w:rFonts w:ascii="宋体" w:hAnsi="宋体" w:cs="宋体"/>
              </w:rPr>
              <w:t>合理性（2分）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①是否符合国家法律法规、国民经济和社会发展总体规划；</w:t>
            </w:r>
          </w:p>
          <w:p>
            <w:pPr>
              <w:spacing w:line="240" w:lineRule="exact"/>
              <w:ind w:left="105" w:leftChars="50" w:right="105" w:rightChars="50"/>
              <w:rPr>
                <w:rFonts w:hint="default" w:ascii="宋体" w:hAnsi="宋体" w:eastAsia="宋体" w:cs="宋体"/>
              </w:rPr>
            </w:pPr>
            <w:r>
              <w:rPr>
                <w:rFonts w:ascii="宋体" w:hAnsi="宋体" w:cs="宋体"/>
              </w:rPr>
              <w:t>②是否符合部门“三定”方案确定的职责；</w:t>
            </w:r>
          </w:p>
          <w:p>
            <w:pPr>
              <w:spacing w:line="240" w:lineRule="exact"/>
              <w:ind w:left="105" w:leftChars="50" w:right="105" w:rightChars="50"/>
              <w:rPr>
                <w:rFonts w:hint="default" w:ascii="宋体" w:cs="宋体"/>
              </w:rPr>
            </w:pPr>
            <w:r>
              <w:rPr>
                <w:rFonts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hAnsi="宋体" w:cs="宋体"/>
              </w:rPr>
            </w:pPr>
            <w:r>
              <w:rPr>
                <w:rFonts w:ascii="宋体" w:hAnsi="宋体" w:cs="宋体"/>
              </w:rPr>
              <w:t>绩效指标</w:t>
            </w:r>
          </w:p>
          <w:p>
            <w:pPr>
              <w:spacing w:line="240" w:lineRule="exact"/>
              <w:jc w:val="center"/>
              <w:rPr>
                <w:rFonts w:hint="default" w:ascii="宋体" w:hAnsi="宋体" w:cs="宋体"/>
              </w:rPr>
            </w:pPr>
            <w:r>
              <w:rPr>
                <w:rFonts w:ascii="宋体" w:hAnsi="宋体" w:cs="宋体"/>
              </w:rPr>
              <w:t>明确性（3分）</w:t>
            </w:r>
          </w:p>
        </w:tc>
        <w:tc>
          <w:tcPr>
            <w:tcW w:w="375" w:type="pct"/>
            <w:vAlign w:val="center"/>
          </w:tcPr>
          <w:p>
            <w:pPr>
              <w:spacing w:line="240" w:lineRule="exact"/>
              <w:jc w:val="center"/>
              <w:rPr>
                <w:rFonts w:hint="default" w:ascii="宋体" w:hAnsi="宋体" w:cs="宋体"/>
              </w:rPr>
            </w:pPr>
            <w:r>
              <w:rPr>
                <w:rFonts w:ascii="宋体" w:hAnsi="宋体" w:cs="宋体"/>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①是否将部门整体的绩效目标细化分解为具体的工作任务；</w:t>
            </w:r>
          </w:p>
          <w:p>
            <w:pPr>
              <w:spacing w:line="240" w:lineRule="exact"/>
              <w:ind w:left="105" w:leftChars="50" w:right="105" w:rightChars="50"/>
              <w:rPr>
                <w:rFonts w:hint="default" w:ascii="宋体" w:hAnsi="宋体" w:eastAsia="宋体" w:cs="宋体"/>
              </w:rPr>
            </w:pPr>
            <w:r>
              <w:rPr>
                <w:rFonts w:ascii="宋体" w:hAnsi="宋体" w:cs="宋体"/>
              </w:rPr>
              <w:t>②是否通过清晰、可衡量的指标值予以体现。    ③是否与部门年度的任务数或计划数相对应；</w:t>
            </w:r>
          </w:p>
          <w:p>
            <w:pPr>
              <w:spacing w:line="240" w:lineRule="exact"/>
              <w:ind w:left="105" w:leftChars="50" w:right="105" w:rightChars="50"/>
              <w:rPr>
                <w:rFonts w:hint="default" w:ascii="宋体" w:cs="宋体"/>
              </w:rPr>
            </w:pPr>
            <w:r>
              <w:rPr>
                <w:rFonts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7" w:type="pct"/>
            <w:vMerge w:val="continue"/>
            <w:vAlign w:val="center"/>
          </w:tcPr>
          <w:p>
            <w:pPr>
              <w:spacing w:line="240" w:lineRule="exact"/>
              <w:rPr>
                <w:rFonts w:hint="default"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预算</w:t>
            </w:r>
          </w:p>
          <w:p>
            <w:pPr>
              <w:spacing w:line="240" w:lineRule="exact"/>
              <w:jc w:val="center"/>
              <w:rPr>
                <w:rFonts w:hint="default" w:ascii="宋体" w:cs="宋体"/>
              </w:rPr>
            </w:pPr>
            <w:r>
              <w:rPr>
                <w:rFonts w:ascii="宋体" w:hAnsi="宋体" w:cs="宋体"/>
              </w:rPr>
              <w:t>配置（15分）</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在职人员</w:t>
            </w:r>
          </w:p>
          <w:p>
            <w:pPr>
              <w:spacing w:line="240" w:lineRule="exact"/>
              <w:jc w:val="center"/>
              <w:rPr>
                <w:rFonts w:hint="default" w:ascii="宋体" w:cs="宋体"/>
              </w:rPr>
            </w:pPr>
            <w:r>
              <w:rPr>
                <w:rFonts w:ascii="宋体" w:hAnsi="宋体" w:cs="宋体"/>
              </w:rPr>
              <w:t>控制率（5分）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在职人员控制率=（在职人员数/编制数）×100%。</w:t>
            </w:r>
          </w:p>
          <w:p>
            <w:pPr>
              <w:spacing w:line="240" w:lineRule="exact"/>
              <w:ind w:left="105" w:leftChars="50" w:right="105" w:rightChars="50"/>
              <w:rPr>
                <w:rFonts w:hint="default" w:ascii="宋体" w:hAnsi="宋体" w:eastAsia="宋体" w:cs="宋体"/>
              </w:rPr>
            </w:pPr>
            <w:r>
              <w:rPr>
                <w:rFonts w:ascii="宋体" w:hAnsi="宋体" w:cs="宋体"/>
              </w:rPr>
              <w:t>在职人员数：部门实际在职人数，以财政部确定的部门决算编制口径为准。</w:t>
            </w:r>
          </w:p>
          <w:p>
            <w:pPr>
              <w:spacing w:line="240" w:lineRule="exact"/>
              <w:ind w:left="105" w:leftChars="50" w:right="105" w:rightChars="50"/>
              <w:rPr>
                <w:rFonts w:hint="default" w:ascii="宋体" w:cs="宋体"/>
              </w:rPr>
            </w:pPr>
            <w:r>
              <w:rPr>
                <w:rFonts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“三公经费”</w:t>
            </w:r>
          </w:p>
          <w:p>
            <w:pPr>
              <w:spacing w:line="240" w:lineRule="exact"/>
              <w:jc w:val="center"/>
              <w:rPr>
                <w:rFonts w:hint="default" w:ascii="宋体" w:cs="宋体"/>
              </w:rPr>
            </w:pPr>
            <w:r>
              <w:rPr>
                <w:rFonts w:ascii="宋体" w:hAnsi="宋体" w:cs="宋体"/>
              </w:rPr>
              <w:t>变动率（5分）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“三公经费”变动率=[（本年度“三公经费”总额-上年度“三公经费”总额）/上年度“三公经费”总额]×100%。</w:t>
            </w:r>
          </w:p>
          <w:p>
            <w:pPr>
              <w:spacing w:line="240" w:lineRule="exact"/>
              <w:ind w:left="105" w:leftChars="50" w:right="105" w:rightChars="50"/>
              <w:rPr>
                <w:rFonts w:hint="default" w:ascii="宋体" w:cs="宋体"/>
              </w:rPr>
            </w:pPr>
            <w:r>
              <w:rPr>
                <w:rFonts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重点支出</w:t>
            </w:r>
          </w:p>
          <w:p>
            <w:pPr>
              <w:spacing w:line="240" w:lineRule="exact"/>
              <w:jc w:val="center"/>
              <w:rPr>
                <w:rFonts w:hint="default" w:ascii="宋体" w:cs="宋体"/>
              </w:rPr>
            </w:pPr>
            <w:r>
              <w:rPr>
                <w:rFonts w:ascii="宋体" w:hAnsi="宋体" w:cs="宋体"/>
              </w:rPr>
              <w:t>安排率（5分）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重点支出安排率=（重点预算支出/预算总支出）×100%。</w:t>
            </w:r>
          </w:p>
          <w:p>
            <w:pPr>
              <w:spacing w:line="240" w:lineRule="exact"/>
              <w:ind w:left="105" w:leftChars="50" w:right="105" w:rightChars="50"/>
              <w:rPr>
                <w:rFonts w:hint="default" w:ascii="宋体" w:hAnsi="宋体" w:eastAsia="宋体" w:cs="宋体"/>
              </w:rPr>
            </w:pPr>
            <w:r>
              <w:rPr>
                <w:rFonts w:ascii="宋体" w:hAnsi="宋体" w:cs="宋体"/>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hint="default" w:ascii="宋体" w:cs="宋体"/>
              </w:rPr>
            </w:pPr>
            <w:r>
              <w:rPr>
                <w:rFonts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hint="default" w:ascii="宋体" w:cs="宋体"/>
              </w:rPr>
            </w:pPr>
            <w:r>
              <w:rPr>
                <w:rFonts w:ascii="宋体" w:hAnsi="宋体" w:cs="宋体"/>
              </w:rPr>
              <w:t>过   程（30分）</w:t>
            </w: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预算</w:t>
            </w:r>
          </w:p>
          <w:p>
            <w:pPr>
              <w:spacing w:line="240" w:lineRule="exact"/>
              <w:jc w:val="center"/>
              <w:rPr>
                <w:rFonts w:hint="default" w:ascii="宋体" w:cs="宋体"/>
              </w:rPr>
            </w:pPr>
            <w:r>
              <w:rPr>
                <w:rFonts w:ascii="宋体" w:hAnsi="宋体" w:cs="宋体"/>
              </w:rPr>
              <w:t>执行（20分）</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预算</w:t>
            </w:r>
          </w:p>
          <w:p>
            <w:pPr>
              <w:spacing w:line="240" w:lineRule="exact"/>
              <w:jc w:val="center"/>
              <w:rPr>
                <w:rFonts w:hint="default" w:ascii="宋体" w:cs="宋体"/>
              </w:rPr>
            </w:pPr>
            <w:r>
              <w:rPr>
                <w:rFonts w:ascii="宋体" w:hAnsi="宋体" w:cs="宋体"/>
              </w:rPr>
              <w:t>执行率（4分）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3.5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部门本年度预算完成数与预算数的比率，用以反映和考核部门预算完成程度。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预算执行率=（预算执行数/预算数）×100%。</w:t>
            </w:r>
          </w:p>
          <w:p>
            <w:pPr>
              <w:spacing w:line="240" w:lineRule="exact"/>
              <w:ind w:left="105" w:leftChars="50" w:right="105" w:rightChars="50"/>
              <w:rPr>
                <w:rFonts w:hint="default" w:ascii="宋体" w:hAnsi="宋体" w:eastAsia="宋体" w:cs="宋体"/>
              </w:rPr>
            </w:pPr>
            <w:r>
              <w:rPr>
                <w:rFonts w:ascii="宋体" w:hAnsi="宋体" w:cs="宋体"/>
              </w:rPr>
              <w:t>预算执行数：部门本年度实际完成的预算数。</w:t>
            </w:r>
          </w:p>
          <w:p>
            <w:pPr>
              <w:spacing w:line="240" w:lineRule="exact"/>
              <w:ind w:left="105" w:leftChars="50" w:right="105" w:rightChars="50"/>
              <w:rPr>
                <w:rFonts w:hint="default" w:ascii="宋体" w:cs="宋体"/>
              </w:rPr>
            </w:pPr>
            <w:r>
              <w:rPr>
                <w:rFonts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预算</w:t>
            </w:r>
          </w:p>
          <w:p>
            <w:pPr>
              <w:spacing w:line="240" w:lineRule="exact"/>
              <w:jc w:val="center"/>
              <w:rPr>
                <w:rFonts w:hint="default" w:ascii="宋体" w:cs="宋体"/>
              </w:rPr>
            </w:pPr>
            <w:r>
              <w:rPr>
                <w:rFonts w:ascii="宋体" w:hAnsi="宋体" w:cs="宋体"/>
              </w:rPr>
              <w:t>调整率（2分）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部门本年度预算调整数与预算数的比率，用以反映和考核部门预算的调整程度。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预算调整率=（预算调整数/预算数）×100%。</w:t>
            </w:r>
          </w:p>
          <w:p>
            <w:pPr>
              <w:spacing w:line="240" w:lineRule="exact"/>
              <w:ind w:left="105" w:leftChars="50" w:right="105" w:rightChars="50"/>
              <w:rPr>
                <w:rFonts w:hint="default" w:ascii="宋体" w:cs="宋体"/>
              </w:rPr>
            </w:pPr>
            <w:r>
              <w:rPr>
                <w:rFonts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支付</w:t>
            </w:r>
          </w:p>
          <w:p>
            <w:pPr>
              <w:spacing w:line="240" w:lineRule="exact"/>
              <w:jc w:val="center"/>
              <w:rPr>
                <w:rFonts w:hint="default" w:ascii="宋体" w:cs="宋体"/>
              </w:rPr>
            </w:pPr>
            <w:r>
              <w:rPr>
                <w:rFonts w:ascii="宋体" w:hAnsi="宋体" w:cs="宋体"/>
              </w:rPr>
              <w:t>进度率（2分）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支付进度率=（实际支付进度/既定支付进度）×100%。</w:t>
            </w:r>
          </w:p>
          <w:p>
            <w:pPr>
              <w:spacing w:line="240" w:lineRule="exact"/>
              <w:ind w:left="105" w:leftChars="50" w:right="105" w:rightChars="50"/>
              <w:rPr>
                <w:rFonts w:hint="default" w:ascii="宋体" w:hAnsi="宋体" w:eastAsia="宋体" w:cs="宋体"/>
              </w:rPr>
            </w:pPr>
            <w:r>
              <w:rPr>
                <w:rFonts w:ascii="宋体" w:hAnsi="宋体" w:cs="宋体"/>
              </w:rPr>
              <w:t>实际支付进度：部门在某一时点的支出预算执行总数与年度支出预算数的比率。</w:t>
            </w:r>
          </w:p>
          <w:p>
            <w:pPr>
              <w:spacing w:line="240" w:lineRule="exact"/>
              <w:ind w:left="105" w:leftChars="50" w:right="105" w:rightChars="50"/>
              <w:rPr>
                <w:rFonts w:hint="default" w:ascii="宋体" w:cs="宋体"/>
              </w:rPr>
            </w:pPr>
            <w:r>
              <w:rPr>
                <w:rFonts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hint="default" w:ascii="宋体" w:cs="宋体"/>
              </w:rPr>
            </w:pPr>
          </w:p>
        </w:tc>
        <w:tc>
          <w:tcPr>
            <w:tcW w:w="375" w:type="pct"/>
            <w:vMerge w:val="continue"/>
            <w:tcMar>
              <w:top w:w="10" w:type="dxa"/>
              <w:left w:w="10" w:type="dxa"/>
              <w:bottom w:w="0" w:type="dxa"/>
              <w:right w:w="10" w:type="dxa"/>
            </w:tcMar>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结转</w:t>
            </w:r>
          </w:p>
          <w:p>
            <w:pPr>
              <w:spacing w:line="240" w:lineRule="exact"/>
              <w:jc w:val="center"/>
              <w:rPr>
                <w:rFonts w:hint="default" w:ascii="宋体" w:cs="宋体"/>
              </w:rPr>
            </w:pPr>
            <w:r>
              <w:rPr>
                <w:rFonts w:ascii="宋体" w:hAnsi="宋体" w:cs="宋体"/>
              </w:rPr>
              <w:t>结余率（2分）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结转结余率=结转结余总额/支出预算数×100%。</w:t>
            </w:r>
          </w:p>
          <w:p>
            <w:pPr>
              <w:spacing w:line="240" w:lineRule="exact"/>
              <w:ind w:left="105" w:leftChars="50" w:right="105" w:rightChars="50"/>
              <w:rPr>
                <w:rFonts w:hint="default" w:ascii="宋体" w:cs="宋体"/>
              </w:rPr>
            </w:pPr>
            <w:r>
              <w:rPr>
                <w:rFonts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结转结余</w:t>
            </w:r>
          </w:p>
          <w:p>
            <w:pPr>
              <w:spacing w:line="240" w:lineRule="exact"/>
              <w:jc w:val="center"/>
              <w:rPr>
                <w:rFonts w:hint="default" w:ascii="宋体" w:cs="宋体"/>
              </w:rPr>
            </w:pPr>
            <w:r>
              <w:rPr>
                <w:rFonts w:ascii="宋体" w:hAnsi="宋体" w:cs="宋体"/>
              </w:rPr>
              <w:t>变动率（2分）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cs="宋体"/>
              </w:rPr>
            </w:pPr>
            <w:r>
              <w:rPr>
                <w:rFonts w:ascii="宋体" w:hAnsi="宋体" w:cs="宋体"/>
              </w:rPr>
              <w:t>结转结余变动率=[（本年度累计结转结余资金总额-上年度累计结转结余资金总额）/上年度累计结转结余资金总额]×100%。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公用经费</w:t>
            </w:r>
          </w:p>
          <w:p>
            <w:pPr>
              <w:spacing w:line="240" w:lineRule="exact"/>
              <w:jc w:val="center"/>
              <w:rPr>
                <w:rFonts w:hint="default" w:ascii="宋体" w:cs="宋体"/>
              </w:rPr>
            </w:pPr>
            <w:r>
              <w:rPr>
                <w:rFonts w:ascii="宋体" w:hAnsi="宋体" w:cs="宋体"/>
              </w:rPr>
              <w:t>控制率（2分）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cs="宋体"/>
              </w:rPr>
            </w:pPr>
            <w:r>
              <w:rPr>
                <w:rFonts w:ascii="宋体" w:hAnsi="宋体" w:cs="宋体"/>
              </w:rPr>
              <w:t>公用经费控制率=（实际支出公用经费总额/预算安排公用经费总额）×100%。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“三公经费”控制率（2分）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cs="宋体"/>
              </w:rPr>
            </w:pPr>
            <w:r>
              <w:rPr>
                <w:rFonts w:ascii="宋体" w:hAnsi="宋体" w:cs="宋体"/>
              </w:rPr>
              <w:t>“三公经费”控制率=（“三公经费”实际支出数/“三公经费”预算安排数）×100%。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政府采购</w:t>
            </w:r>
          </w:p>
          <w:p>
            <w:pPr>
              <w:spacing w:line="240" w:lineRule="exact"/>
              <w:jc w:val="center"/>
              <w:rPr>
                <w:rFonts w:hint="default" w:ascii="宋体" w:cs="宋体"/>
              </w:rPr>
            </w:pPr>
            <w:r>
              <w:rPr>
                <w:rFonts w:ascii="宋体" w:hAnsi="宋体" w:cs="宋体"/>
              </w:rPr>
              <w:t>执行率（4分）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3.5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政府采购执行率=（实际政府采购金额/政府采购预算数）×100%；</w:t>
            </w:r>
          </w:p>
          <w:p>
            <w:pPr>
              <w:spacing w:line="240" w:lineRule="exact"/>
              <w:ind w:left="105" w:leftChars="50" w:right="105" w:rightChars="50"/>
              <w:rPr>
                <w:rFonts w:hint="default" w:ascii="宋体" w:hAnsi="宋体" w:cs="宋体"/>
              </w:rPr>
            </w:pPr>
            <w:r>
              <w:rPr>
                <w:rFonts w:ascii="宋体" w:hAnsi="宋体" w:cs="宋体"/>
              </w:rPr>
              <w:t xml:space="preserve">政府采购预算：采购机关根据事业发展计划和行政任务编制的、并经过规定程序批准的年度政府采购计划。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vAlign w:val="center"/>
          </w:tcPr>
          <w:p>
            <w:pPr>
              <w:spacing w:line="240" w:lineRule="exact"/>
              <w:jc w:val="center"/>
              <w:rPr>
                <w:rFonts w:hint="default" w:ascii="宋体" w:cs="宋体"/>
              </w:rPr>
            </w:pPr>
            <w:r>
              <w:rPr>
                <w:rFonts w:ascii="宋体" w:hAnsi="宋体" w:cs="宋体"/>
              </w:rPr>
              <w:t>过</w:t>
            </w:r>
          </w:p>
          <w:p>
            <w:pPr>
              <w:spacing w:line="240" w:lineRule="exact"/>
              <w:jc w:val="center"/>
              <w:rPr>
                <w:rFonts w:hint="default" w:ascii="宋体" w:cs="宋体"/>
              </w:rPr>
            </w:pPr>
            <w:r>
              <w:rPr>
                <w:rFonts w:ascii="宋体" w:hAnsi="宋体" w:cs="宋体"/>
              </w:rPr>
              <w:t>程（30分）</w:t>
            </w: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预算</w:t>
            </w:r>
          </w:p>
          <w:p>
            <w:pPr>
              <w:spacing w:line="240" w:lineRule="exact"/>
              <w:jc w:val="center"/>
              <w:rPr>
                <w:rFonts w:hint="default" w:ascii="宋体" w:cs="宋体"/>
              </w:rPr>
            </w:pPr>
            <w:r>
              <w:rPr>
                <w:rFonts w:ascii="宋体" w:hAnsi="宋体" w:cs="宋体"/>
              </w:rPr>
              <w:t>管理（5分）</w:t>
            </w:r>
          </w:p>
          <w:p>
            <w:pPr>
              <w:spacing w:line="240" w:lineRule="exact"/>
              <w:jc w:val="center"/>
              <w:rPr>
                <w:rFonts w:hint="default" w:ascii="宋体" w:cs="宋体"/>
              </w:rPr>
            </w:pPr>
            <w:r>
              <w:rPr>
                <w:rFonts w:ascii="宋体" w:hAnsi="宋体" w:cs="宋体"/>
              </w:rPr>
              <w:t>）</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管理制度</w:t>
            </w:r>
          </w:p>
          <w:p>
            <w:pPr>
              <w:spacing w:line="240" w:lineRule="exact"/>
              <w:jc w:val="center"/>
              <w:rPr>
                <w:rFonts w:hint="default" w:ascii="宋体" w:cs="宋体"/>
              </w:rPr>
            </w:pPr>
            <w:r>
              <w:rPr>
                <w:rFonts w:ascii="宋体" w:hAnsi="宋体" w:cs="宋体"/>
              </w:rPr>
              <w:t>健全性（2分）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①是否已制定或具有预算资金管理办法、内部财务管理制度、会计核算制度等管理制度；</w:t>
            </w:r>
          </w:p>
          <w:p>
            <w:pPr>
              <w:spacing w:line="240" w:lineRule="exact"/>
              <w:ind w:left="105" w:leftChars="50" w:right="105" w:rightChars="50"/>
              <w:rPr>
                <w:rFonts w:hint="default" w:ascii="宋体" w:hAnsi="宋体" w:eastAsia="宋体" w:cs="宋体"/>
              </w:rPr>
            </w:pPr>
            <w:r>
              <w:rPr>
                <w:rFonts w:ascii="宋体" w:hAnsi="宋体" w:cs="宋体"/>
              </w:rPr>
              <w:t>②相关管理制度是否合法、合规、完整；</w:t>
            </w:r>
          </w:p>
          <w:p>
            <w:pPr>
              <w:spacing w:line="240" w:lineRule="exact"/>
              <w:ind w:left="105" w:leftChars="50" w:right="105" w:rightChars="50"/>
              <w:rPr>
                <w:rFonts w:hint="default" w:ascii="宋体" w:cs="宋体"/>
              </w:rPr>
            </w:pPr>
            <w:r>
              <w:rPr>
                <w:rFonts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资金使用</w:t>
            </w:r>
          </w:p>
          <w:p>
            <w:pPr>
              <w:spacing w:line="240" w:lineRule="exact"/>
              <w:jc w:val="center"/>
              <w:rPr>
                <w:rFonts w:hint="default" w:ascii="宋体" w:cs="宋体"/>
              </w:rPr>
            </w:pPr>
            <w:r>
              <w:rPr>
                <w:rFonts w:ascii="宋体" w:hAnsi="宋体" w:cs="宋体"/>
              </w:rPr>
              <w:t>合规性（1分）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①是否符合国家财经法规和财务管理制度规定以及有关预算支出管理办法的规定；</w:t>
            </w:r>
          </w:p>
          <w:p>
            <w:pPr>
              <w:spacing w:line="240" w:lineRule="exact"/>
              <w:ind w:left="105" w:leftChars="50" w:right="105" w:rightChars="50"/>
              <w:rPr>
                <w:rFonts w:hint="default" w:ascii="宋体" w:hAnsi="宋体" w:eastAsia="宋体" w:cs="宋体"/>
              </w:rPr>
            </w:pPr>
            <w:r>
              <w:rPr>
                <w:rFonts w:ascii="宋体" w:hAnsi="宋体" w:cs="宋体"/>
              </w:rPr>
              <w:t>②资金的拨付是否有完整的审批程序和手续；</w:t>
            </w:r>
          </w:p>
          <w:p>
            <w:pPr>
              <w:spacing w:line="240" w:lineRule="exact"/>
              <w:ind w:left="105" w:leftChars="50" w:right="105" w:rightChars="50"/>
              <w:rPr>
                <w:rFonts w:hint="default" w:ascii="宋体" w:hAnsi="宋体" w:eastAsia="宋体" w:cs="宋体"/>
              </w:rPr>
            </w:pPr>
            <w:r>
              <w:rPr>
                <w:rFonts w:ascii="宋体" w:hAnsi="宋体" w:cs="宋体"/>
              </w:rPr>
              <w:t>③预算支出的重大开支是否经过评估论证；</w:t>
            </w:r>
          </w:p>
          <w:p>
            <w:pPr>
              <w:spacing w:line="240" w:lineRule="exact"/>
              <w:ind w:left="105" w:leftChars="50" w:right="105" w:rightChars="50"/>
              <w:rPr>
                <w:rFonts w:hint="default" w:ascii="宋体" w:hAnsi="宋体" w:eastAsia="宋体" w:cs="宋体"/>
              </w:rPr>
            </w:pPr>
            <w:r>
              <w:rPr>
                <w:rFonts w:ascii="宋体" w:hAnsi="宋体" w:cs="宋体"/>
              </w:rPr>
              <w:t>④是否符合部门预算批复的用途；</w:t>
            </w:r>
          </w:p>
          <w:p>
            <w:pPr>
              <w:spacing w:line="240" w:lineRule="exact"/>
              <w:ind w:left="105" w:leftChars="50" w:right="105" w:rightChars="50"/>
              <w:rPr>
                <w:rFonts w:hint="default" w:ascii="宋体" w:cs="宋体"/>
              </w:rPr>
            </w:pPr>
            <w:r>
              <w:rPr>
                <w:rFonts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预决算信</w:t>
            </w:r>
          </w:p>
          <w:p>
            <w:pPr>
              <w:spacing w:line="240" w:lineRule="exact"/>
              <w:jc w:val="center"/>
              <w:rPr>
                <w:rFonts w:hint="default" w:ascii="宋体" w:cs="宋体"/>
              </w:rPr>
            </w:pPr>
            <w:r>
              <w:rPr>
                <w:rFonts w:ascii="宋体" w:hAnsi="宋体" w:cs="宋体"/>
              </w:rPr>
              <w:t>息公开性（1分）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①是否按规定内容公开预决算信息；</w:t>
            </w:r>
          </w:p>
          <w:p>
            <w:pPr>
              <w:spacing w:line="240" w:lineRule="exact"/>
              <w:ind w:left="105" w:leftChars="50" w:right="105" w:rightChars="50"/>
              <w:rPr>
                <w:rFonts w:hint="default" w:ascii="宋体" w:hAnsi="宋体" w:eastAsia="宋体" w:cs="宋体"/>
              </w:rPr>
            </w:pPr>
            <w:r>
              <w:rPr>
                <w:rFonts w:ascii="宋体" w:hAnsi="宋体" w:cs="宋体"/>
              </w:rPr>
              <w:t>②是否按规定时限公开预决算信息。</w:t>
            </w:r>
          </w:p>
          <w:p>
            <w:pPr>
              <w:spacing w:line="240" w:lineRule="exact"/>
              <w:ind w:left="105" w:leftChars="50" w:right="105" w:rightChars="50"/>
              <w:rPr>
                <w:rFonts w:hint="default" w:ascii="宋体" w:cs="宋体"/>
              </w:rPr>
            </w:pPr>
            <w:r>
              <w:rPr>
                <w:rFonts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基础信息</w:t>
            </w:r>
          </w:p>
          <w:p>
            <w:pPr>
              <w:spacing w:line="240" w:lineRule="exact"/>
              <w:jc w:val="center"/>
              <w:rPr>
                <w:rFonts w:hint="default" w:ascii="宋体" w:cs="宋体"/>
              </w:rPr>
            </w:pPr>
            <w:r>
              <w:rPr>
                <w:rFonts w:ascii="宋体" w:hAnsi="宋体" w:cs="宋体"/>
              </w:rPr>
              <w:t>完善性（1分）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部门基础信息是否完善，用以反映和考核基础信息对预算管理工作的支撑情况。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①基础数据信息和会计信息资料是否真实；</w:t>
            </w:r>
          </w:p>
          <w:p>
            <w:pPr>
              <w:spacing w:line="240" w:lineRule="exact"/>
              <w:ind w:left="105" w:leftChars="50" w:right="105" w:rightChars="50"/>
              <w:rPr>
                <w:rFonts w:hint="default" w:ascii="宋体" w:hAnsi="宋体" w:eastAsia="宋体" w:cs="宋体"/>
              </w:rPr>
            </w:pPr>
            <w:r>
              <w:rPr>
                <w:rFonts w:ascii="宋体" w:hAnsi="宋体" w:cs="宋体"/>
              </w:rPr>
              <w:t>②基础数据信息和会计信息资料是否完整；</w:t>
            </w:r>
          </w:p>
          <w:p>
            <w:pPr>
              <w:spacing w:line="240" w:lineRule="exact"/>
              <w:ind w:left="105" w:leftChars="50" w:right="105" w:rightChars="50"/>
              <w:rPr>
                <w:rFonts w:hint="default" w:ascii="宋体" w:cs="宋体"/>
              </w:rPr>
            </w:pPr>
            <w:r>
              <w:rPr>
                <w:rFonts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7" w:type="pct"/>
            <w:vMerge w:val="continue"/>
            <w:noWrap/>
            <w:tcMar>
              <w:top w:w="10" w:type="dxa"/>
              <w:left w:w="10" w:type="dxa"/>
              <w:bottom w:w="0" w:type="dxa"/>
              <w:right w:w="10" w:type="dxa"/>
            </w:tcMar>
            <w:textDirection w:val="tbRlV"/>
            <w:vAlign w:val="center"/>
          </w:tcPr>
          <w:p>
            <w:pPr>
              <w:spacing w:line="240" w:lineRule="exact"/>
              <w:jc w:val="center"/>
              <w:rPr>
                <w:rFonts w:hint="default" w:ascii="宋体" w:cs="宋体"/>
              </w:rPr>
            </w:pP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资产</w:t>
            </w:r>
          </w:p>
          <w:p>
            <w:pPr>
              <w:spacing w:line="240" w:lineRule="exact"/>
              <w:jc w:val="center"/>
              <w:rPr>
                <w:rFonts w:hint="default" w:ascii="宋体" w:cs="宋体"/>
              </w:rPr>
            </w:pPr>
            <w:r>
              <w:rPr>
                <w:rFonts w:ascii="宋体" w:hAnsi="宋体" w:cs="宋体"/>
              </w:rPr>
              <w:t>管理（5分）</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管理制度</w:t>
            </w:r>
          </w:p>
          <w:p>
            <w:pPr>
              <w:spacing w:line="240" w:lineRule="exact"/>
              <w:jc w:val="center"/>
              <w:rPr>
                <w:rFonts w:hint="default" w:ascii="宋体" w:cs="宋体"/>
              </w:rPr>
            </w:pPr>
            <w:r>
              <w:rPr>
                <w:rFonts w:ascii="宋体" w:hAnsi="宋体" w:cs="宋体"/>
              </w:rPr>
              <w:t>健全性（2分）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①是否已制定或具有资产管理制度；           ②相关资金管理制度是否合法、合规、完整；</w:t>
            </w:r>
          </w:p>
          <w:p>
            <w:pPr>
              <w:spacing w:line="240" w:lineRule="exact"/>
              <w:ind w:left="105" w:leftChars="50" w:right="105" w:rightChars="50"/>
              <w:rPr>
                <w:rFonts w:hint="default" w:ascii="宋体" w:cs="宋体"/>
              </w:rPr>
            </w:pPr>
            <w:r>
              <w:rPr>
                <w:rFonts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7" w:type="pct"/>
            <w:vMerge w:val="continue"/>
            <w:vAlign w:val="center"/>
          </w:tcPr>
          <w:p>
            <w:pPr>
              <w:spacing w:line="240" w:lineRule="exact"/>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资产管理</w:t>
            </w:r>
          </w:p>
          <w:p>
            <w:pPr>
              <w:spacing w:line="240" w:lineRule="exact"/>
              <w:jc w:val="center"/>
              <w:rPr>
                <w:rFonts w:hint="default" w:ascii="宋体" w:cs="宋体"/>
              </w:rPr>
            </w:pPr>
            <w:r>
              <w:rPr>
                <w:rFonts w:ascii="宋体" w:hAnsi="宋体" w:cs="宋体"/>
              </w:rPr>
              <w:t>安全性（2分）</w:t>
            </w:r>
          </w:p>
        </w:tc>
        <w:tc>
          <w:tcPr>
            <w:tcW w:w="375" w:type="pct"/>
            <w:vAlign w:val="center"/>
          </w:tcPr>
          <w:p>
            <w:pPr>
              <w:tabs>
                <w:tab w:val="left" w:pos="761"/>
                <w:tab w:val="left" w:pos="2604"/>
              </w:tabs>
              <w:spacing w:line="240" w:lineRule="exact"/>
              <w:ind w:left="105" w:leftChars="50" w:right="105" w:rightChars="50" w:firstLine="96" w:firstLineChars="46"/>
              <w:jc w:val="center"/>
              <w:rPr>
                <w:rFonts w:hint="default" w:ascii="宋体" w:cs="宋体"/>
              </w:rPr>
            </w:pPr>
            <w:r>
              <w:rPr>
                <w:rFonts w:ascii="宋体" w:cs="宋体"/>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hint="default" w:ascii="宋体" w:cs="宋体"/>
              </w:rPr>
            </w:pPr>
            <w:r>
              <w:rPr>
                <w:rFonts w:ascii="宋体" w:hAnsi="宋体" w:cs="宋体"/>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评价要点：</w:t>
            </w:r>
          </w:p>
          <w:p>
            <w:pPr>
              <w:spacing w:line="240" w:lineRule="exact"/>
              <w:ind w:left="105" w:leftChars="50" w:right="105" w:rightChars="50"/>
              <w:rPr>
                <w:rFonts w:hint="default" w:ascii="宋体" w:hAnsi="宋体" w:eastAsia="宋体" w:cs="宋体"/>
              </w:rPr>
            </w:pPr>
            <w:r>
              <w:rPr>
                <w:rFonts w:ascii="宋体" w:hAnsi="宋体" w:cs="宋体"/>
              </w:rPr>
              <w:t>①资产保存是否完整；</w:t>
            </w:r>
          </w:p>
          <w:p>
            <w:pPr>
              <w:spacing w:line="240" w:lineRule="exact"/>
              <w:ind w:left="105" w:leftChars="50" w:right="105" w:rightChars="50"/>
              <w:rPr>
                <w:rFonts w:hint="default" w:ascii="宋体" w:hAnsi="宋体" w:eastAsia="宋体" w:cs="宋体"/>
              </w:rPr>
            </w:pPr>
            <w:r>
              <w:rPr>
                <w:rFonts w:ascii="宋体" w:hAnsi="宋体" w:cs="宋体"/>
              </w:rPr>
              <w:t>②资产配置是否合理；</w:t>
            </w:r>
          </w:p>
          <w:p>
            <w:pPr>
              <w:spacing w:line="240" w:lineRule="exact"/>
              <w:ind w:left="105" w:leftChars="50" w:right="105" w:rightChars="50"/>
              <w:rPr>
                <w:rFonts w:hint="default" w:ascii="宋体" w:hAnsi="宋体" w:eastAsia="宋体" w:cs="宋体"/>
              </w:rPr>
            </w:pPr>
            <w:r>
              <w:rPr>
                <w:rFonts w:ascii="宋体" w:hAnsi="宋体" w:cs="宋体"/>
              </w:rPr>
              <w:t>③资产处置是否规范；</w:t>
            </w:r>
          </w:p>
          <w:p>
            <w:pPr>
              <w:spacing w:line="240" w:lineRule="exact"/>
              <w:ind w:left="105" w:leftChars="50" w:right="105" w:rightChars="50"/>
              <w:rPr>
                <w:rFonts w:hint="default" w:ascii="宋体" w:hAnsi="宋体" w:eastAsia="宋体" w:cs="宋体"/>
              </w:rPr>
            </w:pPr>
            <w:r>
              <w:rPr>
                <w:rFonts w:ascii="宋体" w:hAnsi="宋体" w:cs="宋体"/>
              </w:rPr>
              <w:t>④资产账务管理是否合规，是否帐实相符；</w:t>
            </w:r>
          </w:p>
          <w:p>
            <w:pPr>
              <w:spacing w:line="240" w:lineRule="exact"/>
              <w:ind w:left="105" w:leftChars="50" w:right="105" w:rightChars="50"/>
              <w:rPr>
                <w:rFonts w:hint="default" w:ascii="宋体" w:cs="宋体"/>
              </w:rPr>
            </w:pPr>
            <w:r>
              <w:rPr>
                <w:rFonts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固定资产</w:t>
            </w:r>
          </w:p>
          <w:p>
            <w:pPr>
              <w:spacing w:line="240" w:lineRule="exact"/>
              <w:jc w:val="center"/>
              <w:rPr>
                <w:rFonts w:hint="default" w:ascii="宋体" w:cs="宋体"/>
              </w:rPr>
            </w:pPr>
            <w:r>
              <w:rPr>
                <w:rFonts w:ascii="宋体" w:hAnsi="宋体" w:cs="宋体"/>
              </w:rPr>
              <w:t>利用率（1分）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cs="宋体"/>
              </w:rPr>
            </w:pPr>
            <w:r>
              <w:rPr>
                <w:rFonts w:ascii="宋体" w:hAnsi="宋体" w:cs="宋体"/>
              </w:rPr>
              <w:t>固定资产利用率=（实际在用固定资产总额/所有固定资产总额）×100%。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hint="default" w:ascii="宋体" w:cs="宋体"/>
              </w:rPr>
            </w:pPr>
            <w:r>
              <w:rPr>
                <w:rFonts w:ascii="宋体" w:hAnsi="宋体" w:cs="宋体"/>
              </w:rPr>
              <w:t>产   出（30分）</w:t>
            </w: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职责</w:t>
            </w:r>
          </w:p>
          <w:p>
            <w:pPr>
              <w:spacing w:line="240" w:lineRule="exact"/>
              <w:jc w:val="center"/>
              <w:rPr>
                <w:rFonts w:hint="default" w:ascii="宋体" w:cs="宋体"/>
              </w:rPr>
            </w:pPr>
            <w:r>
              <w:rPr>
                <w:rFonts w:ascii="宋体" w:hAnsi="宋体" w:cs="宋体"/>
              </w:rPr>
              <w:t>履行（30分）</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实际</w:t>
            </w:r>
          </w:p>
          <w:p>
            <w:pPr>
              <w:spacing w:line="240" w:lineRule="exact"/>
              <w:jc w:val="center"/>
              <w:rPr>
                <w:rFonts w:hint="default" w:ascii="宋体" w:cs="宋体"/>
              </w:rPr>
            </w:pPr>
            <w:r>
              <w:rPr>
                <w:rFonts w:ascii="宋体" w:hAnsi="宋体" w:cs="宋体"/>
              </w:rPr>
              <w:t>完成率（8分）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实际完成率=（实际完成工作数/计划工作数）×100%。</w:t>
            </w:r>
          </w:p>
          <w:p>
            <w:pPr>
              <w:spacing w:line="240" w:lineRule="exact"/>
              <w:ind w:left="105" w:leftChars="50" w:right="105" w:rightChars="50"/>
              <w:rPr>
                <w:rFonts w:hint="default" w:ascii="宋体" w:hAnsi="宋体" w:eastAsia="宋体" w:cs="宋体"/>
              </w:rPr>
            </w:pPr>
            <w:r>
              <w:rPr>
                <w:rFonts w:ascii="宋体" w:hAnsi="宋体" w:cs="宋体"/>
              </w:rPr>
              <w:t>实际完成工作数：一定时期（年度或规划期）内部门实际完成工作任务的数量。</w:t>
            </w:r>
          </w:p>
          <w:p>
            <w:pPr>
              <w:spacing w:line="240" w:lineRule="exact"/>
              <w:ind w:left="105" w:leftChars="50" w:right="105" w:rightChars="50"/>
              <w:rPr>
                <w:rFonts w:hint="default" w:ascii="宋体" w:cs="宋体"/>
              </w:rPr>
            </w:pPr>
            <w:r>
              <w:rPr>
                <w:rFonts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7" w:type="pct"/>
            <w:vMerge w:val="continue"/>
            <w:textDirection w:val="tbRlV"/>
            <w:vAlign w:val="center"/>
          </w:tcPr>
          <w:p>
            <w:pPr>
              <w:spacing w:line="240" w:lineRule="exact"/>
              <w:ind w:left="113"/>
              <w:jc w:val="center"/>
              <w:rPr>
                <w:rFonts w:hint="default" w:ascii="宋体" w:cs="宋体"/>
              </w:rPr>
            </w:pPr>
          </w:p>
        </w:tc>
        <w:tc>
          <w:tcPr>
            <w:tcW w:w="375" w:type="pct"/>
            <w:vMerge w:val="continue"/>
            <w:vAlign w:val="center"/>
          </w:tcPr>
          <w:p>
            <w:pPr>
              <w:spacing w:line="240" w:lineRule="exact"/>
              <w:jc w:val="center"/>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完成</w:t>
            </w:r>
          </w:p>
          <w:p>
            <w:pPr>
              <w:spacing w:line="240" w:lineRule="exact"/>
              <w:jc w:val="center"/>
              <w:rPr>
                <w:rFonts w:hint="default" w:ascii="宋体" w:cs="宋体"/>
              </w:rPr>
            </w:pPr>
            <w:r>
              <w:rPr>
                <w:rFonts w:ascii="宋体" w:hAnsi="宋体" w:cs="宋体"/>
              </w:rPr>
              <w:t>及时率（4分）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部门在规定时限内及时完成的实际工作数与计划工作数的比率,用以反映和考核部门履职时效目标的实现程度。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完成及时率=（及时完成实际工作数/计划工作数）×100%。</w:t>
            </w:r>
          </w:p>
          <w:p>
            <w:pPr>
              <w:spacing w:line="240" w:lineRule="exact"/>
              <w:ind w:left="105" w:leftChars="50" w:right="105" w:rightChars="50"/>
              <w:rPr>
                <w:rFonts w:hint="default" w:ascii="宋体" w:cs="宋体"/>
              </w:rPr>
            </w:pPr>
            <w:r>
              <w:rPr>
                <w:rFonts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质量</w:t>
            </w:r>
          </w:p>
          <w:p>
            <w:pPr>
              <w:spacing w:line="240" w:lineRule="exact"/>
              <w:jc w:val="center"/>
              <w:rPr>
                <w:rFonts w:hint="default" w:ascii="宋体" w:cs="宋体"/>
              </w:rPr>
            </w:pPr>
            <w:r>
              <w:rPr>
                <w:rFonts w:ascii="宋体" w:hAnsi="宋体" w:cs="宋体"/>
              </w:rPr>
              <w:t>达标率（8分）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7.5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达到质量标准（绩效标准值）的实际工作数与计划工作数的比率,用以反映和考核部门履职质量目标的实现程度。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质量达标率=（质量达标实际工作数/计划工作数）×100%。</w:t>
            </w:r>
          </w:p>
          <w:p>
            <w:pPr>
              <w:spacing w:line="240" w:lineRule="exact"/>
              <w:ind w:left="105" w:leftChars="50" w:right="105" w:rightChars="50"/>
              <w:rPr>
                <w:rFonts w:hint="default" w:ascii="宋体" w:cs="宋体"/>
              </w:rPr>
            </w:pPr>
            <w:r>
              <w:rPr>
                <w:rFonts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重点工作</w:t>
            </w:r>
          </w:p>
          <w:p>
            <w:pPr>
              <w:spacing w:line="240" w:lineRule="exact"/>
              <w:jc w:val="center"/>
              <w:rPr>
                <w:rFonts w:hint="default" w:ascii="宋体" w:cs="宋体"/>
              </w:rPr>
            </w:pPr>
            <w:r>
              <w:rPr>
                <w:rFonts w:ascii="宋体" w:hAnsi="宋体" w:cs="宋体"/>
              </w:rPr>
              <w:t>办结率（10分）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10</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hAnsi="宋体" w:eastAsia="宋体" w:cs="宋体"/>
              </w:rPr>
            </w:pPr>
            <w:r>
              <w:rPr>
                <w:rFonts w:ascii="宋体" w:hAnsi="宋体" w:cs="宋体"/>
              </w:rPr>
              <w:t>重点工作办结率=（重点工作实际完成数/交办或下达数）×100%。</w:t>
            </w:r>
          </w:p>
          <w:p>
            <w:pPr>
              <w:spacing w:line="240" w:lineRule="exact"/>
              <w:ind w:left="105" w:leftChars="50" w:right="105" w:rightChars="50"/>
              <w:rPr>
                <w:rFonts w:hint="default" w:ascii="宋体" w:cs="宋体"/>
              </w:rPr>
            </w:pPr>
            <w:r>
              <w:rPr>
                <w:rFonts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noWrap/>
            <w:tcMar>
              <w:top w:w="10" w:type="dxa"/>
              <w:left w:w="10" w:type="dxa"/>
              <w:bottom w:w="0" w:type="dxa"/>
              <w:right w:w="10" w:type="dxa"/>
            </w:tcMar>
            <w:textDirection w:val="tbRlV"/>
            <w:vAlign w:val="center"/>
          </w:tcPr>
          <w:p>
            <w:pPr>
              <w:spacing w:line="240" w:lineRule="exact"/>
              <w:jc w:val="center"/>
              <w:rPr>
                <w:rFonts w:hint="default" w:ascii="宋体" w:cs="宋体"/>
              </w:rPr>
            </w:pPr>
            <w:r>
              <w:rPr>
                <w:rFonts w:ascii="宋体" w:hAnsi="宋体" w:cs="宋体"/>
              </w:rPr>
              <w:t>效   果（20分）</w:t>
            </w:r>
          </w:p>
        </w:tc>
        <w:tc>
          <w:tcPr>
            <w:tcW w:w="375" w:type="pct"/>
            <w:vMerge w:val="restart"/>
            <w:tcMar>
              <w:top w:w="10" w:type="dxa"/>
              <w:left w:w="10" w:type="dxa"/>
              <w:bottom w:w="0" w:type="dxa"/>
              <w:right w:w="10" w:type="dxa"/>
            </w:tcMar>
            <w:vAlign w:val="center"/>
          </w:tcPr>
          <w:p>
            <w:pPr>
              <w:spacing w:line="240" w:lineRule="exact"/>
              <w:jc w:val="center"/>
              <w:rPr>
                <w:rFonts w:hint="default" w:ascii="宋体" w:hAnsi="宋体" w:eastAsia="宋体" w:cs="宋体"/>
              </w:rPr>
            </w:pPr>
            <w:r>
              <w:rPr>
                <w:rFonts w:ascii="宋体" w:hAnsi="宋体" w:cs="宋体"/>
              </w:rPr>
              <w:t>履职</w:t>
            </w:r>
          </w:p>
          <w:p>
            <w:pPr>
              <w:spacing w:line="240" w:lineRule="exact"/>
              <w:jc w:val="center"/>
              <w:rPr>
                <w:rFonts w:hint="default" w:ascii="宋体" w:cs="宋体"/>
              </w:rPr>
            </w:pPr>
            <w:r>
              <w:rPr>
                <w:rFonts w:ascii="宋体" w:hAnsi="宋体" w:cs="宋体"/>
              </w:rPr>
              <w:t>效益（20分）</w:t>
            </w: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经济效益（5分）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部门履行职责对经济发展所带来的直接或间接影响。</w:t>
            </w:r>
          </w:p>
        </w:tc>
        <w:tc>
          <w:tcPr>
            <w:tcW w:w="1867" w:type="pct"/>
            <w:vMerge w:val="restart"/>
            <w:tcMar>
              <w:top w:w="10" w:type="dxa"/>
              <w:left w:w="10" w:type="dxa"/>
              <w:bottom w:w="0" w:type="dxa"/>
              <w:right w:w="10" w:type="dxa"/>
            </w:tcMar>
            <w:vAlign w:val="center"/>
          </w:tcPr>
          <w:p>
            <w:pPr>
              <w:spacing w:line="240" w:lineRule="exact"/>
              <w:ind w:left="105" w:leftChars="50" w:right="105" w:rightChars="50"/>
              <w:rPr>
                <w:rFonts w:hint="default" w:ascii="宋体" w:cs="宋体"/>
              </w:rPr>
            </w:pPr>
            <w:r>
              <w:rPr>
                <w:rFonts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社会效益（5分）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部门履行职责对社会发展所带来的直接或间接影响。</w:t>
            </w:r>
          </w:p>
        </w:tc>
        <w:tc>
          <w:tcPr>
            <w:tcW w:w="1867" w:type="pct"/>
            <w:vMerge w:val="continue"/>
            <w:vAlign w:val="center"/>
          </w:tcPr>
          <w:p>
            <w:pPr>
              <w:spacing w:line="240" w:lineRule="exact"/>
              <w:ind w:left="105" w:leftChars="50" w:right="105" w:rightChars="50"/>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生态效益（5分）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4.5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部门履行职责对生态环境所带来的直接或间接影响。</w:t>
            </w:r>
          </w:p>
        </w:tc>
        <w:tc>
          <w:tcPr>
            <w:tcW w:w="1867" w:type="pct"/>
            <w:vMerge w:val="continue"/>
            <w:vAlign w:val="center"/>
          </w:tcPr>
          <w:p>
            <w:pPr>
              <w:spacing w:line="240" w:lineRule="exact"/>
              <w:ind w:left="105" w:leftChars="50" w:right="105" w:rightChars="50"/>
              <w:rPr>
                <w:rFonts w:hint="default"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7" w:type="pct"/>
            <w:vMerge w:val="continue"/>
            <w:vAlign w:val="center"/>
          </w:tcPr>
          <w:p>
            <w:pPr>
              <w:spacing w:line="240" w:lineRule="exact"/>
              <w:rPr>
                <w:rFonts w:hint="default" w:ascii="宋体" w:cs="宋体"/>
              </w:rPr>
            </w:pPr>
          </w:p>
        </w:tc>
        <w:tc>
          <w:tcPr>
            <w:tcW w:w="375" w:type="pct"/>
            <w:vMerge w:val="continue"/>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r>
              <w:rPr>
                <w:rFonts w:ascii="宋体" w:hAnsi="宋体" w:cs="宋体"/>
              </w:rPr>
              <w:t>社会公众</w:t>
            </w:r>
          </w:p>
          <w:p>
            <w:pPr>
              <w:spacing w:line="240" w:lineRule="exact"/>
              <w:jc w:val="center"/>
              <w:rPr>
                <w:rFonts w:hint="default" w:ascii="宋体" w:cs="宋体"/>
              </w:rPr>
            </w:pPr>
            <w:r>
              <w:rPr>
                <w:rFonts w:ascii="宋体" w:hAnsi="宋体" w:cs="宋体"/>
              </w:rPr>
              <w:t>或服务对</w:t>
            </w:r>
          </w:p>
          <w:p>
            <w:pPr>
              <w:spacing w:line="240" w:lineRule="exact"/>
              <w:jc w:val="center"/>
              <w:rPr>
                <w:rFonts w:hint="default" w:ascii="宋体" w:cs="宋体"/>
              </w:rPr>
            </w:pPr>
            <w:r>
              <w:rPr>
                <w:rFonts w:ascii="宋体" w:hAnsi="宋体" w:cs="宋体"/>
              </w:rPr>
              <w:t>象满意度（5分）</w:t>
            </w:r>
          </w:p>
        </w:tc>
        <w:tc>
          <w:tcPr>
            <w:tcW w:w="375" w:type="pct"/>
            <w:vAlign w:val="center"/>
          </w:tcPr>
          <w:p>
            <w:pPr>
              <w:tabs>
                <w:tab w:val="left" w:pos="2604"/>
              </w:tabs>
              <w:spacing w:line="240" w:lineRule="exact"/>
              <w:ind w:left="105" w:leftChars="50" w:right="105" w:rightChars="50" w:firstLine="96" w:firstLineChars="46"/>
              <w:jc w:val="center"/>
              <w:rPr>
                <w:rFonts w:hint="default" w:ascii="宋体" w:cs="宋体"/>
              </w:rPr>
            </w:pPr>
            <w:r>
              <w:rPr>
                <w:rFonts w:ascii="宋体" w:cs="宋体"/>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r>
              <w:rPr>
                <w:rFonts w:ascii="宋体" w:hAnsi="宋体" w:cs="宋体"/>
              </w:rPr>
              <w:t>社会公众或部门的服务对象对部门履职效果的满意程度。</w:t>
            </w: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cs="宋体"/>
              </w:rPr>
            </w:pPr>
            <w:r>
              <w:rPr>
                <w:rFonts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vAlign w:val="center"/>
          </w:tcPr>
          <w:p>
            <w:pPr>
              <w:spacing w:line="240" w:lineRule="exact"/>
              <w:rPr>
                <w:rFonts w:hint="default" w:ascii="宋体" w:cs="宋体"/>
              </w:rPr>
            </w:pPr>
            <w:r>
              <w:rPr>
                <w:rFonts w:ascii="宋体" w:hAnsi="宋体" w:cs="宋体"/>
              </w:rPr>
              <w:t>总分</w:t>
            </w:r>
          </w:p>
        </w:tc>
        <w:tc>
          <w:tcPr>
            <w:tcW w:w="375" w:type="pct"/>
            <w:vAlign w:val="center"/>
          </w:tcPr>
          <w:p>
            <w:pPr>
              <w:spacing w:line="240" w:lineRule="exact"/>
              <w:rPr>
                <w:rFonts w:hint="default" w:ascii="宋体" w:cs="宋体"/>
              </w:rPr>
            </w:pPr>
          </w:p>
        </w:tc>
        <w:tc>
          <w:tcPr>
            <w:tcW w:w="500" w:type="pct"/>
            <w:tcMar>
              <w:top w:w="10" w:type="dxa"/>
              <w:left w:w="10" w:type="dxa"/>
              <w:bottom w:w="0" w:type="dxa"/>
              <w:right w:w="10" w:type="dxa"/>
            </w:tcMar>
            <w:vAlign w:val="center"/>
          </w:tcPr>
          <w:p>
            <w:pPr>
              <w:spacing w:line="240" w:lineRule="exact"/>
              <w:jc w:val="center"/>
              <w:rPr>
                <w:rFonts w:hint="default" w:ascii="宋体" w:cs="宋体"/>
              </w:rPr>
            </w:pPr>
          </w:p>
        </w:tc>
        <w:tc>
          <w:tcPr>
            <w:tcW w:w="375" w:type="pct"/>
            <w:vAlign w:val="center"/>
          </w:tcPr>
          <w:p>
            <w:pPr>
              <w:tabs>
                <w:tab w:val="left" w:pos="2604"/>
              </w:tabs>
              <w:spacing w:line="240" w:lineRule="exact"/>
              <w:ind w:left="105" w:leftChars="50" w:right="105" w:rightChars="50" w:firstLine="96" w:firstLineChars="46"/>
              <w:jc w:val="center"/>
              <w:rPr>
                <w:rFonts w:hint="default" w:ascii="宋体" w:eastAsia="宋体" w:cs="宋体"/>
              </w:rPr>
            </w:pPr>
            <w:r>
              <w:rPr>
                <w:rFonts w:ascii="宋体" w:cs="宋体"/>
              </w:rPr>
              <w:t>98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hint="default" w:ascii="宋体" w:cs="宋体"/>
              </w:rPr>
            </w:pPr>
          </w:p>
        </w:tc>
        <w:tc>
          <w:tcPr>
            <w:tcW w:w="1867" w:type="pct"/>
            <w:tcMar>
              <w:top w:w="10" w:type="dxa"/>
              <w:left w:w="10" w:type="dxa"/>
              <w:bottom w:w="0" w:type="dxa"/>
              <w:right w:w="10" w:type="dxa"/>
            </w:tcMar>
            <w:vAlign w:val="center"/>
          </w:tcPr>
          <w:p>
            <w:pPr>
              <w:spacing w:line="240" w:lineRule="exact"/>
              <w:ind w:left="105" w:leftChars="50" w:right="105" w:rightChars="50"/>
              <w:rPr>
                <w:rFonts w:hint="default" w:ascii="宋体" w:cs="宋体"/>
              </w:rPr>
            </w:pPr>
          </w:p>
        </w:tc>
      </w:tr>
    </w:tbl>
    <w:p>
      <w:pPr>
        <w:pStyle w:val="2"/>
        <w:rPr>
          <w:rFonts w:hint="default"/>
        </w:rPr>
      </w:pPr>
    </w:p>
    <w:p>
      <w:pPr>
        <w:pStyle w:val="2"/>
        <w:ind w:firstLine="300" w:firstLineChars="100"/>
        <w:rPr>
          <w:rFonts w:ascii="仿宋_GB2312" w:hAnsi="仿宋_GB2312" w:eastAsia="仿宋_GB2312" w:cs="仿宋_GB2312"/>
          <w:sz w:val="30"/>
          <w:szCs w:val="30"/>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pPr>
        <w:pStyle w:val="2"/>
        <w:rPr>
          <w:rFonts w:eastAsia="仿宋_GB2312"/>
        </w:rPr>
      </w:pPr>
    </w:p>
    <w:p>
      <w:pPr>
        <w:rPr>
          <w:rFonts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79464"/>
    <w:multiLevelType w:val="singleLevel"/>
    <w:tmpl w:val="1C7794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6970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jc w:val="both"/>
    </w:pPr>
    <w:rPr>
      <w:rFonts w:hint="eastAsia" w:ascii="Times New Roman" w:hAnsi="Times New Roman" w:eastAsia="Times New Roman"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0"/>
  </w:style>
  <w:style w:type="paragraph" w:styleId="3">
    <w:name w:val="index 5"/>
    <w:basedOn w:val="1"/>
    <w:next w:val="1"/>
    <w:qFormat/>
    <w:uiPriority w:val="0"/>
    <w:pPr>
      <w:ind w:left="1680"/>
    </w:pPr>
  </w:style>
  <w:style w:type="paragraph" w:styleId="4">
    <w:name w:val="Normal (Web)"/>
    <w:basedOn w:val="1"/>
    <w:unhideWhenUsed/>
    <w:qFormat/>
    <w:uiPriority w:val="99"/>
    <w:pPr>
      <w:spacing w:beforeAutospacing="1" w:afterAutospacing="1"/>
      <w:jc w:val="left"/>
    </w:pPr>
    <w:rPr>
      <w:kern w:val="0"/>
      <w:sz w:val="24"/>
    </w:rPr>
  </w:style>
  <w:style w:type="paragraph" w:styleId="7">
    <w:name w:val="List Paragraph"/>
    <w:basedOn w:val="1"/>
    <w:qFormat/>
    <w:uiPriority w:val="34"/>
    <w:pPr>
      <w:ind w:firstLine="420" w:firstLineChars="200"/>
    </w:pPr>
  </w:style>
  <w:style w:type="paragraph" w:customStyle="1" w:styleId="8">
    <w:name w:val="Default"/>
    <w:next w:val="3"/>
    <w:unhideWhenUsed/>
    <w:qFormat/>
    <w:uiPriority w:val="0"/>
    <w:pPr>
      <w:widowControl w:val="0"/>
      <w:autoSpaceDE w:val="0"/>
      <w:autoSpaceDN w:val="0"/>
      <w:adjustRightInd w:val="0"/>
    </w:pPr>
    <w:rPr>
      <w:rFonts w:hint="eastAsia"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2023-06-17T15:50:37Z</dcterms:created>
  <dc:creator>admin-3</dc:creator>
  <cp:lastModifiedBy>admin-3</cp:lastModifiedBy>
  <dcterms:modified xsi:type="dcterms:W3CDTF">2023-06-17T15:51:40Z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3EC5337A4089415ABD2EBFAEF30C631B_12</vt:lpwstr>
  </property>
</Properties>
</file>