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600" w:lineRule="exact"/>
        <w:jc w:val="center"/>
        <w:rPr>
          <w:rFonts w:hint="eastAsia" w:ascii="黑体" w:hAnsi="黑体" w:eastAsia="黑体" w:cs="黑体"/>
          <w:bCs/>
          <w:sz w:val="36"/>
          <w:szCs w:val="36"/>
        </w:rPr>
      </w:pPr>
    </w:p>
    <w:p>
      <w:pPr>
        <w:autoSpaceDE w:val="0"/>
        <w:autoSpaceDN w:val="0"/>
        <w:spacing w:line="600" w:lineRule="exact"/>
        <w:jc w:val="center"/>
        <w:rPr>
          <w:rFonts w:hint="eastAsia" w:ascii="黑体" w:hAnsi="黑体" w:eastAsia="黑体" w:cs="黑体"/>
          <w:bCs/>
          <w:sz w:val="36"/>
          <w:szCs w:val="36"/>
        </w:rPr>
      </w:pPr>
      <w:bookmarkStart w:id="0" w:name="_GoBack"/>
      <w:bookmarkEnd w:id="0"/>
      <w:r>
        <w:rPr>
          <w:rFonts w:hint="eastAsia" w:ascii="黑体" w:hAnsi="黑体" w:eastAsia="黑体" w:cs="黑体"/>
          <w:bCs/>
          <w:sz w:val="36"/>
          <w:szCs w:val="36"/>
        </w:rPr>
        <w:t>益阳</w:t>
      </w:r>
      <w:r>
        <w:rPr>
          <w:rFonts w:hint="eastAsia" w:ascii="黑体" w:hAnsi="黑体" w:eastAsia="黑体" w:cs="黑体"/>
          <w:bCs/>
          <w:sz w:val="36"/>
          <w:szCs w:val="36"/>
          <w:lang w:val="en-US" w:eastAsia="zh-CN"/>
        </w:rPr>
        <w:t>市</w:t>
      </w:r>
      <w:r>
        <w:rPr>
          <w:rFonts w:hint="eastAsia" w:ascii="黑体" w:hAnsi="黑体" w:eastAsia="黑体" w:cs="黑体"/>
          <w:bCs/>
          <w:sz w:val="36"/>
          <w:szCs w:val="36"/>
        </w:rPr>
        <w:t>衡龙新区管理委员会2021年</w:t>
      </w:r>
      <w:r>
        <w:rPr>
          <w:rFonts w:hint="eastAsia" w:ascii="黑体" w:hAnsi="黑体" w:eastAsia="黑体" w:cs="黑体"/>
          <w:bCs/>
          <w:sz w:val="36"/>
          <w:szCs w:val="36"/>
          <w:lang w:eastAsia="zh-CN"/>
        </w:rPr>
        <w:t>度</w:t>
      </w:r>
      <w:r>
        <w:rPr>
          <w:rFonts w:hint="eastAsia" w:ascii="黑体" w:hAnsi="黑体" w:eastAsia="黑体" w:cs="黑体"/>
          <w:bCs/>
          <w:sz w:val="36"/>
          <w:szCs w:val="36"/>
        </w:rPr>
        <w:t>部门</w:t>
      </w:r>
    </w:p>
    <w:p>
      <w:pPr>
        <w:autoSpaceDE w:val="0"/>
        <w:autoSpaceDN w:val="0"/>
        <w:spacing w:line="600" w:lineRule="exact"/>
        <w:jc w:val="center"/>
        <w:rPr>
          <w:rFonts w:ascii="黑体" w:hAnsi="黑体" w:eastAsia="黑体" w:cs="黑体"/>
          <w:bCs/>
          <w:sz w:val="36"/>
          <w:szCs w:val="36"/>
        </w:rPr>
      </w:pPr>
      <w:r>
        <w:rPr>
          <w:rFonts w:hint="eastAsia" w:ascii="黑体" w:hAnsi="黑体" w:eastAsia="黑体" w:cs="黑体"/>
          <w:bCs/>
          <w:sz w:val="36"/>
          <w:szCs w:val="36"/>
        </w:rPr>
        <w:t>整体支出绩效自评报告</w:t>
      </w:r>
    </w:p>
    <w:p>
      <w:pPr>
        <w:autoSpaceDE w:val="0"/>
        <w:autoSpaceDN w:val="0"/>
        <w:spacing w:line="600" w:lineRule="exact"/>
        <w:ind w:firstLine="600" w:firstLineChars="200"/>
        <w:rPr>
          <w:rFonts w:ascii="仿宋" w:hAnsi="仿宋" w:eastAsia="仿宋" w:cs="仿宋"/>
          <w:sz w:val="30"/>
          <w:szCs w:val="30"/>
        </w:rPr>
      </w:pPr>
    </w:p>
    <w:p>
      <w:pPr>
        <w:autoSpaceDE w:val="0"/>
        <w:autoSpaceDN w:val="0"/>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根据区财政局有关文件精神和对预算绩效管理的要求，结合我单位实际，对2021年部门整体支出绩效开展了自评，并报告如下：</w:t>
      </w:r>
    </w:p>
    <w:p>
      <w:pPr>
        <w:autoSpaceDE w:val="0"/>
        <w:autoSpaceDN w:val="0"/>
        <w:spacing w:line="600" w:lineRule="exact"/>
        <w:ind w:firstLine="600" w:firstLineChars="200"/>
        <w:rPr>
          <w:rFonts w:ascii="黑体" w:hAnsi="黑体" w:eastAsia="黑体" w:cs="黑体"/>
          <w:sz w:val="30"/>
          <w:szCs w:val="30"/>
        </w:rPr>
      </w:pPr>
      <w:r>
        <w:rPr>
          <w:rFonts w:hint="eastAsia" w:ascii="黑体" w:hAnsi="黑体" w:eastAsia="黑体" w:cs="黑体"/>
          <w:sz w:val="30"/>
          <w:szCs w:val="30"/>
        </w:rPr>
        <w:t>一、部门基本概况</w:t>
      </w:r>
    </w:p>
    <w:p>
      <w:pPr>
        <w:autoSpaceDE w:val="0"/>
        <w:autoSpaceDN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益阳市赫山区衡龙新区管理委员会为正科级事业单位，属于全额财政拨款补助性质，管委会机关下设党政综合办公室、党建办公室、招商部和企业服务中心、经济发展办公室、社会事务办公室、自然资源和生态环境办公室、社会治安和应急管理办公室、征地拆迁安置办公室、综合执法大队、计划财务部、项目服务中心11个内设机构。截至2021年底，管委会在职人数46人，其中全额事业在编人员20人、经费自理的事业编制数25人。</w:t>
      </w:r>
    </w:p>
    <w:p>
      <w:pPr>
        <w:autoSpaceDE w:val="0"/>
        <w:autoSpaceDN w:val="0"/>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管委会的主要职能是：负责衡龙新区的发展规划、产业政策和优惠政策以及各项具体管理办法的制定及实施；管理协调入园企业项目建设，承担园区各项基础设施、公用设施的建设及管理责任；负责园区内项目的招商引资工作；承担园区内的征地拆迁及安置工作；负责园区农业、民政、社会保障、社会治安、卫生和计划生育、文化等社会事务工作等；承办区人民政府交办的其他事项。</w:t>
      </w:r>
    </w:p>
    <w:p>
      <w:pPr>
        <w:autoSpaceDE w:val="0"/>
        <w:autoSpaceDN w:val="0"/>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根据《会计法》《预算法》《行政单位财务法规》等相关财经法规精神和中央财政部、省财政厅、市区财政局的有关规定，本单位坚决贯彻新《预算法》，制定了严格的内部财务管理制度，并严格执行支出费用联审会签制度、重大事项公布制度等。</w:t>
      </w:r>
    </w:p>
    <w:p>
      <w:pPr>
        <w:autoSpaceDE w:val="0"/>
        <w:autoSpaceDN w:val="0"/>
        <w:spacing w:line="600" w:lineRule="exact"/>
        <w:ind w:firstLine="602" w:firstLineChars="200"/>
        <w:rPr>
          <w:rFonts w:hint="eastAsia" w:ascii="仿宋" w:hAnsi="仿宋" w:eastAsia="仿宋" w:cs="仿宋"/>
          <w:b/>
          <w:bCs/>
          <w:sz w:val="30"/>
          <w:szCs w:val="30"/>
          <w:lang w:eastAsia="zh-CN"/>
        </w:rPr>
      </w:pPr>
      <w:r>
        <w:rPr>
          <w:rFonts w:hint="eastAsia" w:ascii="仿宋" w:hAnsi="仿宋" w:eastAsia="仿宋" w:cs="仿宋"/>
          <w:b/>
          <w:bCs/>
          <w:sz w:val="30"/>
          <w:szCs w:val="30"/>
        </w:rPr>
        <w:t>（一）一般公共预算财政拨款支出</w:t>
      </w:r>
      <w:r>
        <w:rPr>
          <w:rFonts w:hint="eastAsia" w:ascii="仿宋" w:hAnsi="仿宋" w:eastAsia="仿宋" w:cs="仿宋"/>
          <w:b/>
          <w:bCs/>
          <w:sz w:val="30"/>
          <w:szCs w:val="30"/>
          <w:lang w:eastAsia="zh-CN"/>
        </w:rPr>
        <w:t>情况</w:t>
      </w:r>
    </w:p>
    <w:p>
      <w:pPr>
        <w:keepNext w:val="0"/>
        <w:keepLines w:val="0"/>
        <w:pageBreakBefore w:val="0"/>
        <w:kinsoku/>
        <w:wordWrap/>
        <w:overflowPunct/>
        <w:topLinePunct w:val="0"/>
        <w:autoSpaceDN w:val="0"/>
        <w:bidi w:val="0"/>
        <w:spacing w:line="600" w:lineRule="exact"/>
        <w:ind w:right="-42" w:rightChars="-2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2021年</w:t>
      </w:r>
      <w:r>
        <w:rPr>
          <w:rFonts w:hint="eastAsia" w:ascii="仿宋" w:hAnsi="仿宋" w:eastAsia="仿宋" w:cs="仿宋"/>
          <w:b/>
          <w:bCs/>
          <w:sz w:val="30"/>
          <w:szCs w:val="30"/>
        </w:rPr>
        <w:t>一般公共预算财政拨款支出2406.92</w:t>
      </w:r>
      <w:r>
        <w:rPr>
          <w:rFonts w:hint="eastAsia" w:ascii="仿宋" w:hAnsi="仿宋" w:eastAsia="仿宋" w:cs="仿宋"/>
          <w:sz w:val="30"/>
          <w:szCs w:val="30"/>
        </w:rPr>
        <w:t>万元，</w:t>
      </w:r>
      <w:r>
        <w:rPr>
          <w:rFonts w:hint="eastAsia" w:ascii="仿宋" w:hAnsi="仿宋" w:eastAsia="仿宋" w:cs="仿宋"/>
          <w:sz w:val="30"/>
          <w:szCs w:val="30"/>
          <w:lang w:eastAsia="zh-CN"/>
        </w:rPr>
        <w:t>其中：</w:t>
      </w:r>
    </w:p>
    <w:p>
      <w:pPr>
        <w:keepNext w:val="0"/>
        <w:keepLines w:val="0"/>
        <w:pageBreakBefore w:val="0"/>
        <w:numPr>
          <w:ilvl w:val="0"/>
          <w:numId w:val="1"/>
        </w:numPr>
        <w:kinsoku/>
        <w:wordWrap/>
        <w:overflowPunct/>
        <w:topLinePunct w:val="0"/>
        <w:autoSpaceDN w:val="0"/>
        <w:bidi w:val="0"/>
        <w:spacing w:line="600" w:lineRule="exact"/>
        <w:ind w:right="-42" w:rightChars="-2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基本支出：</w:t>
      </w:r>
      <w:r>
        <w:rPr>
          <w:rFonts w:hint="eastAsia" w:ascii="仿宋" w:hAnsi="仿宋" w:eastAsia="仿宋" w:cs="仿宋"/>
          <w:sz w:val="30"/>
          <w:szCs w:val="30"/>
          <w:lang w:val="en-US" w:eastAsia="zh-CN"/>
        </w:rPr>
        <w:t>2021年</w:t>
      </w:r>
      <w:r>
        <w:rPr>
          <w:rFonts w:hint="eastAsia" w:ascii="仿宋" w:hAnsi="仿宋" w:eastAsia="仿宋" w:cs="仿宋"/>
          <w:sz w:val="30"/>
          <w:szCs w:val="30"/>
        </w:rPr>
        <w:t>基本支出</w:t>
      </w:r>
      <w:r>
        <w:rPr>
          <w:rFonts w:hint="eastAsia" w:ascii="仿宋" w:hAnsi="仿宋" w:eastAsia="仿宋" w:cs="仿宋"/>
          <w:sz w:val="30"/>
          <w:szCs w:val="30"/>
          <w:lang w:val="en-US" w:eastAsia="zh-CN"/>
        </w:rPr>
        <w:t>992.19</w:t>
      </w:r>
      <w:r>
        <w:rPr>
          <w:rFonts w:hint="eastAsia" w:ascii="仿宋" w:hAnsi="仿宋" w:eastAsia="仿宋" w:cs="仿宋"/>
          <w:sz w:val="30"/>
          <w:szCs w:val="30"/>
        </w:rPr>
        <w:t>万元，其中人员经费</w:t>
      </w:r>
      <w:r>
        <w:rPr>
          <w:rFonts w:hint="eastAsia" w:ascii="仿宋" w:hAnsi="仿宋" w:eastAsia="仿宋" w:cs="仿宋"/>
          <w:sz w:val="30"/>
          <w:szCs w:val="30"/>
          <w:lang w:val="en-US" w:eastAsia="zh-CN"/>
        </w:rPr>
        <w:t>639.13</w:t>
      </w:r>
      <w:r>
        <w:rPr>
          <w:rFonts w:hint="eastAsia" w:ascii="仿宋" w:hAnsi="仿宋" w:eastAsia="仿宋" w:cs="仿宋"/>
          <w:sz w:val="30"/>
          <w:szCs w:val="30"/>
        </w:rPr>
        <w:t>万元，日常公用经费</w:t>
      </w:r>
      <w:r>
        <w:rPr>
          <w:rFonts w:hint="eastAsia" w:ascii="仿宋" w:hAnsi="仿宋" w:eastAsia="仿宋" w:cs="仿宋"/>
          <w:sz w:val="30"/>
          <w:szCs w:val="30"/>
          <w:lang w:val="en-US" w:eastAsia="zh-CN"/>
        </w:rPr>
        <w:t>353.06</w:t>
      </w:r>
      <w:r>
        <w:rPr>
          <w:rFonts w:hint="eastAsia" w:ascii="仿宋" w:hAnsi="仿宋" w:eastAsia="仿宋" w:cs="仿宋"/>
          <w:sz w:val="30"/>
          <w:szCs w:val="30"/>
        </w:rPr>
        <w:t>万元。</w:t>
      </w:r>
      <w:r>
        <w:rPr>
          <w:rFonts w:hint="eastAsia" w:ascii="仿宋" w:hAnsi="仿宋" w:eastAsia="仿宋" w:cs="仿宋"/>
          <w:sz w:val="30"/>
          <w:szCs w:val="30"/>
          <w:lang w:val="en-US" w:eastAsia="zh-CN"/>
        </w:rPr>
        <w:t>2020年基本支出1011.89万元，其中人员经费688.26万元与本年基本持平，日常公用经费353.06万元，与本年基本持平。</w:t>
      </w:r>
    </w:p>
    <w:p>
      <w:pPr>
        <w:keepNext w:val="0"/>
        <w:keepLines w:val="0"/>
        <w:pageBreakBefore w:val="0"/>
        <w:numPr>
          <w:ilvl w:val="0"/>
          <w:numId w:val="1"/>
        </w:numPr>
        <w:kinsoku/>
        <w:wordWrap/>
        <w:overflowPunct/>
        <w:topLinePunct w:val="0"/>
        <w:autoSpaceDN w:val="0"/>
        <w:bidi w:val="0"/>
        <w:spacing w:line="600" w:lineRule="exact"/>
        <w:ind w:right="-42" w:rightChars="-20"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2021年项目支出1414.73万元</w:t>
      </w:r>
      <w:r>
        <w:rPr>
          <w:rFonts w:hint="eastAsia" w:ascii="仿宋" w:hAnsi="仿宋" w:eastAsia="仿宋" w:cs="仿宋"/>
          <w:sz w:val="30"/>
          <w:szCs w:val="30"/>
        </w:rPr>
        <w:t>。</w:t>
      </w:r>
      <w:r>
        <w:rPr>
          <w:rFonts w:hint="eastAsia" w:ascii="仿宋" w:hAnsi="仿宋" w:eastAsia="仿宋" w:cs="仿宋"/>
          <w:sz w:val="30"/>
          <w:szCs w:val="30"/>
          <w:lang w:val="en-US" w:eastAsia="zh-CN"/>
        </w:rPr>
        <w:t>2020年项目支出为4982.29万元，相比2020年减少了4840.56万元，主要是2021年其他政府办公厅(室）及相关机构事务支出减少了2093.58万元，其他农林水支出减少了2086.8万元。</w:t>
      </w:r>
    </w:p>
    <w:p>
      <w:pPr>
        <w:autoSpaceDE w:val="0"/>
        <w:autoSpaceDN w:val="0"/>
        <w:spacing w:line="600" w:lineRule="exact"/>
        <w:ind w:firstLine="600" w:firstLineChars="200"/>
        <w:rPr>
          <w:rFonts w:ascii="黑体" w:hAnsi="黑体" w:eastAsia="黑体" w:cs="黑体"/>
          <w:sz w:val="30"/>
          <w:szCs w:val="30"/>
        </w:rPr>
      </w:pPr>
      <w:r>
        <w:rPr>
          <w:rFonts w:hint="eastAsia" w:ascii="黑体" w:hAnsi="黑体" w:eastAsia="黑体" w:cs="黑体"/>
          <w:sz w:val="30"/>
          <w:szCs w:val="30"/>
        </w:rPr>
        <w:t>二、部门整体支出管理情况</w:t>
      </w:r>
    </w:p>
    <w:p>
      <w:pPr>
        <w:autoSpaceDE w:val="0"/>
        <w:autoSpaceDN w:val="0"/>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根据《会计法》、《预算法》、《行政单位会计制度》等法律和财政部及省财政厅有关财务规章的规定，衡龙新区管委会进一步修改完善了《衡龙新区管理委员会财务管理制度》、《衡龙新区管理委员会资产管理办法》、《衡龙新区管理委员会关于违反财经纪律行为处理暂行规定》等制度再次明确了经费审批权限及程序，经费预算、核算管理、资产购置与处置、财务监督等。在“三公”经费管理方面再次强调了《衡龙新区管理委员会办公室关于印发实施国内公务接待管理办法细则的通知》、《衡龙新区管理委员会办公室关于印发实施差旅费管理规定的通知》，严格公务接待和差旅费的审批。</w:t>
      </w:r>
    </w:p>
    <w:p>
      <w:pPr>
        <w:autoSpaceDE w:val="0"/>
        <w:autoSpaceDN w:val="0"/>
        <w:spacing w:line="600" w:lineRule="exact"/>
        <w:ind w:firstLine="600" w:firstLineChars="200"/>
        <w:rPr>
          <w:rFonts w:ascii="黑体" w:hAnsi="黑体" w:eastAsia="黑体" w:cs="黑体"/>
          <w:sz w:val="30"/>
          <w:szCs w:val="30"/>
        </w:rPr>
      </w:pPr>
      <w:r>
        <w:rPr>
          <w:rFonts w:hint="eastAsia" w:ascii="黑体" w:hAnsi="黑体" w:eastAsia="黑体" w:cs="黑体"/>
          <w:sz w:val="30"/>
          <w:szCs w:val="30"/>
        </w:rPr>
        <w:t>三、绩效评价工作情况</w:t>
      </w:r>
    </w:p>
    <w:p>
      <w:pPr>
        <w:autoSpaceDE w:val="0"/>
        <w:autoSpaceDN w:val="0"/>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根据财政部门对部门预算绩效管理工作的要求，对本单位的预算管理、预算配置、预算执行情况、职责履行、履职效率和部门新增财政支出、一般性支出、会议支出、办公经费支出、工资支出管理、厉行节约、保障措施等方面的执行情况进行了自评，形成了评价结论。</w:t>
      </w:r>
    </w:p>
    <w:p>
      <w:pPr>
        <w:autoSpaceDE w:val="0"/>
        <w:autoSpaceDN w:val="0"/>
        <w:spacing w:line="600" w:lineRule="exact"/>
        <w:ind w:firstLine="600" w:firstLineChars="200"/>
        <w:rPr>
          <w:rFonts w:ascii="黑体" w:hAnsi="黑体" w:eastAsia="黑体" w:cs="黑体"/>
          <w:sz w:val="30"/>
          <w:szCs w:val="30"/>
        </w:rPr>
      </w:pPr>
      <w:r>
        <w:rPr>
          <w:rFonts w:hint="eastAsia" w:ascii="黑体" w:hAnsi="黑体" w:eastAsia="黑体" w:cs="黑体"/>
          <w:sz w:val="30"/>
          <w:szCs w:val="30"/>
        </w:rPr>
        <w:t>四、部门整体支出绩效情况</w:t>
      </w:r>
    </w:p>
    <w:p>
      <w:pPr>
        <w:autoSpaceDE w:val="0"/>
        <w:autoSpaceDN w:val="0"/>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2021年，衡龙新区管理委员会突出抓改革强监管促发展，各方面工作稳步推进，根据《部门整体支出绩效评价指标》评分表自评得分95.5分，财政支出绩效为“良好”。主要绩效如下：</w:t>
      </w:r>
    </w:p>
    <w:p>
      <w:pPr>
        <w:autoSpaceDE w:val="0"/>
        <w:autoSpaceDN w:val="0"/>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1.衡龙新区实现规模工业总产值17.8亿元，同比增长22%；完成规模工业增加值4.6亿元，同比增长23%；固定资产投资80亿元，同比增长6%，其中工业项目投资74.2亿元，占比92%，同比增长13.2%。2、益阳龙岭工业集中区实施“一园带多区”战略，建成了龙岭核心区、泉交河片区、衡龙桥片区、中医药产业园等特色园区。</w:t>
      </w:r>
    </w:p>
    <w:p>
      <w:pPr>
        <w:autoSpaceDE w:val="0"/>
        <w:autoSpaceDN w:val="0"/>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2.园区共有重点建设项目12个，2021年计划投资13.92亿元，截至11月底完成投13.436亿元。其中续建项目8个，已经完成投资12.218亿元。万洋众创第二批五栋钢结构厂房已封顶，第三批四栋已封顶。江丰电子一号厂房已投产，2号厂房、3号厂房装修已完成。隆平高科共计9栋厂房装修已全部完成。2021年新开工项目4个，已完成投资1.218亿元。博恩新材、凯祥金属已投产，涌鑫新材已完成5条生产线建设，4条生产线正在试生产。</w:t>
      </w:r>
    </w:p>
    <w:p>
      <w:pPr>
        <w:autoSpaceDE w:val="0"/>
        <w:autoSpaceDN w:val="0"/>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3.全年深入对接洽谈项目80余个，接待客商700余人次,签约引进湖南粤浙医美智造产业链项目、湘汉科技、壹纳光电、祥和电子、宏杉新能源等42个项目（含万洋），签约项目数量同比增长240%，合同引资共52.5亿元，同比增长290%</w:t>
      </w:r>
    </w:p>
    <w:p>
      <w:pPr>
        <w:autoSpaceDE w:val="0"/>
        <w:autoSpaceDN w:val="0"/>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4.引进万洋集团等社会资本打造省级重点项目——益阳万洋众创科技示范基地，推行“PBOS”模式（P定位、B建设模式、O运营、S资源共享），以市场化方式一揽子解决园区的规划、设计、招商等问题，推动园区开发从政府建园向市场建园、行政招商向市场招商、项目集聚向链条集聚、包揽服务向专业服务转变，有效破解了园区开发“招商、用地、建设、融资、服务”五大难题。该项目总投资100亿元，用地面积为2250亩，总建筑面积约300万平方米，能容纳中小企业900家，解决就业3万人，可实现工业产值超50亿，年创税超3亿元，走出了园区市场化改革、集约化发展、高效化运营之路，实现产业成长好、企业效益好、地方税收好、园区品牌好的高质量发展多赢局面。</w:t>
      </w:r>
    </w:p>
    <w:p>
      <w:pPr>
        <w:autoSpaceDE w:val="0"/>
        <w:autoSpaceDN w:val="0"/>
        <w:spacing w:line="600" w:lineRule="exact"/>
        <w:ind w:firstLine="600" w:firstLineChars="200"/>
        <w:rPr>
          <w:rFonts w:ascii="黑体" w:hAnsi="黑体" w:eastAsia="黑体" w:cs="黑体"/>
          <w:sz w:val="30"/>
          <w:szCs w:val="30"/>
        </w:rPr>
      </w:pPr>
      <w:r>
        <w:rPr>
          <w:rFonts w:hint="eastAsia" w:ascii="黑体" w:hAnsi="黑体" w:eastAsia="黑体" w:cs="黑体"/>
          <w:sz w:val="30"/>
          <w:szCs w:val="30"/>
        </w:rPr>
        <w:t>五、存在的主要问题</w:t>
      </w:r>
    </w:p>
    <w:p>
      <w:pPr>
        <w:autoSpaceDE w:val="0"/>
        <w:autoSpaceDN w:val="0"/>
        <w:spacing w:line="600" w:lineRule="exact"/>
        <w:ind w:firstLine="602" w:firstLineChars="200"/>
        <w:rPr>
          <w:rFonts w:ascii="仿宋" w:hAnsi="仿宋" w:eastAsia="仿宋" w:cs="仿宋"/>
          <w:sz w:val="30"/>
          <w:szCs w:val="30"/>
        </w:rPr>
      </w:pPr>
      <w:r>
        <w:rPr>
          <w:rFonts w:hint="eastAsia" w:ascii="仿宋" w:hAnsi="仿宋" w:eastAsia="仿宋" w:cs="仿宋"/>
          <w:b/>
          <w:bCs/>
          <w:sz w:val="30"/>
          <w:szCs w:val="30"/>
        </w:rPr>
        <w:t>（一）人员编制及经费不足。</w:t>
      </w:r>
      <w:r>
        <w:rPr>
          <w:rFonts w:hint="eastAsia" w:ascii="仿宋" w:hAnsi="仿宋" w:eastAsia="仿宋" w:cs="仿宋"/>
          <w:sz w:val="30"/>
          <w:szCs w:val="30"/>
        </w:rPr>
        <w:t>截至2020年底，本单位在职人数46人，其中全额在编人员20人，其余为自收自支和借调人员。从上述人员构成来看，全额财政供养人员仅占实有人员的43.4%，即表明财政拨款的人员经费远远不够，剩余56.6%的人员经费要靠本单位自行解决。实际上，本单位是一个纯管理机构，没有任何收入来源，目前人员经费严重不足，无法满足正常运营需求。</w:t>
      </w:r>
    </w:p>
    <w:p>
      <w:pPr>
        <w:autoSpaceDE w:val="0"/>
        <w:autoSpaceDN w:val="0"/>
        <w:spacing w:line="600" w:lineRule="exact"/>
        <w:ind w:firstLine="602" w:firstLineChars="200"/>
        <w:rPr>
          <w:rFonts w:ascii="仿宋" w:hAnsi="仿宋" w:eastAsia="仿宋" w:cs="仿宋"/>
          <w:sz w:val="30"/>
          <w:szCs w:val="30"/>
        </w:rPr>
      </w:pPr>
      <w:r>
        <w:rPr>
          <w:rFonts w:hint="eastAsia" w:ascii="仿宋" w:hAnsi="仿宋" w:eastAsia="仿宋" w:cs="仿宋"/>
          <w:b/>
          <w:bCs/>
          <w:sz w:val="30"/>
          <w:szCs w:val="30"/>
        </w:rPr>
        <w:t>（二）财政收支矛盾突出。</w:t>
      </w:r>
      <w:r>
        <w:rPr>
          <w:rFonts w:hint="eastAsia" w:ascii="仿宋" w:hAnsi="仿宋" w:eastAsia="仿宋" w:cs="仿宋"/>
          <w:sz w:val="30"/>
          <w:szCs w:val="30"/>
        </w:rPr>
        <w:t>本单位没有行政事业性收费及其他收入来源，而园区许多项目正处于开发建设阶段，已入驻园区的企业大都未正式投产，还没有创造产值，因此目前也不能为财政增收，而托江丰、万洋等项目建设相继铺开，需要投入大量资金，收支矛盾极为突出。</w:t>
      </w:r>
    </w:p>
    <w:p>
      <w:pPr>
        <w:autoSpaceDE w:val="0"/>
        <w:autoSpaceDN w:val="0"/>
        <w:spacing w:line="600" w:lineRule="exact"/>
        <w:ind w:firstLine="600" w:firstLineChars="200"/>
        <w:rPr>
          <w:rFonts w:ascii="黑体" w:hAnsi="黑体" w:eastAsia="黑体" w:cs="黑体"/>
          <w:sz w:val="30"/>
          <w:szCs w:val="30"/>
        </w:rPr>
      </w:pPr>
      <w:r>
        <w:rPr>
          <w:rFonts w:hint="eastAsia" w:ascii="黑体" w:hAnsi="黑体" w:eastAsia="黑体" w:cs="黑体"/>
          <w:sz w:val="30"/>
          <w:szCs w:val="30"/>
        </w:rPr>
        <w:t>六、改进措施和有关建议</w:t>
      </w:r>
    </w:p>
    <w:p>
      <w:pPr>
        <w:autoSpaceDE w:val="0"/>
        <w:autoSpaceDN w:val="0"/>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鉴于本单位的特殊性及发展需要，建议上级财政部门加大对本单位的倾斜力度，增加一定的自收自支人员经费。</w:t>
      </w:r>
    </w:p>
    <w:p>
      <w:pPr>
        <w:autoSpaceDE w:val="0"/>
        <w:autoSpaceDN w:val="0"/>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附件：2021年度部门整体支出绩效自评指标计分表</w:t>
      </w:r>
    </w:p>
    <w:p>
      <w:pPr>
        <w:spacing w:beforeLines="50" w:afterLines="50" w:line="600" w:lineRule="exact"/>
        <w:ind w:firstLine="600" w:firstLineChars="200"/>
        <w:jc w:val="center"/>
        <w:rPr>
          <w:rFonts w:ascii="黑体" w:hAnsi="黑体" w:eastAsia="黑体" w:cs="黑体"/>
          <w:sz w:val="30"/>
          <w:szCs w:val="30"/>
        </w:rPr>
      </w:pPr>
      <w:r>
        <w:rPr>
          <w:rFonts w:hint="eastAsia" w:ascii="黑体" w:hAnsi="黑体" w:eastAsia="黑体" w:cs="黑体"/>
          <w:sz w:val="30"/>
          <w:szCs w:val="30"/>
        </w:rPr>
        <w:t>2021年度部门整体支出绩效自评指标计分表</w:t>
      </w:r>
    </w:p>
    <w:tbl>
      <w:tblPr>
        <w:tblStyle w:val="2"/>
        <w:tblW w:w="53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8"/>
        <w:gridCol w:w="704"/>
        <w:gridCol w:w="939"/>
        <w:gridCol w:w="737"/>
        <w:gridCol w:w="2981"/>
        <w:gridCol w:w="3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blHeader/>
          <w:jc w:val="center"/>
        </w:trPr>
        <w:tc>
          <w:tcPr>
            <w:tcW w:w="303" w:type="pct"/>
            <w:tcMar>
              <w:top w:w="10" w:type="dxa"/>
              <w:left w:w="10" w:type="dxa"/>
              <w:bottom w:w="0" w:type="dxa"/>
              <w:right w:w="10" w:type="dxa"/>
            </w:tcMar>
            <w:vAlign w:val="center"/>
          </w:tcPr>
          <w:p>
            <w:pPr>
              <w:spacing w:line="240" w:lineRule="exact"/>
              <w:jc w:val="center"/>
              <w:rPr>
                <w:rFonts w:ascii="宋体" w:cs="宋体"/>
                <w:b/>
                <w:bCs/>
              </w:rPr>
            </w:pPr>
            <w:r>
              <w:rPr>
                <w:rFonts w:hint="eastAsia" w:ascii="宋体" w:hAnsi="宋体" w:cs="宋体"/>
                <w:b/>
                <w:bCs/>
              </w:rPr>
              <w:t>一级</w:t>
            </w:r>
            <w:r>
              <w:rPr>
                <w:rFonts w:ascii="宋体" w:cs="宋体"/>
                <w:b/>
                <w:bCs/>
              </w:rPr>
              <w:br w:type="textWrapping"/>
            </w:r>
            <w:r>
              <w:rPr>
                <w:rFonts w:hint="eastAsia" w:ascii="宋体" w:hAnsi="宋体" w:cs="宋体"/>
                <w:b/>
                <w:bCs/>
              </w:rPr>
              <w:t>指标</w:t>
            </w:r>
          </w:p>
        </w:tc>
        <w:tc>
          <w:tcPr>
            <w:tcW w:w="375" w:type="pct"/>
            <w:tcMar>
              <w:top w:w="10" w:type="dxa"/>
              <w:left w:w="10" w:type="dxa"/>
              <w:bottom w:w="0" w:type="dxa"/>
              <w:right w:w="10" w:type="dxa"/>
            </w:tcMar>
            <w:vAlign w:val="center"/>
          </w:tcPr>
          <w:p>
            <w:pPr>
              <w:spacing w:line="240" w:lineRule="exact"/>
              <w:ind w:right="-174" w:rightChars="-83"/>
              <w:jc w:val="center"/>
              <w:rPr>
                <w:rFonts w:ascii="宋体" w:cs="宋体"/>
                <w:b/>
                <w:bCs/>
              </w:rPr>
            </w:pPr>
            <w:r>
              <w:rPr>
                <w:rFonts w:hint="eastAsia" w:ascii="宋体" w:hAnsi="宋体" w:cs="宋体"/>
                <w:b/>
                <w:bCs/>
              </w:rPr>
              <w:t>二级</w:t>
            </w:r>
          </w:p>
          <w:p>
            <w:pPr>
              <w:spacing w:line="240" w:lineRule="exact"/>
              <w:ind w:right="-174" w:rightChars="-83"/>
              <w:jc w:val="center"/>
              <w:rPr>
                <w:rFonts w:ascii="宋体" w:cs="宋体"/>
                <w:b/>
                <w:bCs/>
              </w:rPr>
            </w:pPr>
            <w:r>
              <w:rPr>
                <w:rFonts w:hint="eastAsia" w:ascii="宋体" w:hAnsi="宋体" w:cs="宋体"/>
                <w:b/>
                <w:bCs/>
              </w:rPr>
              <w:t>指标</w:t>
            </w:r>
          </w:p>
        </w:tc>
        <w:tc>
          <w:tcPr>
            <w:tcW w:w="499" w:type="pct"/>
            <w:tcMar>
              <w:top w:w="10" w:type="dxa"/>
              <w:left w:w="10" w:type="dxa"/>
              <w:bottom w:w="0" w:type="dxa"/>
              <w:right w:w="10" w:type="dxa"/>
            </w:tcMar>
            <w:vAlign w:val="center"/>
          </w:tcPr>
          <w:p>
            <w:pPr>
              <w:spacing w:line="240" w:lineRule="exact"/>
              <w:jc w:val="center"/>
              <w:rPr>
                <w:rFonts w:ascii="宋体" w:cs="宋体"/>
                <w:b/>
                <w:bCs/>
              </w:rPr>
            </w:pPr>
            <w:r>
              <w:rPr>
                <w:rFonts w:hint="eastAsia" w:ascii="宋体" w:hAnsi="宋体" w:cs="宋体"/>
                <w:b/>
                <w:bCs/>
              </w:rPr>
              <w:t>三级</w:t>
            </w:r>
          </w:p>
          <w:p>
            <w:pPr>
              <w:spacing w:line="240" w:lineRule="exact"/>
              <w:jc w:val="center"/>
              <w:rPr>
                <w:rFonts w:ascii="宋体" w:cs="宋体"/>
                <w:b/>
                <w:bCs/>
              </w:rPr>
            </w:pPr>
            <w:r>
              <w:rPr>
                <w:rFonts w:hint="eastAsia" w:ascii="宋体" w:hAnsi="宋体" w:cs="宋体"/>
                <w:b/>
                <w:bCs/>
              </w:rPr>
              <w:t>指标</w:t>
            </w:r>
          </w:p>
        </w:tc>
        <w:tc>
          <w:tcPr>
            <w:tcW w:w="375" w:type="pct"/>
            <w:vAlign w:val="center"/>
          </w:tcPr>
          <w:p>
            <w:pPr>
              <w:spacing w:line="240" w:lineRule="exact"/>
              <w:ind w:left="105" w:leftChars="50" w:right="105" w:rightChars="50"/>
              <w:jc w:val="center"/>
              <w:rPr>
                <w:rFonts w:ascii="宋体" w:cs="宋体"/>
                <w:b/>
                <w:bCs/>
              </w:rPr>
            </w:pPr>
            <w:r>
              <w:rPr>
                <w:rFonts w:hint="eastAsia" w:ascii="宋体" w:hAnsi="宋体" w:cs="宋体"/>
                <w:b/>
                <w:bCs/>
              </w:rPr>
              <w:t>自评分</w:t>
            </w:r>
          </w:p>
        </w:tc>
        <w:tc>
          <w:tcPr>
            <w:tcW w:w="1577" w:type="pct"/>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指标解释</w:t>
            </w:r>
          </w:p>
        </w:tc>
        <w:tc>
          <w:tcPr>
            <w:tcW w:w="1868" w:type="pct"/>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2" w:hRule="atLeast"/>
          <w:jc w:val="center"/>
        </w:trPr>
        <w:tc>
          <w:tcPr>
            <w:tcW w:w="303"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投入（</w:t>
            </w:r>
            <w:r>
              <w:rPr>
                <w:rFonts w:ascii="宋体" w:hAnsi="宋体" w:cs="宋体"/>
              </w:rPr>
              <w:t>20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目标</w:t>
            </w:r>
            <w:r>
              <w:rPr>
                <w:rFonts w:ascii="宋体" w:cs="宋体"/>
              </w:rPr>
              <w:br w:type="textWrapping"/>
            </w:r>
            <w:r>
              <w:rPr>
                <w:rFonts w:hint="eastAsia" w:ascii="宋体" w:hAnsi="宋体" w:cs="宋体"/>
              </w:rPr>
              <w:t>设定（</w:t>
            </w:r>
            <w:r>
              <w:rPr>
                <w:rFonts w:ascii="宋体" w:hAnsi="宋体" w:cs="宋体"/>
              </w:rPr>
              <w:t>5</w:t>
            </w:r>
            <w:r>
              <w:rPr>
                <w:rFonts w:hint="eastAsia" w:ascii="宋体" w:hAnsi="宋体" w:cs="宋体"/>
              </w:rPr>
              <w:t>分）</w:t>
            </w:r>
          </w:p>
        </w:tc>
        <w:tc>
          <w:tcPr>
            <w:tcW w:w="499"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绩效目标</w:t>
            </w:r>
          </w:p>
          <w:p>
            <w:pPr>
              <w:spacing w:line="240" w:lineRule="exact"/>
              <w:jc w:val="center"/>
              <w:rPr>
                <w:rFonts w:ascii="宋体" w:cs="宋体"/>
              </w:rPr>
            </w:pPr>
            <w:r>
              <w:rPr>
                <w:rFonts w:hint="eastAsia" w:ascii="宋体" w:hAnsi="宋体" w:cs="宋体"/>
              </w:rPr>
              <w:t>合理性（</w:t>
            </w:r>
            <w:r>
              <w:rPr>
                <w:rFonts w:ascii="宋体" w:hAnsi="宋体" w:cs="宋体"/>
              </w:rPr>
              <w:t>2</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r>
              <w:rPr>
                <w:rFonts w:hint="eastAsia" w:ascii="宋体" w:cs="宋体"/>
              </w:rPr>
              <w:t>2</w:t>
            </w:r>
          </w:p>
        </w:tc>
        <w:tc>
          <w:tcPr>
            <w:tcW w:w="157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部门所设立的整体绩效目标依据是否充分，是否符合客观实际，用以反映和考核部门整体绩效目标与部门履职、年度工作任务的相符性情况。</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①是否符合国家法律法规、国民经济和社会发展总体规划；</w:t>
            </w:r>
            <w:r>
              <w:rPr>
                <w:rFonts w:ascii="宋体" w:cs="宋体"/>
              </w:rPr>
              <w:br w:type="textWrapping"/>
            </w:r>
            <w:r>
              <w:rPr>
                <w:rFonts w:hint="eastAsia" w:ascii="宋体" w:hAnsi="宋体" w:cs="宋体"/>
              </w:rPr>
              <w:t>②是否符合部门“三定”方案确定的职责；</w:t>
            </w:r>
            <w:r>
              <w:rPr>
                <w:rFonts w:ascii="宋体" w:cs="宋体"/>
              </w:rPr>
              <w:br w:type="textWrapping"/>
            </w:r>
            <w:r>
              <w:rPr>
                <w:rFonts w:hint="eastAsia" w:ascii="宋体" w:hAnsi="宋体" w:cs="宋体"/>
              </w:rPr>
              <w:t>③是否符合部门制定的中长期实施规划。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7" w:hRule="atLeast"/>
          <w:jc w:val="center"/>
        </w:trPr>
        <w:tc>
          <w:tcPr>
            <w:tcW w:w="303"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499"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绩效指标</w:t>
            </w:r>
          </w:p>
          <w:p>
            <w:pPr>
              <w:spacing w:line="240" w:lineRule="exact"/>
              <w:jc w:val="center"/>
              <w:rPr>
                <w:rFonts w:ascii="宋体" w:cs="宋体"/>
              </w:rPr>
            </w:pPr>
            <w:r>
              <w:rPr>
                <w:rFonts w:hint="eastAsia" w:ascii="宋体" w:hAnsi="宋体" w:cs="宋体"/>
              </w:rPr>
              <w:t>明确性（</w:t>
            </w:r>
            <w:r>
              <w:rPr>
                <w:rFonts w:ascii="宋体" w:hAnsi="宋体" w:cs="宋体"/>
              </w:rPr>
              <w:t>3</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3</w:t>
            </w:r>
          </w:p>
        </w:tc>
        <w:tc>
          <w:tcPr>
            <w:tcW w:w="157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部门依据整体绩效目标所设定的绩效指标是否清晰、细化、可衡量，用以反映和考核部门整体绩效目标的明细化情况。</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①是否将部门整体的绩效目标细化分解为具体的工作任务；</w:t>
            </w:r>
            <w:r>
              <w:rPr>
                <w:rFonts w:ascii="宋体" w:cs="宋体"/>
              </w:rPr>
              <w:br w:type="textWrapping"/>
            </w:r>
            <w:r>
              <w:rPr>
                <w:rFonts w:hint="eastAsia" w:ascii="宋体" w:hAnsi="宋体" w:cs="宋体"/>
              </w:rPr>
              <w:t>②是否通过清晰、可衡量的指标值予以体现。③是否与部门年度的任务数或计划数相对应；</w:t>
            </w:r>
            <w:r>
              <w:rPr>
                <w:rFonts w:ascii="宋体" w:cs="宋体"/>
              </w:rPr>
              <w:br w:type="textWrapping"/>
            </w:r>
            <w:r>
              <w:rPr>
                <w:rFonts w:hint="eastAsia" w:ascii="宋体" w:hAnsi="宋体" w:cs="宋体"/>
              </w:rPr>
              <w:t>④是否与本年度部门预算资金相匹配。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1" w:hRule="atLeast"/>
          <w:jc w:val="center"/>
        </w:trPr>
        <w:tc>
          <w:tcPr>
            <w:tcW w:w="303" w:type="pct"/>
            <w:vMerge w:val="continue"/>
            <w:vAlign w:val="center"/>
          </w:tcPr>
          <w:p>
            <w:pPr>
              <w:spacing w:line="240" w:lineRule="exact"/>
              <w:rPr>
                <w:rFonts w:ascii="宋体" w:cs="宋体"/>
              </w:rPr>
            </w:pP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配置（</w:t>
            </w:r>
            <w:r>
              <w:rPr>
                <w:rFonts w:ascii="宋体" w:hAnsi="宋体" w:cs="宋体"/>
              </w:rPr>
              <w:t>15</w:t>
            </w:r>
            <w:r>
              <w:rPr>
                <w:rFonts w:hint="eastAsia" w:ascii="宋体" w:hAnsi="宋体" w:cs="宋体"/>
              </w:rPr>
              <w:t>分）</w:t>
            </w:r>
          </w:p>
        </w:tc>
        <w:tc>
          <w:tcPr>
            <w:tcW w:w="499"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在职人员</w:t>
            </w:r>
          </w:p>
          <w:p>
            <w:pPr>
              <w:spacing w:line="240" w:lineRule="exact"/>
              <w:jc w:val="center"/>
              <w:rPr>
                <w:rFonts w:ascii="宋体" w:cs="宋体"/>
              </w:rPr>
            </w:pPr>
            <w:r>
              <w:rPr>
                <w:rFonts w:hint="eastAsia" w:ascii="宋体" w:hAnsi="宋体" w:cs="宋体"/>
              </w:rPr>
              <w:t>控制率（</w:t>
            </w:r>
            <w:r>
              <w:rPr>
                <w:rFonts w:ascii="宋体" w:hAnsi="宋体" w:cs="宋体"/>
              </w:rPr>
              <w:t>5</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right="105" w:rightChars="50"/>
              <w:rPr>
                <w:rFonts w:ascii="宋体" w:eastAsia="宋体" w:cs="宋体"/>
              </w:rPr>
            </w:pPr>
            <w:r>
              <w:rPr>
                <w:rFonts w:hint="eastAsia" w:ascii="宋体" w:cs="宋体"/>
              </w:rPr>
              <w:t>5</w:t>
            </w:r>
          </w:p>
        </w:tc>
        <w:tc>
          <w:tcPr>
            <w:tcW w:w="157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部门本年度实际在职人员数与编制数的比率，用以反映和考核部门对人员成本的控制程度。</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在职人员控制率</w:t>
            </w:r>
            <w:r>
              <w:rPr>
                <w:rFonts w:ascii="宋体" w:hAnsi="宋体" w:cs="宋体"/>
              </w:rPr>
              <w:t>=</w:t>
            </w:r>
            <w:r>
              <w:rPr>
                <w:rFonts w:hint="eastAsia" w:ascii="宋体" w:hAnsi="宋体" w:cs="宋体"/>
              </w:rPr>
              <w:t>（在职人员数</w:t>
            </w:r>
            <w:r>
              <w:rPr>
                <w:rFonts w:ascii="宋体" w:hAnsi="宋体" w:cs="宋体"/>
              </w:rPr>
              <w:t>/</w:t>
            </w:r>
            <w:r>
              <w:rPr>
                <w:rFonts w:hint="eastAsia" w:ascii="宋体" w:hAnsi="宋体" w:cs="宋体"/>
              </w:rPr>
              <w:t>编制数）×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在职人员数：部门实际在职人数，以财政部确定的部门决算编制口径为准。</w:t>
            </w:r>
            <w:r>
              <w:rPr>
                <w:rFonts w:ascii="宋体" w:cs="宋体"/>
              </w:rPr>
              <w:br w:type="textWrapping"/>
            </w:r>
            <w:r>
              <w:rPr>
                <w:rFonts w:hint="eastAsia" w:ascii="宋体" w:hAnsi="宋体" w:cs="宋体"/>
              </w:rPr>
              <w:t>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303"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499"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“三公经费”</w:t>
            </w:r>
          </w:p>
          <w:p>
            <w:pPr>
              <w:spacing w:line="240" w:lineRule="exact"/>
              <w:jc w:val="center"/>
              <w:rPr>
                <w:rFonts w:ascii="宋体" w:cs="宋体"/>
              </w:rPr>
            </w:pPr>
            <w:r>
              <w:rPr>
                <w:rFonts w:hint="eastAsia" w:ascii="宋体" w:hAnsi="宋体" w:cs="宋体"/>
              </w:rPr>
              <w:t>变动率（</w:t>
            </w:r>
            <w:r>
              <w:rPr>
                <w:rFonts w:ascii="宋体" w:hAnsi="宋体" w:cs="宋体"/>
              </w:rPr>
              <w:t>5</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5</w:t>
            </w:r>
          </w:p>
        </w:tc>
        <w:tc>
          <w:tcPr>
            <w:tcW w:w="157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部门本年度“三公经费”预算数与上年度“三公经费”预算数的变动比率，用以反映和考核部门对控制重点行政成本的努力程度。</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“三公经费”变动率</w:t>
            </w:r>
            <w:r>
              <w:rPr>
                <w:rFonts w:ascii="宋体" w:hAnsi="宋体" w:cs="宋体"/>
              </w:rPr>
              <w:t>=[</w:t>
            </w:r>
            <w:r>
              <w:rPr>
                <w:rFonts w:hint="eastAsia" w:ascii="宋体" w:hAnsi="宋体" w:cs="宋体"/>
              </w:rPr>
              <w:t>（本年度“三公经费”总额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0" w:hRule="atLeast"/>
          <w:jc w:val="center"/>
        </w:trPr>
        <w:tc>
          <w:tcPr>
            <w:tcW w:w="303"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499"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重点支出</w:t>
            </w:r>
          </w:p>
          <w:p>
            <w:pPr>
              <w:spacing w:line="240" w:lineRule="exact"/>
              <w:jc w:val="center"/>
              <w:rPr>
                <w:rFonts w:ascii="宋体" w:cs="宋体"/>
              </w:rPr>
            </w:pPr>
            <w:r>
              <w:rPr>
                <w:rFonts w:hint="eastAsia" w:ascii="宋体" w:hAnsi="宋体" w:cs="宋体"/>
              </w:rPr>
              <w:t>安排率（</w:t>
            </w:r>
            <w:r>
              <w:rPr>
                <w:rFonts w:ascii="宋体" w:hAnsi="宋体" w:cs="宋体"/>
              </w:rPr>
              <w:t>5</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5</w:t>
            </w:r>
          </w:p>
        </w:tc>
        <w:tc>
          <w:tcPr>
            <w:tcW w:w="157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部门本年度预算安排的重点预算支出与部门预算总支出的比率，用以反映和考核部门对履行主要职责或完成重点任务的保障程度。</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重点支出安排率</w:t>
            </w:r>
            <w:r>
              <w:rPr>
                <w:rFonts w:ascii="宋体" w:hAnsi="宋体" w:cs="宋体"/>
              </w:rPr>
              <w:t>=</w:t>
            </w:r>
            <w:r>
              <w:rPr>
                <w:rFonts w:hint="eastAsia" w:ascii="宋体" w:hAnsi="宋体" w:cs="宋体"/>
              </w:rPr>
              <w:t>（重点预算支出</w:t>
            </w:r>
            <w:r>
              <w:rPr>
                <w:rFonts w:ascii="宋体" w:hAnsi="宋体" w:cs="宋体"/>
              </w:rPr>
              <w:t>/</w:t>
            </w:r>
            <w:r>
              <w:rPr>
                <w:rFonts w:hint="eastAsia" w:ascii="宋体" w:hAnsi="宋体" w:cs="宋体"/>
              </w:rPr>
              <w:t>预算总支出）×</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重点预算支出：部门年度预算安排的，与本部门履职和发展密切相关、具有明显社会和经济影响、党委政府关心或社会比较关注的预算支出支出总额。</w:t>
            </w:r>
            <w:r>
              <w:rPr>
                <w:rFonts w:ascii="宋体" w:cs="宋体"/>
              </w:rPr>
              <w:br w:type="textWrapping"/>
            </w:r>
            <w:r>
              <w:rPr>
                <w:rFonts w:hint="eastAsia" w:ascii="宋体" w:hAnsi="宋体" w:cs="宋体"/>
              </w:rPr>
              <w:t>预算总支出：部门年度预算安排的预算支出支出总额。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jc w:val="center"/>
        </w:trPr>
        <w:tc>
          <w:tcPr>
            <w:tcW w:w="303"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过程（</w:t>
            </w:r>
            <w:r>
              <w:rPr>
                <w:rFonts w:ascii="宋体" w:hAnsi="宋体" w:cs="宋体"/>
              </w:rPr>
              <w:t>30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执行（</w:t>
            </w:r>
            <w:r>
              <w:rPr>
                <w:rFonts w:ascii="宋体" w:hAnsi="宋体" w:cs="宋体"/>
              </w:rPr>
              <w:t>20</w:t>
            </w:r>
            <w:r>
              <w:rPr>
                <w:rFonts w:hint="eastAsia" w:ascii="宋体" w:hAnsi="宋体" w:cs="宋体"/>
              </w:rPr>
              <w:t>分）</w:t>
            </w:r>
          </w:p>
        </w:tc>
        <w:tc>
          <w:tcPr>
            <w:tcW w:w="499"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执行率（</w:t>
            </w:r>
            <w:r>
              <w:rPr>
                <w:rFonts w:ascii="宋体" w:hAnsi="宋体" w:cs="宋体"/>
              </w:rPr>
              <w:t>4</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4</w:t>
            </w:r>
          </w:p>
        </w:tc>
        <w:tc>
          <w:tcPr>
            <w:tcW w:w="157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部门本年度预算完成数与预算数的比率，用以反映和考核部门预算完成程度。</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预算执行率</w:t>
            </w:r>
            <w:r>
              <w:rPr>
                <w:rFonts w:ascii="宋体" w:hAnsi="宋体" w:cs="宋体"/>
              </w:rPr>
              <w:t>=</w:t>
            </w:r>
            <w:r>
              <w:rPr>
                <w:rFonts w:hint="eastAsia" w:ascii="宋体" w:hAnsi="宋体" w:cs="宋体"/>
              </w:rPr>
              <w:t>（预算执行数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预算执行数：部门本年度实际完成的预算数。</w:t>
            </w:r>
            <w:r>
              <w:rPr>
                <w:rFonts w:ascii="宋体" w:cs="宋体"/>
              </w:rPr>
              <w:br w:type="textWrapping"/>
            </w:r>
            <w:r>
              <w:rPr>
                <w:rFonts w:hint="eastAsia" w:ascii="宋体" w:hAnsi="宋体" w:cs="宋体"/>
              </w:rPr>
              <w:t>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303"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499"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调整率（</w:t>
            </w:r>
            <w:r>
              <w:rPr>
                <w:rFonts w:ascii="宋体" w:hAnsi="宋体" w:cs="宋体"/>
              </w:rPr>
              <w:t>2</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r>
              <w:rPr>
                <w:rFonts w:hint="eastAsia" w:ascii="宋体" w:cs="宋体"/>
              </w:rPr>
              <w:t>2</w:t>
            </w: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tc>
        <w:tc>
          <w:tcPr>
            <w:tcW w:w="157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部门本年度预算调整数与预算数的比率，用以反映和考核部门预算的调整程度。</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预算调整率</w:t>
            </w:r>
            <w:r>
              <w:rPr>
                <w:rFonts w:ascii="宋体" w:hAnsi="宋体" w:cs="宋体"/>
              </w:rPr>
              <w:t>=</w:t>
            </w:r>
            <w:r>
              <w:rPr>
                <w:rFonts w:hint="eastAsia" w:ascii="宋体" w:hAnsi="宋体" w:cs="宋体"/>
              </w:rPr>
              <w:t>（预算调整数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预算调整数：部门在本年度内涉及预算的追加、追减或结构调整的资金总和（因落实国家政策、发生不可抗力、上级部门或本级党委政府临时交办而产生的调整除外）。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1" w:hRule="atLeast"/>
          <w:jc w:val="center"/>
        </w:trPr>
        <w:tc>
          <w:tcPr>
            <w:tcW w:w="303"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499"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支付</w:t>
            </w:r>
          </w:p>
          <w:p>
            <w:pPr>
              <w:spacing w:line="240" w:lineRule="exact"/>
              <w:jc w:val="center"/>
              <w:rPr>
                <w:rFonts w:ascii="宋体" w:cs="宋体"/>
              </w:rPr>
            </w:pPr>
            <w:r>
              <w:rPr>
                <w:rFonts w:hint="eastAsia" w:ascii="宋体" w:hAnsi="宋体" w:cs="宋体"/>
              </w:rPr>
              <w:t>进度率（</w:t>
            </w:r>
            <w:r>
              <w:rPr>
                <w:rFonts w:ascii="宋体" w:hAnsi="宋体" w:cs="宋体"/>
              </w:rPr>
              <w:t>2</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right="105" w:rightChars="50" w:firstLine="210" w:firstLineChars="100"/>
              <w:rPr>
                <w:rFonts w:ascii="宋体" w:eastAsia="宋体" w:cs="宋体"/>
              </w:rPr>
            </w:pPr>
            <w:r>
              <w:rPr>
                <w:rFonts w:hint="eastAsia" w:ascii="宋体" w:cs="宋体"/>
              </w:rPr>
              <w:t>2</w:t>
            </w:r>
          </w:p>
        </w:tc>
        <w:tc>
          <w:tcPr>
            <w:tcW w:w="157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部门实际支付进度与既定支付进度的比率，用以反映和考核部门预算执行的及时性和均衡性程度。</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支付进度率</w:t>
            </w:r>
            <w:r>
              <w:rPr>
                <w:rFonts w:ascii="宋体" w:hAnsi="宋体" w:cs="宋体"/>
              </w:rPr>
              <w:t>=</w:t>
            </w:r>
            <w:r>
              <w:rPr>
                <w:rFonts w:hint="eastAsia" w:ascii="宋体" w:hAnsi="宋体" w:cs="宋体"/>
              </w:rPr>
              <w:t>（实际支付进度</w:t>
            </w:r>
            <w:r>
              <w:rPr>
                <w:rFonts w:ascii="宋体" w:hAnsi="宋体" w:cs="宋体"/>
              </w:rPr>
              <w:t>/</w:t>
            </w:r>
            <w:r>
              <w:rPr>
                <w:rFonts w:hint="eastAsia" w:ascii="宋体" w:hAnsi="宋体" w:cs="宋体"/>
              </w:rPr>
              <w:t>既定支付进度）×</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实际支付进度：部门在某一时点的支出预算执行总数与年度支出预算数的比率。</w:t>
            </w:r>
            <w:r>
              <w:rPr>
                <w:rFonts w:ascii="宋体" w:cs="宋体"/>
              </w:rPr>
              <w:br w:type="textWrapping"/>
            </w:r>
            <w:r>
              <w:rPr>
                <w:rFonts w:hint="eastAsia" w:ascii="宋体" w:hAnsi="宋体" w:cs="宋体"/>
              </w:rPr>
              <w:t>既定支付进度：由部门在申报部门整体绩效目标时，参照序时支付进度、前三年支付进度、本级部门平均支付进度水平等确定的，在某一时点应达到的支付进度（比率）。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303" w:type="pct"/>
            <w:vMerge w:val="continue"/>
            <w:noWrap/>
            <w:tcMar>
              <w:top w:w="10" w:type="dxa"/>
              <w:left w:w="10" w:type="dxa"/>
              <w:bottom w:w="0" w:type="dxa"/>
              <w:right w:w="10" w:type="dxa"/>
            </w:tcMar>
            <w:textDirection w:val="tbRlV"/>
            <w:vAlign w:val="center"/>
          </w:tcPr>
          <w:p>
            <w:pPr>
              <w:spacing w:line="240" w:lineRule="exact"/>
              <w:jc w:val="center"/>
              <w:rPr>
                <w:rFonts w:ascii="宋体" w:cs="宋体"/>
              </w:rPr>
            </w:pPr>
          </w:p>
        </w:tc>
        <w:tc>
          <w:tcPr>
            <w:tcW w:w="375" w:type="pct"/>
            <w:vMerge w:val="continue"/>
            <w:tcMar>
              <w:top w:w="10" w:type="dxa"/>
              <w:left w:w="10" w:type="dxa"/>
              <w:bottom w:w="0" w:type="dxa"/>
              <w:right w:w="10" w:type="dxa"/>
            </w:tcMar>
            <w:vAlign w:val="center"/>
          </w:tcPr>
          <w:p>
            <w:pPr>
              <w:spacing w:line="240" w:lineRule="exact"/>
              <w:jc w:val="center"/>
              <w:rPr>
                <w:rFonts w:ascii="宋体" w:cs="宋体"/>
              </w:rPr>
            </w:pPr>
          </w:p>
        </w:tc>
        <w:tc>
          <w:tcPr>
            <w:tcW w:w="499"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结转</w:t>
            </w:r>
          </w:p>
          <w:p>
            <w:pPr>
              <w:spacing w:line="240" w:lineRule="exact"/>
              <w:jc w:val="center"/>
              <w:rPr>
                <w:rFonts w:ascii="宋体" w:cs="宋体"/>
              </w:rPr>
            </w:pPr>
            <w:r>
              <w:rPr>
                <w:rFonts w:hint="eastAsia" w:ascii="宋体" w:hAnsi="宋体" w:cs="宋体"/>
              </w:rPr>
              <w:t>结余率（</w:t>
            </w:r>
            <w:r>
              <w:rPr>
                <w:rFonts w:ascii="宋体" w:hAnsi="宋体" w:cs="宋体"/>
              </w:rPr>
              <w:t>2</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2</w:t>
            </w:r>
          </w:p>
        </w:tc>
        <w:tc>
          <w:tcPr>
            <w:tcW w:w="157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部门本年度结转结余总额与支出预算数的比率，用以反映和考核部门对本年度结转结余资金的实际控制程度。</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结转结余率</w:t>
            </w:r>
            <w:r>
              <w:rPr>
                <w:rFonts w:ascii="宋体" w:hAnsi="宋体" w:cs="宋体"/>
              </w:rPr>
              <w:t>=</w:t>
            </w:r>
            <w:r>
              <w:rPr>
                <w:rFonts w:hint="eastAsia" w:ascii="宋体" w:hAnsi="宋体" w:cs="宋体"/>
              </w:rPr>
              <w:t>结转结余总额</w:t>
            </w:r>
            <w:r>
              <w:rPr>
                <w:rFonts w:ascii="宋体" w:hAnsi="宋体" w:cs="宋体"/>
              </w:rPr>
              <w:t>/</w:t>
            </w:r>
            <w:r>
              <w:rPr>
                <w:rFonts w:hint="eastAsia" w:ascii="宋体" w:hAnsi="宋体" w:cs="宋体"/>
              </w:rPr>
              <w:t>支出预算数×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303"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rPr>
                <w:rFonts w:ascii="宋体" w:cs="宋体"/>
              </w:rPr>
            </w:pPr>
          </w:p>
        </w:tc>
        <w:tc>
          <w:tcPr>
            <w:tcW w:w="499"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结转结余</w:t>
            </w:r>
          </w:p>
          <w:p>
            <w:pPr>
              <w:spacing w:line="240" w:lineRule="exact"/>
              <w:jc w:val="center"/>
              <w:rPr>
                <w:rFonts w:ascii="宋体" w:cs="宋体"/>
              </w:rPr>
            </w:pPr>
            <w:r>
              <w:rPr>
                <w:rFonts w:hint="eastAsia" w:ascii="宋体" w:hAnsi="宋体" w:cs="宋体"/>
              </w:rPr>
              <w:t>变动率（</w:t>
            </w:r>
            <w:r>
              <w:rPr>
                <w:rFonts w:ascii="宋体" w:hAnsi="宋体" w:cs="宋体"/>
              </w:rPr>
              <w:t>2</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2</w:t>
            </w:r>
          </w:p>
        </w:tc>
        <w:tc>
          <w:tcPr>
            <w:tcW w:w="157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部门本年度结转结余资金总额与上年度结转结余资金总额的变动比率，用以反映和考核部门对控制结转结余资金的努力程度。</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结转结余变动率</w:t>
            </w:r>
            <w:r>
              <w:rPr>
                <w:rFonts w:ascii="宋体" w:hAnsi="宋体" w:cs="宋体"/>
              </w:rPr>
              <w:t>=[</w:t>
            </w:r>
            <w:r>
              <w:rPr>
                <w:rFonts w:hint="eastAsia" w:ascii="宋体" w:hAnsi="宋体" w:cs="宋体"/>
              </w:rPr>
              <w:t>（本年度累计结转结余资金总额</w:t>
            </w:r>
            <w:r>
              <w:rPr>
                <w:rFonts w:ascii="宋体" w:hAnsi="宋体" w:cs="宋体"/>
              </w:rPr>
              <w:t>-</w:t>
            </w:r>
            <w:r>
              <w:rPr>
                <w:rFonts w:hint="eastAsia" w:ascii="宋体" w:hAnsi="宋体" w:cs="宋体"/>
              </w:rPr>
              <w:t>上年度累计结转结余资金总额）</w:t>
            </w:r>
            <w:r>
              <w:rPr>
                <w:rFonts w:ascii="宋体" w:hAnsi="宋体" w:cs="宋体"/>
              </w:rPr>
              <w:t>/</w:t>
            </w:r>
            <w:r>
              <w:rPr>
                <w:rFonts w:hint="eastAsia" w:ascii="宋体" w:hAnsi="宋体" w:cs="宋体"/>
              </w:rPr>
              <w:t>上年度累计结转结余资金总额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jc w:val="center"/>
        </w:trPr>
        <w:tc>
          <w:tcPr>
            <w:tcW w:w="303"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rPr>
                <w:rFonts w:ascii="宋体" w:cs="宋体"/>
              </w:rPr>
            </w:pPr>
          </w:p>
        </w:tc>
        <w:tc>
          <w:tcPr>
            <w:tcW w:w="499"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公用经费</w:t>
            </w:r>
          </w:p>
          <w:p>
            <w:pPr>
              <w:spacing w:line="240" w:lineRule="exact"/>
              <w:jc w:val="center"/>
              <w:rPr>
                <w:rFonts w:ascii="宋体" w:cs="宋体"/>
              </w:rPr>
            </w:pPr>
            <w:r>
              <w:rPr>
                <w:rFonts w:hint="eastAsia" w:ascii="宋体" w:hAnsi="宋体" w:cs="宋体"/>
              </w:rPr>
              <w:t>控制率（</w:t>
            </w:r>
            <w:r>
              <w:rPr>
                <w:rFonts w:ascii="宋体" w:hAnsi="宋体" w:cs="宋体"/>
              </w:rPr>
              <w:t>2</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2</w:t>
            </w:r>
          </w:p>
        </w:tc>
        <w:tc>
          <w:tcPr>
            <w:tcW w:w="157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部门本年度实际支出的公用经费总额与预算安排的公用经费总额的比率，用以反映和考核部门对机构运转成本的实际控制程度。</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公用经费控制率</w:t>
            </w:r>
            <w:r>
              <w:rPr>
                <w:rFonts w:ascii="宋体" w:hAnsi="宋体" w:cs="宋体"/>
              </w:rPr>
              <w:t>=</w:t>
            </w:r>
            <w:r>
              <w:rPr>
                <w:rFonts w:hint="eastAsia" w:ascii="宋体" w:hAnsi="宋体" w:cs="宋体"/>
              </w:rPr>
              <w:t>（实际支出公用经费总额</w:t>
            </w:r>
            <w:r>
              <w:rPr>
                <w:rFonts w:ascii="宋体" w:hAnsi="宋体" w:cs="宋体"/>
              </w:rPr>
              <w:t>/</w:t>
            </w:r>
            <w:r>
              <w:rPr>
                <w:rFonts w:hint="eastAsia" w:ascii="宋体" w:hAnsi="宋体" w:cs="宋体"/>
              </w:rPr>
              <w:t>预算安排公用经费总额）×</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303"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499"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“三公经费”控制率（</w:t>
            </w:r>
            <w:r>
              <w:rPr>
                <w:rFonts w:ascii="宋体" w:hAnsi="宋体" w:cs="宋体"/>
              </w:rPr>
              <w:t>2</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2</w:t>
            </w:r>
          </w:p>
        </w:tc>
        <w:tc>
          <w:tcPr>
            <w:tcW w:w="157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部门本年度“三公经费”实际支出数与预算安排数的比率，用以反映和考核部门对“三公经费”的实际控制程度。</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“三公经费”控制率</w:t>
            </w:r>
            <w:r>
              <w:rPr>
                <w:rFonts w:ascii="宋体" w:hAnsi="宋体" w:cs="宋体"/>
              </w:rPr>
              <w:t>=</w:t>
            </w:r>
            <w:r>
              <w:rPr>
                <w:rFonts w:hint="eastAsia" w:ascii="宋体" w:hAnsi="宋体" w:cs="宋体"/>
              </w:rPr>
              <w:t>（“三公经费”实际支出数</w:t>
            </w:r>
            <w:r>
              <w:rPr>
                <w:rFonts w:ascii="宋体" w:hAnsi="宋体" w:cs="宋体"/>
              </w:rPr>
              <w:t>/</w:t>
            </w:r>
            <w:r>
              <w:rPr>
                <w:rFonts w:hint="eastAsia" w:ascii="宋体" w:hAnsi="宋体" w:cs="宋体"/>
              </w:rPr>
              <w:t>“三公经费”预算安排数）×</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jc w:val="center"/>
        </w:trPr>
        <w:tc>
          <w:tcPr>
            <w:tcW w:w="303"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rPr>
                <w:rFonts w:ascii="宋体" w:cs="宋体"/>
              </w:rPr>
            </w:pPr>
          </w:p>
        </w:tc>
        <w:tc>
          <w:tcPr>
            <w:tcW w:w="499"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政府采购</w:t>
            </w:r>
          </w:p>
          <w:p>
            <w:pPr>
              <w:spacing w:line="240" w:lineRule="exact"/>
              <w:jc w:val="center"/>
              <w:rPr>
                <w:rFonts w:ascii="宋体" w:cs="宋体"/>
              </w:rPr>
            </w:pPr>
            <w:r>
              <w:rPr>
                <w:rFonts w:hint="eastAsia" w:ascii="宋体" w:hAnsi="宋体" w:cs="宋体"/>
              </w:rPr>
              <w:t>执行率（</w:t>
            </w:r>
            <w:r>
              <w:rPr>
                <w:rFonts w:ascii="宋体" w:hAnsi="宋体" w:cs="宋体"/>
              </w:rPr>
              <w:t>4</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right="105" w:rightChars="50" w:firstLine="210" w:firstLineChars="100"/>
              <w:rPr>
                <w:rFonts w:ascii="宋体" w:eastAsia="宋体" w:cs="宋体"/>
              </w:rPr>
            </w:pPr>
            <w:r>
              <w:rPr>
                <w:rFonts w:hint="eastAsia" w:ascii="宋体" w:cs="宋体"/>
              </w:rPr>
              <w:t>4</w:t>
            </w:r>
          </w:p>
        </w:tc>
        <w:tc>
          <w:tcPr>
            <w:tcW w:w="157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部门本年度实际政府采购金额与年初政府采购预算的比率，用以反映和考核部门政府采购预算执行情况。</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政府采购执行率</w:t>
            </w:r>
            <w:r>
              <w:rPr>
                <w:rFonts w:ascii="宋体" w:hAnsi="宋体" w:cs="宋体"/>
              </w:rPr>
              <w:t>=</w:t>
            </w:r>
            <w:r>
              <w:rPr>
                <w:rFonts w:hint="eastAsia" w:ascii="宋体" w:hAnsi="宋体" w:cs="宋体"/>
              </w:rPr>
              <w:t>（实际政府采购金额</w:t>
            </w:r>
            <w:r>
              <w:rPr>
                <w:rFonts w:ascii="宋体" w:hAnsi="宋体" w:cs="宋体"/>
              </w:rPr>
              <w:t>/</w:t>
            </w:r>
            <w:r>
              <w:rPr>
                <w:rFonts w:hint="eastAsia" w:ascii="宋体" w:hAnsi="宋体" w:cs="宋体"/>
              </w:rPr>
              <w:t>政府采购预算数）×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政府采购预算：采购机关根据事业发展计划和行政任务编制的、并经过规定程序批准的年度政府采购计划。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9" w:hRule="atLeast"/>
          <w:jc w:val="center"/>
        </w:trPr>
        <w:tc>
          <w:tcPr>
            <w:tcW w:w="303" w:type="pct"/>
            <w:vMerge w:val="restart"/>
            <w:vAlign w:val="center"/>
          </w:tcPr>
          <w:p>
            <w:pPr>
              <w:spacing w:line="240" w:lineRule="exact"/>
              <w:jc w:val="center"/>
              <w:rPr>
                <w:rFonts w:ascii="宋体" w:cs="宋体"/>
              </w:rPr>
            </w:pPr>
            <w:r>
              <w:rPr>
                <w:rFonts w:hint="eastAsia" w:ascii="宋体" w:hAnsi="宋体" w:cs="宋体"/>
              </w:rPr>
              <w:t>过</w:t>
            </w:r>
          </w:p>
          <w:p>
            <w:pPr>
              <w:spacing w:line="240" w:lineRule="exact"/>
              <w:jc w:val="center"/>
              <w:rPr>
                <w:rFonts w:ascii="宋体" w:cs="宋体"/>
              </w:rPr>
            </w:pPr>
            <w:r>
              <w:rPr>
                <w:rFonts w:hint="eastAsia" w:ascii="宋体" w:hAnsi="宋体" w:cs="宋体"/>
              </w:rPr>
              <w:t>程（</w:t>
            </w:r>
            <w:r>
              <w:rPr>
                <w:rFonts w:ascii="宋体" w:hAnsi="宋体" w:cs="宋体"/>
              </w:rPr>
              <w:t>30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管理（</w:t>
            </w:r>
            <w:r>
              <w:rPr>
                <w:rFonts w:ascii="宋体" w:hAnsi="宋体" w:cs="宋体"/>
              </w:rPr>
              <w:t>5</w:t>
            </w:r>
            <w:r>
              <w:rPr>
                <w:rFonts w:hint="eastAsia" w:ascii="宋体" w:hAnsi="宋体" w:cs="宋体"/>
              </w:rPr>
              <w:t>分）</w:t>
            </w:r>
          </w:p>
          <w:p>
            <w:pPr>
              <w:spacing w:line="240" w:lineRule="exact"/>
              <w:jc w:val="center"/>
              <w:rPr>
                <w:rFonts w:ascii="宋体" w:cs="宋体"/>
              </w:rPr>
            </w:pPr>
            <w:r>
              <w:rPr>
                <w:rFonts w:hint="eastAsia" w:ascii="宋体" w:hAnsi="宋体" w:cs="宋体"/>
              </w:rPr>
              <w:t>）</w:t>
            </w:r>
          </w:p>
        </w:tc>
        <w:tc>
          <w:tcPr>
            <w:tcW w:w="499"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管理制度</w:t>
            </w:r>
          </w:p>
          <w:p>
            <w:pPr>
              <w:spacing w:line="240" w:lineRule="exact"/>
              <w:jc w:val="center"/>
              <w:rPr>
                <w:rFonts w:ascii="宋体" w:cs="宋体"/>
              </w:rPr>
            </w:pPr>
            <w:r>
              <w:rPr>
                <w:rFonts w:hint="eastAsia" w:ascii="宋体" w:hAnsi="宋体" w:cs="宋体"/>
              </w:rPr>
              <w:t>健全性（</w:t>
            </w:r>
            <w:r>
              <w:rPr>
                <w:rFonts w:ascii="宋体" w:hAnsi="宋体" w:cs="宋体"/>
              </w:rPr>
              <w:t>2</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2</w:t>
            </w:r>
          </w:p>
        </w:tc>
        <w:tc>
          <w:tcPr>
            <w:tcW w:w="157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部门为加强预算管理、规范财务行为而制定的管理制度是否健全完整，用以反映和考核部门预算管理制度对完成主要职责或促进事业发展的保障情况。</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①是否已制定或具有预算资金管理办法、内部财务管理制度、会计核算制度等管理制度；</w:t>
            </w:r>
            <w:r>
              <w:rPr>
                <w:rFonts w:ascii="宋体" w:cs="宋体"/>
              </w:rPr>
              <w:br w:type="textWrapping"/>
            </w:r>
            <w:r>
              <w:rPr>
                <w:rFonts w:hint="eastAsia" w:ascii="宋体" w:hAnsi="宋体" w:cs="宋体"/>
              </w:rPr>
              <w:t>②相关管理制度是否合法、合规、完整；</w:t>
            </w:r>
            <w:r>
              <w:rPr>
                <w:rFonts w:ascii="宋体" w:cs="宋体"/>
              </w:rPr>
              <w:br w:type="textWrapping"/>
            </w:r>
            <w:r>
              <w:rPr>
                <w:rFonts w:hint="eastAsia" w:ascii="宋体" w:hAnsi="宋体" w:cs="宋体"/>
              </w:rPr>
              <w:t>③相关管理制度是否得到有效执行。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7" w:hRule="atLeast"/>
          <w:jc w:val="center"/>
        </w:trPr>
        <w:tc>
          <w:tcPr>
            <w:tcW w:w="303"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499"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资金使用</w:t>
            </w:r>
          </w:p>
          <w:p>
            <w:pPr>
              <w:spacing w:line="240" w:lineRule="exact"/>
              <w:jc w:val="center"/>
              <w:rPr>
                <w:rFonts w:ascii="宋体" w:cs="宋体"/>
              </w:rPr>
            </w:pPr>
            <w:r>
              <w:rPr>
                <w:rFonts w:hint="eastAsia" w:ascii="宋体" w:hAnsi="宋体" w:cs="宋体"/>
              </w:rPr>
              <w:t>合规性（</w:t>
            </w:r>
            <w:r>
              <w:rPr>
                <w:rFonts w:ascii="宋体" w:hAnsi="宋体" w:cs="宋体"/>
              </w:rPr>
              <w:t>1</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1</w:t>
            </w:r>
          </w:p>
        </w:tc>
        <w:tc>
          <w:tcPr>
            <w:tcW w:w="157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部门使用预算资金是否符合相关的预算财务管理制度的规定，用以反映和考核部门预算资金的规范运行情况。</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①是否符合国家财经法规和财务管理制度规定以及有关预算支出管理办法的规定；</w:t>
            </w:r>
            <w:r>
              <w:rPr>
                <w:rFonts w:ascii="宋体" w:cs="宋体"/>
              </w:rPr>
              <w:br w:type="textWrapping"/>
            </w:r>
            <w:r>
              <w:rPr>
                <w:rFonts w:hint="eastAsia" w:ascii="宋体" w:hAnsi="宋体" w:cs="宋体"/>
              </w:rPr>
              <w:t>②资金的拨付是否有完整的审批程序和手续；</w:t>
            </w:r>
            <w:r>
              <w:rPr>
                <w:rFonts w:ascii="宋体" w:cs="宋体"/>
              </w:rPr>
              <w:br w:type="textWrapping"/>
            </w:r>
            <w:r>
              <w:rPr>
                <w:rFonts w:hint="eastAsia" w:ascii="宋体" w:hAnsi="宋体" w:cs="宋体"/>
              </w:rPr>
              <w:t>③预算支出的重大开支是否经过评估论证；</w:t>
            </w:r>
            <w:r>
              <w:rPr>
                <w:rFonts w:ascii="宋体" w:cs="宋体"/>
              </w:rPr>
              <w:br w:type="textWrapping"/>
            </w:r>
            <w:r>
              <w:rPr>
                <w:rFonts w:hint="eastAsia" w:ascii="宋体" w:hAnsi="宋体" w:cs="宋体"/>
              </w:rPr>
              <w:t>④是否符合部门预算批复的用途；</w:t>
            </w:r>
            <w:r>
              <w:rPr>
                <w:rFonts w:ascii="宋体" w:cs="宋体"/>
              </w:rPr>
              <w:br w:type="textWrapping"/>
            </w:r>
            <w:r>
              <w:rPr>
                <w:rFonts w:hint="eastAsia" w:ascii="宋体" w:hAnsi="宋体" w:cs="宋体"/>
              </w:rPr>
              <w:t>⑤是否存在截留、挤占、挪用、虚列支出等情况。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303"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rPr>
                <w:rFonts w:ascii="宋体" w:cs="宋体"/>
              </w:rPr>
            </w:pPr>
          </w:p>
        </w:tc>
        <w:tc>
          <w:tcPr>
            <w:tcW w:w="499"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预决算信</w:t>
            </w:r>
          </w:p>
          <w:p>
            <w:pPr>
              <w:spacing w:line="240" w:lineRule="exact"/>
              <w:jc w:val="center"/>
              <w:rPr>
                <w:rFonts w:ascii="宋体" w:cs="宋体"/>
              </w:rPr>
            </w:pPr>
            <w:r>
              <w:rPr>
                <w:rFonts w:hint="eastAsia" w:ascii="宋体" w:hAnsi="宋体" w:cs="宋体"/>
              </w:rPr>
              <w:t>息公开性（</w:t>
            </w:r>
            <w:r>
              <w:rPr>
                <w:rFonts w:ascii="宋体" w:hAnsi="宋体" w:cs="宋体"/>
              </w:rPr>
              <w:t>1</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right="105" w:rightChars="50" w:firstLine="210" w:firstLineChars="100"/>
              <w:rPr>
                <w:rFonts w:ascii="宋体" w:eastAsia="宋体" w:cs="宋体"/>
              </w:rPr>
            </w:pPr>
            <w:r>
              <w:rPr>
                <w:rFonts w:hint="eastAsia" w:ascii="宋体" w:cs="宋体"/>
              </w:rPr>
              <w:t>1</w:t>
            </w:r>
          </w:p>
        </w:tc>
        <w:tc>
          <w:tcPr>
            <w:tcW w:w="157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部门是否按照政府信息公开有关规定公开相关预决算信息，用以反映和考核部门预决算管理的公开透明情况。</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①是否按规定内容公开预决算信息；</w:t>
            </w:r>
            <w:r>
              <w:rPr>
                <w:rFonts w:ascii="宋体" w:cs="宋体"/>
              </w:rPr>
              <w:br w:type="textWrapping"/>
            </w:r>
            <w:r>
              <w:rPr>
                <w:rFonts w:hint="eastAsia" w:ascii="宋体" w:hAnsi="宋体" w:cs="宋体"/>
              </w:rPr>
              <w:t>②是否按规定时限公开预决算信息。</w:t>
            </w:r>
            <w:r>
              <w:rPr>
                <w:rFonts w:ascii="宋体" w:cs="宋体"/>
              </w:rPr>
              <w:br w:type="textWrapping"/>
            </w:r>
            <w:r>
              <w:rPr>
                <w:rFonts w:hint="eastAsia" w:ascii="宋体" w:hAnsi="宋体" w:cs="宋体"/>
              </w:rPr>
              <w:t>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303"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499"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基础信息</w:t>
            </w:r>
          </w:p>
          <w:p>
            <w:pPr>
              <w:spacing w:line="240" w:lineRule="exact"/>
              <w:jc w:val="center"/>
              <w:rPr>
                <w:rFonts w:ascii="宋体" w:cs="宋体"/>
              </w:rPr>
            </w:pPr>
            <w:r>
              <w:rPr>
                <w:rFonts w:hint="eastAsia" w:ascii="宋体" w:hAnsi="宋体" w:cs="宋体"/>
              </w:rPr>
              <w:t>完善性（</w:t>
            </w:r>
            <w:r>
              <w:rPr>
                <w:rFonts w:ascii="宋体" w:hAnsi="宋体" w:cs="宋体"/>
              </w:rPr>
              <w:t>1</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right="105" w:rightChars="50"/>
              <w:rPr>
                <w:rFonts w:ascii="宋体" w:cs="宋体"/>
              </w:rPr>
            </w:pPr>
          </w:p>
          <w:p>
            <w:pPr>
              <w:tabs>
                <w:tab w:val="left" w:pos="2604"/>
              </w:tabs>
              <w:spacing w:line="240" w:lineRule="exact"/>
              <w:ind w:right="105" w:rightChars="50"/>
              <w:rPr>
                <w:rFonts w:ascii="宋体" w:eastAsia="宋体" w:cs="宋体"/>
              </w:rPr>
            </w:pPr>
            <w:r>
              <w:rPr>
                <w:rFonts w:hint="eastAsia" w:ascii="宋体" w:cs="宋体"/>
              </w:rPr>
              <w:t>0.5</w:t>
            </w:r>
          </w:p>
        </w:tc>
        <w:tc>
          <w:tcPr>
            <w:tcW w:w="157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部门基础信息是否完善，用以反映和考核基础信息对预算管理工作的支撑情况。</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①基础数据信息和会计信息资料是否真实；</w:t>
            </w:r>
            <w:r>
              <w:rPr>
                <w:rFonts w:ascii="宋体" w:cs="宋体"/>
              </w:rPr>
              <w:br w:type="textWrapping"/>
            </w:r>
            <w:r>
              <w:rPr>
                <w:rFonts w:hint="eastAsia" w:ascii="宋体" w:hAnsi="宋体" w:cs="宋体"/>
              </w:rPr>
              <w:t>②基础数据信息和会计信息资料是否完整；</w:t>
            </w:r>
            <w:r>
              <w:rPr>
                <w:rFonts w:ascii="宋体" w:cs="宋体"/>
              </w:rPr>
              <w:br w:type="textWrapping"/>
            </w:r>
            <w:r>
              <w:rPr>
                <w:rFonts w:hint="eastAsia" w:ascii="宋体" w:hAnsi="宋体" w:cs="宋体"/>
              </w:rPr>
              <w:t>③基础数据信息和会计信息资料是否准确。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9" w:hRule="atLeast"/>
          <w:jc w:val="center"/>
        </w:trPr>
        <w:tc>
          <w:tcPr>
            <w:tcW w:w="303" w:type="pct"/>
            <w:vMerge w:val="continue"/>
            <w:noWrap/>
            <w:tcMar>
              <w:top w:w="10" w:type="dxa"/>
              <w:left w:w="10" w:type="dxa"/>
              <w:bottom w:w="0" w:type="dxa"/>
              <w:right w:w="10" w:type="dxa"/>
            </w:tcMar>
            <w:textDirection w:val="tbRlV"/>
            <w:vAlign w:val="center"/>
          </w:tcPr>
          <w:p>
            <w:pPr>
              <w:spacing w:line="240" w:lineRule="exact"/>
              <w:jc w:val="center"/>
              <w:rPr>
                <w:rFonts w:ascii="宋体" w:cs="宋体"/>
              </w:rPr>
            </w:pP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资产</w:t>
            </w:r>
            <w:r>
              <w:rPr>
                <w:rFonts w:ascii="宋体" w:cs="宋体"/>
              </w:rPr>
              <w:br w:type="textWrapping"/>
            </w:r>
            <w:r>
              <w:rPr>
                <w:rFonts w:hint="eastAsia" w:ascii="宋体" w:hAnsi="宋体" w:cs="宋体"/>
              </w:rPr>
              <w:t>管理（</w:t>
            </w:r>
            <w:r>
              <w:rPr>
                <w:rFonts w:ascii="宋体" w:hAnsi="宋体" w:cs="宋体"/>
              </w:rPr>
              <w:t>5</w:t>
            </w:r>
            <w:r>
              <w:rPr>
                <w:rFonts w:hint="eastAsia" w:ascii="宋体" w:hAnsi="宋体" w:cs="宋体"/>
              </w:rPr>
              <w:t>分）</w:t>
            </w:r>
          </w:p>
        </w:tc>
        <w:tc>
          <w:tcPr>
            <w:tcW w:w="499"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管理制度</w:t>
            </w:r>
          </w:p>
          <w:p>
            <w:pPr>
              <w:spacing w:line="240" w:lineRule="exact"/>
              <w:jc w:val="center"/>
              <w:rPr>
                <w:rFonts w:ascii="宋体" w:cs="宋体"/>
              </w:rPr>
            </w:pPr>
            <w:r>
              <w:rPr>
                <w:rFonts w:hint="eastAsia" w:ascii="宋体" w:hAnsi="宋体" w:cs="宋体"/>
              </w:rPr>
              <w:t>健全性（</w:t>
            </w:r>
            <w:r>
              <w:rPr>
                <w:rFonts w:ascii="宋体" w:hAnsi="宋体" w:cs="宋体"/>
              </w:rPr>
              <w:t>2</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r>
              <w:rPr>
                <w:rFonts w:hint="eastAsia" w:ascii="宋体" w:cs="宋体"/>
              </w:rPr>
              <w:t>1.5</w:t>
            </w:r>
          </w:p>
          <w:p>
            <w:pPr>
              <w:tabs>
                <w:tab w:val="left" w:pos="2604"/>
              </w:tabs>
              <w:spacing w:line="240" w:lineRule="exact"/>
              <w:ind w:left="105" w:leftChars="50" w:right="105" w:rightChars="50" w:firstLine="96" w:firstLineChars="46"/>
              <w:rPr>
                <w:rFonts w:ascii="宋体" w:cs="宋体"/>
              </w:rPr>
            </w:pPr>
          </w:p>
        </w:tc>
        <w:tc>
          <w:tcPr>
            <w:tcW w:w="157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部门为加强资产管理、规范资产管理行为而制定的管理制度是否健全完整，用以反映和考核部门资产管理制度对完成主要职责或促进社会发展的保障情况。</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①是否已制定或具有资产管理制度；②相关资金管理制度是否合法、合规、完整；</w:t>
            </w:r>
            <w:r>
              <w:rPr>
                <w:rFonts w:ascii="宋体" w:cs="宋体"/>
              </w:rPr>
              <w:br w:type="textWrapping"/>
            </w:r>
            <w:r>
              <w:rPr>
                <w:rFonts w:hint="eastAsia" w:ascii="宋体" w:hAnsi="宋体" w:cs="宋体"/>
              </w:rPr>
              <w:t>③相关资产管理制度是否得到有效执行。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7" w:hRule="atLeast"/>
          <w:jc w:val="center"/>
        </w:trPr>
        <w:tc>
          <w:tcPr>
            <w:tcW w:w="303"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499"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资产管理</w:t>
            </w:r>
          </w:p>
          <w:p>
            <w:pPr>
              <w:spacing w:line="240" w:lineRule="exact"/>
              <w:jc w:val="center"/>
              <w:rPr>
                <w:rFonts w:ascii="宋体" w:cs="宋体"/>
              </w:rPr>
            </w:pPr>
            <w:r>
              <w:rPr>
                <w:rFonts w:hint="eastAsia" w:ascii="宋体" w:hAnsi="宋体" w:cs="宋体"/>
              </w:rPr>
              <w:t>安全性（</w:t>
            </w:r>
            <w:r>
              <w:rPr>
                <w:rFonts w:ascii="宋体" w:hAnsi="宋体" w:cs="宋体"/>
              </w:rPr>
              <w:t>2</w:t>
            </w:r>
            <w:r>
              <w:rPr>
                <w:rFonts w:hint="eastAsia" w:ascii="宋体" w:hAnsi="宋体" w:cs="宋体"/>
              </w:rPr>
              <w:t>分）</w:t>
            </w:r>
          </w:p>
        </w:tc>
        <w:tc>
          <w:tcPr>
            <w:tcW w:w="375" w:type="pct"/>
          </w:tcPr>
          <w:p>
            <w:pPr>
              <w:tabs>
                <w:tab w:val="left" w:pos="761"/>
                <w:tab w:val="left" w:pos="2604"/>
              </w:tabs>
              <w:spacing w:line="240" w:lineRule="exact"/>
              <w:ind w:left="105" w:leftChars="50" w:right="105" w:rightChars="50" w:firstLine="96" w:firstLineChars="46"/>
              <w:rPr>
                <w:rFonts w:ascii="宋体" w:cs="宋体"/>
              </w:rPr>
            </w:pPr>
          </w:p>
          <w:p>
            <w:pPr>
              <w:tabs>
                <w:tab w:val="left" w:pos="761"/>
                <w:tab w:val="left" w:pos="2604"/>
              </w:tabs>
              <w:spacing w:line="240" w:lineRule="exact"/>
              <w:ind w:left="105" w:leftChars="50" w:right="105" w:rightChars="50" w:firstLine="96" w:firstLineChars="46"/>
              <w:rPr>
                <w:rFonts w:ascii="宋体" w:cs="宋体"/>
              </w:rPr>
            </w:pPr>
          </w:p>
          <w:p>
            <w:pPr>
              <w:tabs>
                <w:tab w:val="left" w:pos="761"/>
                <w:tab w:val="left" w:pos="2604"/>
              </w:tabs>
              <w:spacing w:line="240" w:lineRule="exact"/>
              <w:ind w:left="105" w:leftChars="50" w:right="105" w:rightChars="50" w:firstLine="96" w:firstLineChars="46"/>
              <w:rPr>
                <w:rFonts w:ascii="宋体" w:cs="宋体"/>
              </w:rPr>
            </w:pPr>
          </w:p>
          <w:p>
            <w:pPr>
              <w:tabs>
                <w:tab w:val="left" w:pos="761"/>
                <w:tab w:val="left" w:pos="2604"/>
              </w:tabs>
              <w:spacing w:line="240" w:lineRule="exact"/>
              <w:ind w:left="105" w:leftChars="50" w:right="105" w:rightChars="50" w:firstLine="96" w:firstLineChars="46"/>
              <w:rPr>
                <w:rFonts w:ascii="宋体" w:eastAsia="宋体" w:cs="宋体"/>
              </w:rPr>
            </w:pPr>
            <w:r>
              <w:rPr>
                <w:rFonts w:hint="eastAsia" w:ascii="宋体" w:cs="宋体"/>
              </w:rPr>
              <w:t>2</w:t>
            </w:r>
          </w:p>
        </w:tc>
        <w:tc>
          <w:tcPr>
            <w:tcW w:w="1577" w:type="pct"/>
            <w:tcMar>
              <w:top w:w="10" w:type="dxa"/>
              <w:left w:w="10" w:type="dxa"/>
              <w:bottom w:w="0" w:type="dxa"/>
              <w:right w:w="10" w:type="dxa"/>
            </w:tcMar>
            <w:vAlign w:val="center"/>
          </w:tcPr>
          <w:p>
            <w:pPr>
              <w:tabs>
                <w:tab w:val="left" w:pos="761"/>
                <w:tab w:val="left" w:pos="2604"/>
              </w:tabs>
              <w:spacing w:line="240" w:lineRule="exact"/>
              <w:ind w:left="105" w:leftChars="50" w:right="105" w:rightChars="50" w:firstLine="96" w:firstLineChars="46"/>
              <w:rPr>
                <w:rFonts w:ascii="宋体" w:cs="宋体"/>
              </w:rPr>
            </w:pPr>
            <w:r>
              <w:rPr>
                <w:rFonts w:hint="eastAsia" w:ascii="宋体" w:hAnsi="宋体" w:cs="宋体"/>
              </w:rPr>
              <w:t>部门的资产是否保存完整、使用合规、配置合理、处置规范、收入及时足额上缴，用以反映和考核部门资产安全运行情况。</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①资产保存是否完整；</w:t>
            </w:r>
            <w:r>
              <w:rPr>
                <w:rFonts w:ascii="宋体" w:cs="宋体"/>
              </w:rPr>
              <w:br w:type="textWrapping"/>
            </w:r>
            <w:r>
              <w:rPr>
                <w:rFonts w:hint="eastAsia" w:ascii="宋体" w:hAnsi="宋体" w:cs="宋体"/>
              </w:rPr>
              <w:t>②资产配置是否合理；</w:t>
            </w:r>
            <w:r>
              <w:rPr>
                <w:rFonts w:ascii="宋体" w:cs="宋体"/>
              </w:rPr>
              <w:br w:type="textWrapping"/>
            </w:r>
            <w:r>
              <w:rPr>
                <w:rFonts w:hint="eastAsia" w:ascii="宋体" w:hAnsi="宋体" w:cs="宋体"/>
              </w:rPr>
              <w:t>③资产处置是否规范；</w:t>
            </w:r>
            <w:r>
              <w:rPr>
                <w:rFonts w:ascii="宋体" w:cs="宋体"/>
              </w:rPr>
              <w:br w:type="textWrapping"/>
            </w:r>
            <w:r>
              <w:rPr>
                <w:rFonts w:hint="eastAsia" w:ascii="宋体" w:hAnsi="宋体" w:cs="宋体"/>
              </w:rPr>
              <w:t>④资产账务管理是否合规，是否帐实相符；</w:t>
            </w:r>
            <w:r>
              <w:rPr>
                <w:rFonts w:ascii="宋体" w:cs="宋体"/>
              </w:rPr>
              <w:br w:type="textWrapping"/>
            </w:r>
            <w:r>
              <w:rPr>
                <w:rFonts w:hint="eastAsia" w:ascii="宋体" w:hAnsi="宋体" w:cs="宋体"/>
              </w:rPr>
              <w:t>⑤资产是否有偿使用及处置收入及时足额上缴。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303"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499"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固定资产</w:t>
            </w:r>
          </w:p>
          <w:p>
            <w:pPr>
              <w:spacing w:line="240" w:lineRule="exact"/>
              <w:jc w:val="center"/>
              <w:rPr>
                <w:rFonts w:ascii="宋体" w:cs="宋体"/>
              </w:rPr>
            </w:pPr>
            <w:r>
              <w:rPr>
                <w:rFonts w:hint="eastAsia" w:ascii="宋体" w:hAnsi="宋体" w:cs="宋体"/>
              </w:rPr>
              <w:t>利用率（</w:t>
            </w:r>
            <w:r>
              <w:rPr>
                <w:rFonts w:ascii="宋体" w:hAnsi="宋体" w:cs="宋体"/>
              </w:rPr>
              <w:t>1</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eastAsia="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1</w:t>
            </w:r>
          </w:p>
        </w:tc>
        <w:tc>
          <w:tcPr>
            <w:tcW w:w="157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部门实际在用固定资产总额与所有固定资产总额的比率，用以反映和考核部门固定资产使用效率程度。</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固定资产利用率</w:t>
            </w:r>
            <w:r>
              <w:rPr>
                <w:rFonts w:ascii="宋体" w:hAnsi="宋体" w:cs="宋体"/>
              </w:rPr>
              <w:t>=</w:t>
            </w:r>
            <w:r>
              <w:rPr>
                <w:rFonts w:hint="eastAsia" w:ascii="宋体" w:hAnsi="宋体" w:cs="宋体"/>
              </w:rPr>
              <w:t>（实际在用固定资产总额</w:t>
            </w:r>
            <w:r>
              <w:rPr>
                <w:rFonts w:ascii="宋体" w:hAnsi="宋体" w:cs="宋体"/>
              </w:rPr>
              <w:t>/</w:t>
            </w:r>
            <w:r>
              <w:rPr>
                <w:rFonts w:hint="eastAsia" w:ascii="宋体" w:hAnsi="宋体" w:cs="宋体"/>
              </w:rPr>
              <w:t>所有固定资产总额）×</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1" w:hRule="atLeast"/>
          <w:jc w:val="center"/>
        </w:trPr>
        <w:tc>
          <w:tcPr>
            <w:tcW w:w="303"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产出（</w:t>
            </w:r>
            <w:r>
              <w:rPr>
                <w:rFonts w:ascii="宋体" w:hAnsi="宋体" w:cs="宋体"/>
              </w:rPr>
              <w:t>30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职责</w:t>
            </w:r>
            <w:r>
              <w:rPr>
                <w:rFonts w:ascii="宋体" w:cs="宋体"/>
              </w:rPr>
              <w:br w:type="textWrapping"/>
            </w:r>
            <w:r>
              <w:rPr>
                <w:rFonts w:hint="eastAsia" w:ascii="宋体" w:hAnsi="宋体" w:cs="宋体"/>
              </w:rPr>
              <w:t>履行（</w:t>
            </w:r>
            <w:r>
              <w:rPr>
                <w:rFonts w:ascii="宋体" w:hAnsi="宋体" w:cs="宋体"/>
              </w:rPr>
              <w:t>30</w:t>
            </w:r>
            <w:r>
              <w:rPr>
                <w:rFonts w:hint="eastAsia" w:ascii="宋体" w:hAnsi="宋体" w:cs="宋体"/>
              </w:rPr>
              <w:t>分）</w:t>
            </w:r>
          </w:p>
        </w:tc>
        <w:tc>
          <w:tcPr>
            <w:tcW w:w="499"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实际</w:t>
            </w:r>
          </w:p>
          <w:p>
            <w:pPr>
              <w:spacing w:line="240" w:lineRule="exact"/>
              <w:jc w:val="center"/>
              <w:rPr>
                <w:rFonts w:ascii="宋体" w:hAnsi="宋体" w:cs="宋体"/>
              </w:rPr>
            </w:pPr>
            <w:r>
              <w:rPr>
                <w:rFonts w:hint="eastAsia" w:ascii="宋体" w:hAnsi="宋体" w:cs="宋体"/>
              </w:rPr>
              <w:t>完成率</w:t>
            </w:r>
          </w:p>
          <w:p>
            <w:pPr>
              <w:spacing w:line="240" w:lineRule="exact"/>
              <w:jc w:val="center"/>
              <w:rPr>
                <w:rFonts w:ascii="宋体" w:cs="宋体"/>
              </w:rPr>
            </w:pPr>
            <w:r>
              <w:rPr>
                <w:rFonts w:hint="eastAsia" w:ascii="宋体" w:hAnsi="宋体" w:cs="宋体"/>
              </w:rPr>
              <w:t>（</w:t>
            </w:r>
            <w:r>
              <w:rPr>
                <w:rFonts w:ascii="宋体" w:hAnsi="宋体" w:cs="宋体"/>
              </w:rPr>
              <w:t>8</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7</w:t>
            </w:r>
          </w:p>
        </w:tc>
        <w:tc>
          <w:tcPr>
            <w:tcW w:w="157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部门履行职责而实际完成工作数与计划工作数的比率，用以反映和考核部门履职工作任务目标的实现程度。</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实际完成率</w:t>
            </w:r>
            <w:r>
              <w:rPr>
                <w:rFonts w:ascii="宋体" w:hAnsi="宋体" w:cs="宋体"/>
              </w:rPr>
              <w:t>=</w:t>
            </w:r>
            <w:r>
              <w:rPr>
                <w:rFonts w:hint="eastAsia" w:ascii="宋体" w:hAnsi="宋体" w:cs="宋体"/>
              </w:rPr>
              <w:t>（实际完成工作数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实际完成工作数：一定时期（年度或规划期）内部门实际完成工作任务的数量。</w:t>
            </w:r>
            <w:r>
              <w:rPr>
                <w:rFonts w:ascii="宋体" w:cs="宋体"/>
              </w:rPr>
              <w:br w:type="textWrapping"/>
            </w:r>
            <w:r>
              <w:rPr>
                <w:rFonts w:hint="eastAsia" w:ascii="宋体" w:hAnsi="宋体" w:cs="宋体"/>
              </w:rPr>
              <w:t>计划工作数：部门整体绩效目标确定的一定时期（年度或规划期）内预计完成工作任务的数量。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jc w:val="center"/>
        </w:trPr>
        <w:tc>
          <w:tcPr>
            <w:tcW w:w="303" w:type="pct"/>
            <w:vMerge w:val="continue"/>
            <w:textDirection w:val="tbRlV"/>
            <w:vAlign w:val="center"/>
          </w:tcPr>
          <w:p>
            <w:pPr>
              <w:spacing w:line="240" w:lineRule="exact"/>
              <w:ind w:left="113"/>
              <w:jc w:val="center"/>
              <w:rPr>
                <w:rFonts w:ascii="宋体" w:cs="宋体"/>
              </w:rPr>
            </w:pPr>
          </w:p>
        </w:tc>
        <w:tc>
          <w:tcPr>
            <w:tcW w:w="375" w:type="pct"/>
            <w:vMerge w:val="continue"/>
            <w:vAlign w:val="center"/>
          </w:tcPr>
          <w:p>
            <w:pPr>
              <w:spacing w:line="240" w:lineRule="exact"/>
              <w:jc w:val="center"/>
              <w:rPr>
                <w:rFonts w:ascii="宋体" w:cs="宋体"/>
              </w:rPr>
            </w:pPr>
          </w:p>
        </w:tc>
        <w:tc>
          <w:tcPr>
            <w:tcW w:w="499"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完成</w:t>
            </w:r>
          </w:p>
          <w:p>
            <w:pPr>
              <w:spacing w:line="240" w:lineRule="exact"/>
              <w:jc w:val="center"/>
              <w:rPr>
                <w:rFonts w:ascii="宋体" w:hAnsi="宋体" w:cs="宋体"/>
              </w:rPr>
            </w:pPr>
            <w:r>
              <w:rPr>
                <w:rFonts w:hint="eastAsia" w:ascii="宋体" w:hAnsi="宋体" w:cs="宋体"/>
              </w:rPr>
              <w:t>及时率</w:t>
            </w:r>
          </w:p>
          <w:p>
            <w:pPr>
              <w:spacing w:line="240" w:lineRule="exact"/>
              <w:jc w:val="center"/>
              <w:rPr>
                <w:rFonts w:ascii="宋体" w:cs="宋体"/>
              </w:rPr>
            </w:pPr>
            <w:r>
              <w:rPr>
                <w:rFonts w:hint="eastAsia" w:ascii="宋体" w:hAnsi="宋体" w:cs="宋体"/>
              </w:rPr>
              <w:t>（</w:t>
            </w:r>
            <w:r>
              <w:rPr>
                <w:rFonts w:ascii="宋体" w:hAnsi="宋体" w:cs="宋体"/>
              </w:rPr>
              <w:t>4</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3</w:t>
            </w:r>
          </w:p>
        </w:tc>
        <w:tc>
          <w:tcPr>
            <w:tcW w:w="157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部门在规定时限内及时完成的实际工作数与计划工作数的比率</w:t>
            </w:r>
            <w:r>
              <w:rPr>
                <w:rFonts w:ascii="宋体" w:hAnsi="宋体" w:cs="宋体"/>
              </w:rPr>
              <w:t>,</w:t>
            </w:r>
            <w:r>
              <w:rPr>
                <w:rFonts w:hint="eastAsia" w:ascii="宋体" w:hAnsi="宋体" w:cs="宋体"/>
              </w:rPr>
              <w:t>用以反映和考核部门履职时效目标的实现程度。</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完成及时率</w:t>
            </w:r>
            <w:r>
              <w:rPr>
                <w:rFonts w:ascii="宋体" w:hAnsi="宋体" w:cs="宋体"/>
              </w:rPr>
              <w:t>=</w:t>
            </w:r>
            <w:r>
              <w:rPr>
                <w:rFonts w:hint="eastAsia" w:ascii="宋体" w:hAnsi="宋体" w:cs="宋体"/>
              </w:rPr>
              <w:t>（及时完成实际工作数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及时完成实际工作数：部门按照整体绩效目标确定的时限实际完成的工作任务数量。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303"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499"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质量</w:t>
            </w:r>
          </w:p>
          <w:p>
            <w:pPr>
              <w:spacing w:line="240" w:lineRule="exact"/>
              <w:jc w:val="center"/>
              <w:rPr>
                <w:rFonts w:ascii="宋体" w:hAnsi="宋体" w:cs="宋体"/>
              </w:rPr>
            </w:pPr>
            <w:r>
              <w:rPr>
                <w:rFonts w:hint="eastAsia" w:ascii="宋体" w:hAnsi="宋体" w:cs="宋体"/>
              </w:rPr>
              <w:t>达标率</w:t>
            </w:r>
          </w:p>
          <w:p>
            <w:pPr>
              <w:spacing w:line="240" w:lineRule="exact"/>
              <w:jc w:val="center"/>
              <w:rPr>
                <w:rFonts w:ascii="宋体" w:cs="宋体"/>
              </w:rPr>
            </w:pPr>
            <w:r>
              <w:rPr>
                <w:rFonts w:hint="eastAsia" w:ascii="宋体" w:hAnsi="宋体" w:cs="宋体"/>
              </w:rPr>
              <w:t>（</w:t>
            </w:r>
            <w:r>
              <w:rPr>
                <w:rFonts w:ascii="宋体" w:hAnsi="宋体" w:cs="宋体"/>
              </w:rPr>
              <w:t>8</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7</w:t>
            </w:r>
          </w:p>
        </w:tc>
        <w:tc>
          <w:tcPr>
            <w:tcW w:w="157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达到质量标准（绩效标准值）的实际工作数与计划工作数的比率</w:t>
            </w:r>
            <w:r>
              <w:rPr>
                <w:rFonts w:ascii="宋体" w:hAnsi="宋体" w:cs="宋体"/>
              </w:rPr>
              <w:t>,</w:t>
            </w:r>
            <w:r>
              <w:rPr>
                <w:rFonts w:hint="eastAsia" w:ascii="宋体" w:hAnsi="宋体" w:cs="宋体"/>
              </w:rPr>
              <w:t>用以反映和考核部门履职质量目标的实现程度。</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质量达标率</w:t>
            </w:r>
            <w:r>
              <w:rPr>
                <w:rFonts w:ascii="宋体" w:hAnsi="宋体" w:cs="宋体"/>
              </w:rPr>
              <w:t>=</w:t>
            </w:r>
            <w:r>
              <w:rPr>
                <w:rFonts w:hint="eastAsia" w:ascii="宋体" w:hAnsi="宋体" w:cs="宋体"/>
              </w:rPr>
              <w:t>（质量达标实际工作数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质量达标实际工作数：一定时期（年度或规划期）内部门实际完成工作数中达到部门绩效目标要求（绩效标准值）的工作任务数量。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303"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499"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重点工作</w:t>
            </w:r>
          </w:p>
          <w:p>
            <w:pPr>
              <w:spacing w:line="240" w:lineRule="exact"/>
              <w:jc w:val="center"/>
              <w:rPr>
                <w:rFonts w:ascii="宋体" w:cs="宋体"/>
              </w:rPr>
            </w:pPr>
            <w:r>
              <w:rPr>
                <w:rFonts w:hint="eastAsia" w:ascii="宋体" w:hAnsi="宋体" w:cs="宋体"/>
              </w:rPr>
              <w:t>办结率（</w:t>
            </w:r>
            <w:r>
              <w:rPr>
                <w:rFonts w:ascii="宋体" w:hAnsi="宋体" w:cs="宋体"/>
              </w:rPr>
              <w:t>10</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10</w:t>
            </w:r>
          </w:p>
        </w:tc>
        <w:tc>
          <w:tcPr>
            <w:tcW w:w="157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部门年度重点工作实际完成数与交办或下达数的比率，用以反映部门对重点工作的办理落实程度。</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重点工作办结率</w:t>
            </w:r>
            <w:r>
              <w:rPr>
                <w:rFonts w:ascii="宋体" w:hAnsi="宋体" w:cs="宋体"/>
              </w:rPr>
              <w:t>=</w:t>
            </w:r>
            <w:r>
              <w:rPr>
                <w:rFonts w:hint="eastAsia" w:ascii="宋体" w:hAnsi="宋体" w:cs="宋体"/>
              </w:rPr>
              <w:t>（重点工作实际完成数</w:t>
            </w:r>
            <w:r>
              <w:rPr>
                <w:rFonts w:ascii="宋体" w:hAnsi="宋体" w:cs="宋体"/>
              </w:rPr>
              <w:t>/</w:t>
            </w:r>
            <w:r>
              <w:rPr>
                <w:rFonts w:hint="eastAsia" w:ascii="宋体" w:hAnsi="宋体" w:cs="宋体"/>
              </w:rPr>
              <w:t>交办或下达数）×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重点工作是指党委、政府、人大、相关部门交办或下达的工作任务。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3"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效果（</w:t>
            </w:r>
            <w:r>
              <w:rPr>
                <w:rFonts w:ascii="宋体" w:hAnsi="宋体" w:cs="宋体"/>
              </w:rPr>
              <w:t>20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履职</w:t>
            </w:r>
            <w:r>
              <w:rPr>
                <w:rFonts w:ascii="宋体" w:cs="宋体"/>
              </w:rPr>
              <w:br w:type="textWrapping"/>
            </w:r>
            <w:r>
              <w:rPr>
                <w:rFonts w:hint="eastAsia" w:ascii="宋体" w:hAnsi="宋体" w:cs="宋体"/>
              </w:rPr>
              <w:t>效益（</w:t>
            </w:r>
            <w:r>
              <w:rPr>
                <w:rFonts w:ascii="宋体" w:hAnsi="宋体" w:cs="宋体"/>
              </w:rPr>
              <w:t>20</w:t>
            </w:r>
            <w:r>
              <w:rPr>
                <w:rFonts w:hint="eastAsia" w:ascii="宋体" w:hAnsi="宋体" w:cs="宋体"/>
              </w:rPr>
              <w:t>分）</w:t>
            </w:r>
          </w:p>
        </w:tc>
        <w:tc>
          <w:tcPr>
            <w:tcW w:w="499"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经济效益（</w:t>
            </w:r>
            <w:r>
              <w:rPr>
                <w:rFonts w:ascii="宋体" w:hAnsi="宋体" w:cs="宋体"/>
              </w:rPr>
              <w:t>5</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5</w:t>
            </w:r>
          </w:p>
        </w:tc>
        <w:tc>
          <w:tcPr>
            <w:tcW w:w="157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部门履行职责对经济发展所带来的直接或间接影响。</w:t>
            </w:r>
          </w:p>
        </w:tc>
        <w:tc>
          <w:tcPr>
            <w:tcW w:w="1868" w:type="pct"/>
            <w:vMerge w:val="restar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此三项指标为设置部门整体支出绩效评价指标时必须考虑的共性要素，可根据部门实际并结合部门整体支出绩效目标设立情况有选择的进行设置，并将其细化为相应的个性化指标。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3"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499"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社会效益（</w:t>
            </w:r>
            <w:r>
              <w:rPr>
                <w:rFonts w:ascii="宋体" w:hAnsi="宋体" w:cs="宋体"/>
              </w:rPr>
              <w:t>5</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5</w:t>
            </w:r>
          </w:p>
        </w:tc>
        <w:tc>
          <w:tcPr>
            <w:tcW w:w="157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部门履行职责对社会发展所带来的直接或间接影响。</w:t>
            </w:r>
          </w:p>
        </w:tc>
        <w:tc>
          <w:tcPr>
            <w:tcW w:w="1868" w:type="pct"/>
            <w:vMerge w:val="continue"/>
            <w:vAlign w:val="center"/>
          </w:tcPr>
          <w:p>
            <w:pPr>
              <w:spacing w:line="240" w:lineRule="exact"/>
              <w:ind w:left="105" w:leftChars="50" w:right="105" w:rightChars="5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3"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499"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生态效益（</w:t>
            </w:r>
            <w:r>
              <w:rPr>
                <w:rFonts w:ascii="宋体" w:hAnsi="宋体" w:cs="宋体"/>
              </w:rPr>
              <w:t>5</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eastAsia="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4.5</w:t>
            </w:r>
          </w:p>
        </w:tc>
        <w:tc>
          <w:tcPr>
            <w:tcW w:w="157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部门履行职责对生态环境所带来的直接或间接影响。</w:t>
            </w:r>
          </w:p>
        </w:tc>
        <w:tc>
          <w:tcPr>
            <w:tcW w:w="1868" w:type="pct"/>
            <w:vMerge w:val="continue"/>
            <w:vAlign w:val="center"/>
          </w:tcPr>
          <w:p>
            <w:pPr>
              <w:spacing w:line="240" w:lineRule="exact"/>
              <w:ind w:left="105" w:leftChars="50" w:right="105" w:rightChars="5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jc w:val="center"/>
        </w:trPr>
        <w:tc>
          <w:tcPr>
            <w:tcW w:w="303"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499"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社会公众</w:t>
            </w:r>
          </w:p>
          <w:p>
            <w:pPr>
              <w:spacing w:line="240" w:lineRule="exact"/>
              <w:jc w:val="center"/>
              <w:rPr>
                <w:rFonts w:ascii="宋体" w:cs="宋体"/>
              </w:rPr>
            </w:pPr>
            <w:r>
              <w:rPr>
                <w:rFonts w:hint="eastAsia" w:ascii="宋体" w:hAnsi="宋体" w:cs="宋体"/>
              </w:rPr>
              <w:t>或服务对</w:t>
            </w:r>
          </w:p>
          <w:p>
            <w:pPr>
              <w:spacing w:line="240" w:lineRule="exact"/>
              <w:jc w:val="center"/>
              <w:rPr>
                <w:rFonts w:ascii="宋体" w:cs="宋体"/>
              </w:rPr>
            </w:pPr>
            <w:r>
              <w:rPr>
                <w:rFonts w:hint="eastAsia" w:ascii="宋体" w:hAnsi="宋体" w:cs="宋体"/>
              </w:rPr>
              <w:t>象满意度（</w:t>
            </w:r>
            <w:r>
              <w:rPr>
                <w:rFonts w:ascii="宋体" w:hAnsi="宋体" w:cs="宋体"/>
              </w:rPr>
              <w:t>5</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5</w:t>
            </w:r>
          </w:p>
        </w:tc>
        <w:tc>
          <w:tcPr>
            <w:tcW w:w="157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社会公众或部门的服务对象对部门履职效果的满意程度。</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社会公众或服务对象是指部门履行职责而影响到的部门、群体或个人。一般采取社会调查的方式。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303" w:type="pct"/>
            <w:vAlign w:val="center"/>
          </w:tcPr>
          <w:p>
            <w:pPr>
              <w:spacing w:line="240" w:lineRule="exact"/>
              <w:rPr>
                <w:rFonts w:ascii="宋体" w:cs="宋体"/>
              </w:rPr>
            </w:pPr>
            <w:r>
              <w:rPr>
                <w:rFonts w:hint="eastAsia" w:ascii="宋体" w:hAnsi="宋体" w:cs="宋体"/>
              </w:rPr>
              <w:t>总分</w:t>
            </w:r>
          </w:p>
        </w:tc>
        <w:tc>
          <w:tcPr>
            <w:tcW w:w="375" w:type="pct"/>
            <w:vAlign w:val="center"/>
          </w:tcPr>
          <w:p>
            <w:pPr>
              <w:spacing w:line="240" w:lineRule="exact"/>
              <w:rPr>
                <w:rFonts w:ascii="宋体" w:cs="宋体"/>
              </w:rPr>
            </w:pPr>
          </w:p>
        </w:tc>
        <w:tc>
          <w:tcPr>
            <w:tcW w:w="499" w:type="pct"/>
            <w:tcMar>
              <w:top w:w="10" w:type="dxa"/>
              <w:left w:w="10" w:type="dxa"/>
              <w:bottom w:w="0" w:type="dxa"/>
              <w:right w:w="10" w:type="dxa"/>
            </w:tcMar>
            <w:vAlign w:val="center"/>
          </w:tcPr>
          <w:p>
            <w:pPr>
              <w:spacing w:line="240" w:lineRule="exact"/>
              <w:jc w:val="center"/>
              <w:rPr>
                <w:rFonts w:ascii="宋体" w:cs="宋体"/>
              </w:rPr>
            </w:pPr>
          </w:p>
        </w:tc>
        <w:tc>
          <w:tcPr>
            <w:tcW w:w="375" w:type="pct"/>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95.5</w:t>
            </w:r>
          </w:p>
        </w:tc>
        <w:tc>
          <w:tcPr>
            <w:tcW w:w="157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p>
        </w:tc>
        <w:tc>
          <w:tcPr>
            <w:tcW w:w="1868" w:type="pct"/>
            <w:tcMar>
              <w:top w:w="10" w:type="dxa"/>
              <w:left w:w="10" w:type="dxa"/>
              <w:bottom w:w="0" w:type="dxa"/>
              <w:right w:w="10" w:type="dxa"/>
            </w:tcMar>
            <w:vAlign w:val="center"/>
          </w:tcPr>
          <w:p>
            <w:pPr>
              <w:spacing w:line="240" w:lineRule="exact"/>
              <w:ind w:left="105" w:leftChars="50" w:right="105" w:rightChars="50"/>
              <w:rPr>
                <w:rFonts w:ascii="宋体" w:cs="宋体"/>
              </w:rPr>
            </w:pPr>
          </w:p>
        </w:tc>
      </w:tr>
    </w:tbl>
    <w:p>
      <w:pPr>
        <w:spacing w:beforeLines="50" w:afterLines="50"/>
        <w:jc w:val="center"/>
        <w:rPr>
          <w:rFonts w:cs="黑体" w:asciiTheme="minorEastAsia" w:hAnsiTheme="minorEastAsia"/>
          <w:color w:val="000000"/>
          <w:kern w:val="0"/>
          <w:sz w:val="32"/>
          <w:szCs w:val="32"/>
        </w:rPr>
      </w:pPr>
    </w:p>
    <w:p/>
    <w:sectPr>
      <w:pgSz w:w="11906" w:h="16838"/>
      <w:pgMar w:top="1134" w:right="1531" w:bottom="113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92C2AC"/>
    <w:multiLevelType w:val="singleLevel"/>
    <w:tmpl w:val="E692C2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DRkNTkxMzRiYWQ3ODFjNjM3YTMzZWRlYjFjZmQifQ=="/>
  </w:docVars>
  <w:rsids>
    <w:rsidRoot w:val="00000000"/>
    <w:rsid w:val="6C371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2023-06-27T07:15:29Z</dcterms:created>
  <dc:creator>admin-3</dc:creator>
  <cp:lastModifiedBy>admin-3</cp:lastModifiedBy>
  <dcterms:modified xsi:type="dcterms:W3CDTF">2023-06-27T07:16:22Z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92EB991571A0428590FC9EB4C00609BA_12</vt:lpwstr>
  </property>
</Properties>
</file>