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snapToGrid/>
        <w:spacing w:after="0" w:line="60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bidi w:val="0"/>
        <w:snapToGrid/>
        <w:spacing w:after="0" w:line="6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益阳市</w:t>
      </w:r>
      <w:r>
        <w:rPr>
          <w:rFonts w:hint="eastAsia" w:ascii="黑体" w:hAnsi="黑体" w:eastAsia="黑体" w:cs="黑体"/>
          <w:sz w:val="36"/>
          <w:szCs w:val="36"/>
        </w:rPr>
        <w:t>赫山区工业和信息化局</w:t>
      </w:r>
      <w:r>
        <w:rPr>
          <w:rFonts w:hint="eastAsia" w:ascii="黑体" w:hAnsi="黑体" w:eastAsia="黑体" w:cs="黑体"/>
          <w:sz w:val="36"/>
          <w:szCs w:val="36"/>
          <w:lang w:val="en-US" w:eastAsia="zh-CN"/>
        </w:rPr>
        <w:t>2021年度</w:t>
      </w:r>
    </w:p>
    <w:p>
      <w:pPr>
        <w:keepNext w:val="0"/>
        <w:keepLines w:val="0"/>
        <w:pageBreakBefore w:val="0"/>
        <w:kinsoku/>
        <w:wordWrap/>
        <w:overflowPunct/>
        <w:bidi w:val="0"/>
        <w:snapToGrid/>
        <w:spacing w:after="0"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整体支出绩效评价报告</w:t>
      </w:r>
    </w:p>
    <w:p>
      <w:pPr>
        <w:keepNext w:val="0"/>
        <w:keepLines w:val="0"/>
        <w:pageBreakBefore w:val="0"/>
        <w:kinsoku/>
        <w:wordWrap/>
        <w:overflowPunct/>
        <w:bidi w:val="0"/>
        <w:snapToGrid/>
        <w:spacing w:after="0" w:line="600" w:lineRule="exact"/>
        <w:ind w:firstLine="720" w:firstLineChars="200"/>
        <w:jc w:val="center"/>
        <w:textAlignment w:val="auto"/>
        <w:rPr>
          <w:rFonts w:hint="eastAsia" w:ascii="黑体" w:hAnsi="黑体" w:eastAsia="黑体" w:cs="黑体"/>
          <w:sz w:val="36"/>
          <w:szCs w:val="36"/>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一、部门主要职责</w:t>
      </w:r>
    </w:p>
    <w:p>
      <w:pPr>
        <w:pStyle w:val="5"/>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赫山区工业和信息化局是区人民政府工作部门，主管全区工业和信息化工作，主要职责是拟定并组织实施新型工业化总体规划、产业规划、投资规划；监测分析全区工业经济运行态势，协调解决工业经济运行中存在的突出问题；推进企业技术进步、技术创新、提升改造传统产业；拟定促进全区非公有制经济和中小企业发展的政策措施，促进中小企业发展；开展能源节约资源、综合利用和清洁生产工作；拟定信息化发展战略、专项规划及相关政策，协调解决重大问题；促进软件业和信息服务业的发展；负责企业帮扶、安全生产、综治维稳等工作；管理二级企事业单位的各项事宜。</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二、部门概况</w:t>
      </w:r>
    </w:p>
    <w:p>
      <w:pPr>
        <w:pStyle w:val="5"/>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益阳市赫山区工业和信息化局为一级预算管理的行政单位，内设8个股室：办公室、人事股、财务审计股、运行监测股、投资服务股、中小企业股、信息化推进股、政策法规股，下辖4个二级事业单位。</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三、一般公共预算支出情况</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2021年度一般公共预算支出总计1153.42</w:t>
      </w:r>
      <w:r>
        <w:rPr>
          <w:rFonts w:hint="eastAsia" w:ascii="仿宋" w:hAnsi="仿宋" w:eastAsia="仿宋" w:cs="仿宋"/>
          <w:sz w:val="30"/>
          <w:szCs w:val="30"/>
          <w:lang w:eastAsia="zh-CN"/>
        </w:rPr>
        <w:t>万元，</w:t>
      </w:r>
      <w:r>
        <w:rPr>
          <w:rFonts w:hint="eastAsia" w:ascii="仿宋" w:hAnsi="仿宋" w:eastAsia="仿宋" w:cs="仿宋"/>
          <w:sz w:val="30"/>
          <w:szCs w:val="30"/>
          <w:lang w:val="en-US" w:eastAsia="zh-CN"/>
        </w:rPr>
        <w:t>其中：基本支出1153.42</w:t>
      </w:r>
      <w:r>
        <w:rPr>
          <w:rFonts w:hint="eastAsia" w:ascii="仿宋" w:hAnsi="仿宋" w:eastAsia="仿宋" w:cs="仿宋"/>
          <w:sz w:val="30"/>
          <w:szCs w:val="30"/>
          <w:lang w:eastAsia="zh-CN"/>
        </w:rPr>
        <w:t>万元</w:t>
      </w:r>
      <w:r>
        <w:rPr>
          <w:rFonts w:hint="eastAsia" w:ascii="仿宋" w:hAnsi="仿宋" w:eastAsia="仿宋" w:cs="仿宋"/>
          <w:sz w:val="30"/>
          <w:szCs w:val="30"/>
          <w:lang w:val="en-US" w:eastAsia="zh-CN"/>
        </w:rPr>
        <w:t>，占100%。较2020年减少634.50万元，降低35.49%,主要原因</w:t>
      </w:r>
      <w:r>
        <w:rPr>
          <w:rFonts w:hint="eastAsia" w:ascii="仿宋" w:hAnsi="仿宋" w:eastAsia="仿宋" w:cs="仿宋"/>
          <w:sz w:val="30"/>
          <w:szCs w:val="30"/>
          <w:lang w:val="zh-CN"/>
        </w:rPr>
        <w:t>是因为</w:t>
      </w:r>
      <w:r>
        <w:rPr>
          <w:rFonts w:hint="eastAsia" w:ascii="仿宋" w:hAnsi="仿宋" w:eastAsia="仿宋" w:cs="仿宋"/>
          <w:sz w:val="30"/>
          <w:szCs w:val="30"/>
          <w:lang w:val="zh-CN" w:eastAsia="zh-CN"/>
        </w:rPr>
        <w:t>对企业的新型工业化奖励资金减少；</w:t>
      </w:r>
      <w:r>
        <w:rPr>
          <w:rFonts w:hint="eastAsia" w:ascii="仿宋" w:hAnsi="仿宋" w:eastAsia="仿宋" w:cs="仿宋"/>
          <w:sz w:val="30"/>
          <w:szCs w:val="30"/>
          <w:lang w:val="en-US" w:eastAsia="zh-CN"/>
        </w:rPr>
        <w:t>项目支出0万元。</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四、政府性基金预算支出情况</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赫山区工信局2021年度政府性基金预算支出为8万元。</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五、国有资本经营性预算支出情况</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赫山区工信局2021年度国有资本经营性预算支出为45.08万元。</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六、社会保险基金预算支出情况</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赫山区工信局2021年度社会保险基金预算支出为零。</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七</w:t>
      </w:r>
      <w:r>
        <w:rPr>
          <w:rFonts w:hint="eastAsia" w:ascii="黑体" w:hAnsi="黑体" w:eastAsia="黑体" w:cs="黑体"/>
          <w:sz w:val="30"/>
          <w:szCs w:val="30"/>
        </w:rPr>
        <w:t>、部门整体支出绩效情况</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2021年新增规模工业企业40家；国企改制任务基本完成；无非正常赴省进京上访，无重大安全生产事故；加大技术改造力度，加快科技创新步伐，大力推进节能降耗；组织实施两化融合专项行动计划，组织企业开展和申报两化融合标杆企业认定；培育国家级“小巨人”企业6家，省级“小巨人”企业5家，市级“小巨人”企业6家。</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八、存在的问题及原因分析</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预算编制工作有待细化。预算编制不够明确和细化，预算编制的合理性有待进一步提高。因部分工作是年中或年末根据省市相关要求开展，未纳入年初预算，另外还有部分不可预见经费的追加，无法纳入预算，导致预算执行存在偏差。</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九、下一步改进措施</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加强管理，严控行政支出。目前赫山区工信局三公经费的预算执行情况较好，但仍需进一步严控三公经费支出和审批流程，进一步细化三公经费的管理。</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十、其他需要说明的情况</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无其他需要说明的情况。</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附件：2021年度部门整体支出绩效自评指标计分表</w:t>
      </w: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p>
    <w:p>
      <w:pPr>
        <w:keepNext w:val="0"/>
        <w:keepLines w:val="0"/>
        <w:pageBreakBefore w:val="0"/>
        <w:kinsoku/>
        <w:wordWrap/>
        <w:overflowPunct/>
        <w:bidi w:val="0"/>
        <w:adjustRightInd/>
        <w:snapToGrid/>
        <w:spacing w:after="0" w:line="600" w:lineRule="exact"/>
        <w:ind w:firstLine="600" w:firstLineChars="200"/>
        <w:jc w:val="both"/>
        <w:textAlignment w:val="auto"/>
        <w:rPr>
          <w:rFonts w:hint="eastAsia" w:ascii="仿宋" w:hAnsi="仿宋" w:eastAsia="仿宋" w:cs="仿宋"/>
          <w:sz w:val="30"/>
          <w:szCs w:val="30"/>
        </w:rPr>
      </w:pPr>
      <w:bookmarkStart w:id="0" w:name="_GoBack"/>
      <w:bookmarkEnd w:id="0"/>
    </w:p>
    <w:p>
      <w:pPr>
        <w:spacing w:beforeLines="50" w:afterLines="50"/>
        <w:jc w:val="center"/>
        <w:rPr>
          <w:rFonts w:hint="eastAsia" w:ascii="黑体" w:hAnsi="黑体" w:eastAsia="黑体" w:cs="黑体"/>
          <w:sz w:val="30"/>
          <w:szCs w:val="30"/>
        </w:rPr>
      </w:pPr>
      <w:r>
        <w:rPr>
          <w:rFonts w:hint="eastAsia" w:ascii="黑体" w:hAnsi="黑体" w:eastAsia="黑体" w:cs="黑体"/>
          <w:sz w:val="30"/>
          <w:szCs w:val="30"/>
        </w:rPr>
        <w:t>2021年度部门整体支出绩效自评指标计分表</w:t>
      </w:r>
    </w:p>
    <w:tbl>
      <w:tblPr>
        <w:tblStyle w:val="3"/>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
        <w:gridCol w:w="667"/>
        <w:gridCol w:w="889"/>
        <w:gridCol w:w="667"/>
        <w:gridCol w:w="2802"/>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noWrap w:val="0"/>
            <w:tcMar>
              <w:top w:w="10" w:type="dxa"/>
              <w:left w:w="10" w:type="dxa"/>
              <w:bottom w:w="0" w:type="dxa"/>
              <w:right w:w="10" w:type="dxa"/>
            </w:tcMar>
            <w:vAlign w:val="center"/>
          </w:tcPr>
          <w:p>
            <w:pPr>
              <w:spacing w:line="240" w:lineRule="exact"/>
              <w:jc w:val="center"/>
              <w:rPr>
                <w:rFonts w:hint="eastAsia" w:ascii="宋体" w:hAnsi="宋体" w:eastAsia="宋体" w:cs="宋体"/>
                <w:b/>
                <w:bCs/>
                <w:lang w:eastAsia="zh-CN"/>
              </w:rPr>
            </w:pPr>
            <w:r>
              <w:rPr>
                <w:rFonts w:hint="eastAsia" w:ascii="宋体" w:hAnsi="宋体" w:cs="宋体"/>
                <w:b/>
                <w:bCs/>
              </w:rPr>
              <w:t>一级</w:t>
            </w:r>
          </w:p>
          <w:p>
            <w:pPr>
              <w:spacing w:line="240" w:lineRule="exact"/>
              <w:jc w:val="center"/>
              <w:rPr>
                <w:rFonts w:ascii="宋体" w:cs="宋体"/>
                <w:b/>
                <w:bCs/>
              </w:rPr>
            </w:pPr>
            <w:r>
              <w:rPr>
                <w:rFonts w:hint="eastAsia" w:ascii="宋体" w:hAnsi="宋体" w:cs="宋体"/>
                <w:b/>
                <w:bCs/>
              </w:rPr>
              <w:t>指标</w:t>
            </w:r>
          </w:p>
        </w:tc>
        <w:tc>
          <w:tcPr>
            <w:tcW w:w="375" w:type="pct"/>
            <w:noWrap w:val="0"/>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noWrap w:val="0"/>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noWrap w:val="0"/>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noWrap w:val="0"/>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noWrap w:val="0"/>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目标</w:t>
            </w:r>
          </w:p>
          <w:p>
            <w:pPr>
              <w:spacing w:line="240" w:lineRule="exact"/>
              <w:jc w:val="center"/>
              <w:rPr>
                <w:rFonts w:ascii="宋体" w:cs="宋体"/>
              </w:rPr>
            </w:pPr>
            <w:r>
              <w:rPr>
                <w:rFonts w:hint="eastAsia" w:ascii="宋体" w:hAnsi="宋体" w:cs="宋体"/>
              </w:rPr>
              <w:t>设定（</w:t>
            </w:r>
            <w:r>
              <w:rPr>
                <w:rFonts w:ascii="宋体" w:hAnsi="宋体" w:cs="宋体"/>
              </w:rPr>
              <w:t>5</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①是否符合国家法律法规、国民经济和社会发展总体规划；</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②是否符合部门“三定”方案确定的职责；</w:t>
            </w:r>
          </w:p>
          <w:p>
            <w:pPr>
              <w:spacing w:line="240" w:lineRule="exact"/>
              <w:ind w:left="105" w:leftChars="50" w:right="105" w:rightChars="50"/>
              <w:rPr>
                <w:rFonts w:ascii="宋体" w:cs="宋体"/>
              </w:rPr>
            </w:pP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3</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①是否将部门整体的绩效目标细化分解为具体的工作任务；</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p>
          <w:p>
            <w:pPr>
              <w:spacing w:line="240" w:lineRule="exact"/>
              <w:ind w:left="105" w:leftChars="50" w:right="105" w:rightChars="50"/>
              <w:rPr>
                <w:rFonts w:ascii="宋体" w:cs="宋体"/>
              </w:rPr>
            </w:pP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noWrap w:val="0"/>
            <w:vAlign w:val="center"/>
          </w:tcPr>
          <w:p>
            <w:pPr>
              <w:spacing w:line="240" w:lineRule="exact"/>
              <w:rPr>
                <w:rFonts w:ascii="宋体" w:cs="宋体"/>
              </w:rPr>
            </w:pPr>
          </w:p>
        </w:tc>
        <w:tc>
          <w:tcPr>
            <w:tcW w:w="375" w:type="pct"/>
            <w:vMerge w:val="restart"/>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预算</w:t>
            </w:r>
          </w:p>
          <w:p>
            <w:pPr>
              <w:spacing w:line="240" w:lineRule="exact"/>
              <w:jc w:val="center"/>
              <w:rPr>
                <w:rFonts w:ascii="宋体" w:cs="宋体"/>
              </w:rPr>
            </w:pPr>
            <w:r>
              <w:rPr>
                <w:rFonts w:hint="eastAsia" w:ascii="宋体" w:hAnsi="宋体" w:cs="宋体"/>
              </w:rPr>
              <w:t>配置（</w:t>
            </w:r>
            <w:r>
              <w:rPr>
                <w:rFonts w:ascii="宋体" w:hAnsi="宋体" w:cs="宋体"/>
              </w:rPr>
              <w:t>15</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在职人员数：部门实际在职人数，以财政部确定的部门决算编制口径为准。</w:t>
            </w:r>
          </w:p>
          <w:p>
            <w:pPr>
              <w:spacing w:line="240" w:lineRule="exact"/>
              <w:ind w:left="105" w:leftChars="50" w:right="105" w:rightChars="50"/>
              <w:rPr>
                <w:rFonts w:ascii="宋体" w:cs="宋体"/>
              </w:rPr>
            </w:pP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重点预算支出：部门年度预算安排的，与本部门履职和发展密切相关、具有明显社会和经济影响、党委政府关心或社会比较关注的预算支出支出总额。</w:t>
            </w:r>
          </w:p>
          <w:p>
            <w:pPr>
              <w:spacing w:line="240" w:lineRule="exact"/>
              <w:ind w:left="105" w:leftChars="50" w:right="105" w:rightChars="50"/>
              <w:rPr>
                <w:rFonts w:ascii="宋体" w:cs="宋体"/>
              </w:rPr>
            </w:pP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w:t>
            </w:r>
            <w:r>
              <w:rPr>
                <w:rFonts w:ascii="宋体" w:hAnsi="宋体" w:cs="宋体"/>
              </w:rPr>
              <w:t>20</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3</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预算执行数：部门本年度实际完成的预算数。</w:t>
            </w:r>
          </w:p>
          <w:p>
            <w:pPr>
              <w:spacing w:line="240" w:lineRule="exact"/>
              <w:ind w:left="105" w:leftChars="50" w:right="105" w:rightChars="50"/>
              <w:rPr>
                <w:rFonts w:ascii="宋体" w:cs="宋体"/>
              </w:rPr>
            </w:pP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实际支付进度：部门在某一时点的支出预算执行总数与年度支出预算数的比率。</w:t>
            </w:r>
          </w:p>
          <w:p>
            <w:pPr>
              <w:spacing w:line="240" w:lineRule="exact"/>
              <w:ind w:left="105" w:leftChars="50" w:right="105" w:rightChars="50"/>
              <w:rPr>
                <w:rFonts w:ascii="宋体" w:cs="宋体"/>
              </w:rPr>
            </w:pP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noWrap w:val="0"/>
            <w:tcMar>
              <w:top w:w="10" w:type="dxa"/>
              <w:left w:w="10" w:type="dxa"/>
              <w:bottom w:w="0" w:type="dxa"/>
              <w:right w:w="10" w:type="dxa"/>
            </w:tcMar>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noWrap w:val="0"/>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预算</w:t>
            </w:r>
          </w:p>
          <w:p>
            <w:pPr>
              <w:spacing w:line="240" w:lineRule="exact"/>
              <w:jc w:val="center"/>
              <w:rPr>
                <w:rFonts w:ascii="宋体" w:cs="宋体"/>
              </w:rPr>
            </w:pP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①是否已制定或具有预算资金管理办法、内部财务管理制度、会计核算制度等管理制度；</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②相关管理制度是否合法、合规、完整；</w:t>
            </w:r>
          </w:p>
          <w:p>
            <w:pPr>
              <w:spacing w:line="240" w:lineRule="exact"/>
              <w:ind w:left="105" w:leftChars="50" w:right="105" w:rightChars="50"/>
              <w:rPr>
                <w:rFonts w:ascii="宋体" w:cs="宋体"/>
              </w:rPr>
            </w:pP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①是否符合国家财经法规和财务管理制度规定以及有关预算支出管理办法的规定；</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②资金的拨付是否有完整的审批程序和手续；</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③预算支出的重大开支是否经过评估论证；</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④是否符合部门预算批复的用途；</w:t>
            </w:r>
          </w:p>
          <w:p>
            <w:pPr>
              <w:spacing w:line="240" w:lineRule="exact"/>
              <w:ind w:left="105" w:leftChars="50" w:right="105" w:rightChars="50"/>
              <w:rPr>
                <w:rFonts w:ascii="宋体" w:cs="宋体"/>
              </w:rPr>
            </w:pP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①是否按规定内容公开预决算信息；</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②是否按规定时限公开预决算信息。</w:t>
            </w:r>
          </w:p>
          <w:p>
            <w:pPr>
              <w:spacing w:line="240" w:lineRule="exact"/>
              <w:ind w:left="105" w:leftChars="50" w:right="105" w:rightChars="50"/>
              <w:rPr>
                <w:rFonts w:ascii="宋体" w:cs="宋体"/>
              </w:rPr>
            </w:pP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①基础数据信息和会计信息资料是否真实；</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②基础数据信息和会计信息资料是否完整；</w:t>
            </w:r>
          </w:p>
          <w:p>
            <w:pPr>
              <w:spacing w:line="240" w:lineRule="exact"/>
              <w:ind w:left="105" w:leftChars="50" w:right="105" w:rightChars="50"/>
              <w:rPr>
                <w:rFonts w:ascii="宋体" w:cs="宋体"/>
              </w:rPr>
            </w:pP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资产</w:t>
            </w:r>
          </w:p>
          <w:p>
            <w:pPr>
              <w:spacing w:line="240" w:lineRule="exact"/>
              <w:jc w:val="center"/>
              <w:rPr>
                <w:rFonts w:ascii="宋体" w:cs="宋体"/>
              </w:rPr>
            </w:pPr>
            <w:r>
              <w:rPr>
                <w:rFonts w:hint="eastAsia" w:ascii="宋体" w:hAnsi="宋体" w:cs="宋体"/>
              </w:rPr>
              <w:t>管理（</w:t>
            </w:r>
            <w:r>
              <w:rPr>
                <w:rFonts w:ascii="宋体" w:hAnsi="宋体" w:cs="宋体"/>
              </w:rPr>
              <w:t>5</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p>
          <w:p>
            <w:pPr>
              <w:spacing w:line="240" w:lineRule="exact"/>
              <w:ind w:left="105" w:leftChars="50" w:right="105" w:rightChars="50"/>
              <w:rPr>
                <w:rFonts w:ascii="宋体" w:cs="宋体"/>
              </w:rPr>
            </w:pP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noWrap w:val="0"/>
            <w:vAlign w:val="top"/>
          </w:tcPr>
          <w:p>
            <w:pPr>
              <w:tabs>
                <w:tab w:val="left" w:pos="761"/>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noWrap w:val="0"/>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①资产保存是否完整；</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②资产配置是否合理；</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③资产处置是否规范；</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④资产账务管理是否合规，是否帐实相符；</w:t>
            </w:r>
          </w:p>
          <w:p>
            <w:pPr>
              <w:spacing w:line="240" w:lineRule="exact"/>
              <w:ind w:left="105" w:leftChars="50" w:right="105" w:rightChars="50"/>
              <w:rPr>
                <w:rFonts w:ascii="宋体" w:cs="宋体"/>
              </w:rPr>
            </w:pP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职责</w:t>
            </w:r>
          </w:p>
          <w:p>
            <w:pPr>
              <w:spacing w:line="240" w:lineRule="exact"/>
              <w:jc w:val="center"/>
              <w:rPr>
                <w:rFonts w:ascii="宋体" w:cs="宋体"/>
              </w:rPr>
            </w:pPr>
            <w:r>
              <w:rPr>
                <w:rFonts w:hint="eastAsia" w:ascii="宋体" w:hAnsi="宋体" w:cs="宋体"/>
              </w:rPr>
              <w:t>履行（</w:t>
            </w:r>
            <w:r>
              <w:rPr>
                <w:rFonts w:ascii="宋体" w:hAnsi="宋体" w:cs="宋体"/>
              </w:rPr>
              <w:t>30</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hAnsi="宋体" w:cs="宋体"/>
              </w:rPr>
            </w:pPr>
            <w:r>
              <w:rPr>
                <w:rFonts w:hint="eastAsia" w:ascii="宋体" w:hAnsi="宋体" w:cs="宋体"/>
              </w:rPr>
              <w:t>完成率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7</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实际完成工作数：一定时期（年度或规划期）内部门实际完成工作任务的数量。</w:t>
            </w:r>
          </w:p>
          <w:p>
            <w:pPr>
              <w:spacing w:line="240" w:lineRule="exact"/>
              <w:ind w:left="105" w:leftChars="50" w:right="105" w:rightChars="50"/>
              <w:rPr>
                <w:rFonts w:ascii="宋体" w:cs="宋体"/>
              </w:rPr>
            </w:pP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noWrap w:val="0"/>
            <w:textDirection w:val="tbRlV"/>
            <w:vAlign w:val="center"/>
          </w:tcPr>
          <w:p>
            <w:pPr>
              <w:spacing w:line="240" w:lineRule="exact"/>
              <w:ind w:left="113"/>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hAnsi="宋体" w:cs="宋体"/>
              </w:rPr>
            </w:pPr>
            <w:r>
              <w:rPr>
                <w:rFonts w:hint="eastAsia" w:ascii="宋体" w:hAnsi="宋体" w:cs="宋体"/>
              </w:rPr>
              <w:t>及时率</w:t>
            </w:r>
          </w:p>
          <w:p>
            <w:pPr>
              <w:spacing w:line="240" w:lineRule="exact"/>
              <w:jc w:val="center"/>
              <w:rPr>
                <w:rFonts w:ascii="宋体" w:cs="宋体"/>
              </w:rPr>
            </w:pPr>
            <w:r>
              <w:rPr>
                <w:rFonts w:hint="eastAsia" w:ascii="宋体" w:hAnsi="宋体" w:cs="宋体"/>
              </w:rPr>
              <w:t>（</w:t>
            </w:r>
            <w:r>
              <w:rPr>
                <w:rFonts w:ascii="宋体" w:hAnsi="宋体" w:cs="宋体"/>
              </w:rPr>
              <w:t>4</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hAnsi="宋体" w:cs="宋体"/>
              </w:rPr>
            </w:pPr>
            <w:r>
              <w:rPr>
                <w:rFonts w:hint="eastAsia" w:ascii="宋体" w:hAnsi="宋体" w:cs="宋体"/>
              </w:rPr>
              <w:t>达标率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7</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10</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履职</w:t>
            </w:r>
          </w:p>
          <w:p>
            <w:pPr>
              <w:spacing w:line="240" w:lineRule="exact"/>
              <w:jc w:val="center"/>
              <w:rPr>
                <w:rFonts w:ascii="宋体" w:cs="宋体"/>
              </w:rPr>
            </w:pPr>
            <w:r>
              <w:rPr>
                <w:rFonts w:hint="eastAsia" w:ascii="宋体" w:hAnsi="宋体" w:cs="宋体"/>
              </w:rPr>
              <w:t>效益（</w:t>
            </w:r>
            <w:r>
              <w:rPr>
                <w:rFonts w:ascii="宋体" w:hAnsi="宋体" w:cs="宋体"/>
              </w:rPr>
              <w:t>20</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noWrap w:val="0"/>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noWrap w:val="0"/>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noWrap w:val="0"/>
            <w:vAlign w:val="center"/>
          </w:tcPr>
          <w:p>
            <w:pPr>
              <w:spacing w:line="240" w:lineRule="exact"/>
              <w:rPr>
                <w:rFonts w:ascii="宋体" w:cs="宋体"/>
              </w:rPr>
            </w:pPr>
            <w:r>
              <w:rPr>
                <w:rFonts w:hint="eastAsia" w:ascii="宋体" w:hAnsi="宋体" w:cs="宋体"/>
              </w:rPr>
              <w:t>总分</w:t>
            </w:r>
          </w:p>
        </w:tc>
        <w:tc>
          <w:tcPr>
            <w:tcW w:w="375" w:type="pct"/>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p>
        </w:tc>
        <w:tc>
          <w:tcPr>
            <w:tcW w:w="375" w:type="pct"/>
            <w:noWrap w:val="0"/>
            <w:vAlign w:val="top"/>
          </w:tcPr>
          <w:p>
            <w:pPr>
              <w:tabs>
                <w:tab w:val="left" w:pos="2604"/>
              </w:tabs>
              <w:spacing w:line="240" w:lineRule="exact"/>
              <w:ind w:left="105" w:leftChars="50" w:right="105" w:rightChars="50" w:firstLine="96" w:firstLineChars="46"/>
              <w:rPr>
                <w:rFonts w:ascii="宋体" w:cs="宋体"/>
              </w:rPr>
            </w:pPr>
            <w:r>
              <w:rPr>
                <w:rFonts w:hint="eastAsia" w:ascii="宋体" w:cs="宋体"/>
              </w:rPr>
              <w:t>97</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
      <w:pPr>
        <w:adjustRightInd/>
        <w:snapToGrid/>
        <w:spacing w:after="0" w:line="560" w:lineRule="exact"/>
        <w:rPr>
          <w:rFonts w:ascii="仿宋_GB2312" w:eastAsia="仿宋_GB2312"/>
          <w:sz w:val="32"/>
          <w:szCs w:val="32"/>
        </w:rPr>
      </w:pPr>
    </w:p>
    <w:p>
      <w:r>
        <w:rPr>
          <w:rFonts w:eastAsia="方正仿宋简体"/>
          <w:color w:val="000000"/>
          <w:sz w:val="32"/>
          <w:szCs w:val="32"/>
        </w:rP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25CD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2023-06-17T15:36:17Z</dcterms:created>
  <dc:creator>admin-3</dc:creator>
  <cp:lastModifiedBy>admin-3</cp:lastModifiedBy>
  <dcterms:modified xsi:type="dcterms:W3CDTF">2023-06-17T15:37:58Z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E4E0735ABD874578B1F930CBEF5981E1_12</vt:lpwstr>
  </property>
</Properties>
</file>