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E65" w:rsidRDefault="00124E65">
      <w:pPr>
        <w:widowControl/>
        <w:shd w:val="clear" w:color="auto" w:fill="FFFFFF"/>
        <w:spacing w:line="600" w:lineRule="exact"/>
        <w:jc w:val="center"/>
        <w:textAlignment w:val="baseline"/>
        <w:rPr>
          <w:rFonts w:ascii="黑体" w:eastAsia="黑体" w:hAnsi="黑体" w:cs="黑体"/>
          <w:color w:val="333333"/>
          <w:kern w:val="36"/>
          <w:sz w:val="36"/>
          <w:szCs w:val="36"/>
        </w:rPr>
      </w:pPr>
    </w:p>
    <w:p w:rsidR="00124E65" w:rsidRDefault="00F11576">
      <w:pPr>
        <w:widowControl/>
        <w:shd w:val="clear" w:color="auto" w:fill="FFFFFF"/>
        <w:spacing w:line="600" w:lineRule="exact"/>
        <w:jc w:val="center"/>
        <w:textAlignment w:val="baseline"/>
        <w:rPr>
          <w:rFonts w:ascii="黑体" w:eastAsia="黑体" w:hAnsi="黑体" w:cs="黑体"/>
          <w:color w:val="333333"/>
          <w:kern w:val="36"/>
          <w:sz w:val="36"/>
          <w:szCs w:val="36"/>
        </w:rPr>
      </w:pPr>
      <w:bookmarkStart w:id="0" w:name="_GoBack"/>
      <w:bookmarkEnd w:id="0"/>
      <w:r>
        <w:rPr>
          <w:rFonts w:ascii="黑体" w:eastAsia="黑体" w:hAnsi="黑体" w:cs="黑体" w:hint="eastAsia"/>
          <w:color w:val="333333"/>
          <w:kern w:val="36"/>
          <w:sz w:val="36"/>
          <w:szCs w:val="36"/>
        </w:rPr>
        <w:t>益阳市赫山区新河电力排灌站2021年部门</w:t>
      </w:r>
    </w:p>
    <w:p w:rsidR="00124E65" w:rsidRDefault="00F11576">
      <w:pPr>
        <w:widowControl/>
        <w:shd w:val="clear" w:color="auto" w:fill="FFFFFF"/>
        <w:spacing w:line="600" w:lineRule="exact"/>
        <w:jc w:val="center"/>
        <w:textAlignment w:val="baseline"/>
        <w:rPr>
          <w:rFonts w:ascii="黑体" w:eastAsia="黑体" w:hAnsi="黑体" w:cs="黑体"/>
          <w:color w:val="333333"/>
          <w:kern w:val="36"/>
          <w:sz w:val="36"/>
          <w:szCs w:val="36"/>
        </w:rPr>
      </w:pPr>
      <w:r>
        <w:rPr>
          <w:rFonts w:ascii="黑体" w:eastAsia="黑体" w:hAnsi="黑体" w:cs="黑体" w:hint="eastAsia"/>
          <w:color w:val="333333"/>
          <w:kern w:val="36"/>
          <w:sz w:val="36"/>
          <w:szCs w:val="36"/>
        </w:rPr>
        <w:t>整体支出绩效评价报告</w:t>
      </w:r>
    </w:p>
    <w:p w:rsidR="00124E65" w:rsidRDefault="00124E65">
      <w:pPr>
        <w:widowControl/>
        <w:shd w:val="clear" w:color="auto" w:fill="FFFFFF"/>
        <w:spacing w:line="600" w:lineRule="exact"/>
        <w:ind w:firstLineChars="200" w:firstLine="600"/>
        <w:jc w:val="left"/>
        <w:textAlignment w:val="baseline"/>
        <w:rPr>
          <w:rFonts w:ascii="仿宋" w:eastAsia="仿宋" w:hAnsi="仿宋" w:cs="仿宋"/>
          <w:color w:val="333333"/>
          <w:kern w:val="0"/>
          <w:sz w:val="30"/>
          <w:szCs w:val="30"/>
        </w:rPr>
      </w:pPr>
    </w:p>
    <w:p w:rsidR="00124E65" w:rsidRDefault="00F11576">
      <w:pPr>
        <w:spacing w:line="600" w:lineRule="exact"/>
        <w:ind w:firstLineChars="200" w:firstLine="600"/>
        <w:textAlignment w:val="baseline"/>
        <w:rPr>
          <w:rFonts w:ascii="仿宋" w:eastAsia="仿宋" w:hAnsi="仿宋" w:cs="仿宋"/>
          <w:sz w:val="30"/>
          <w:szCs w:val="30"/>
        </w:rPr>
      </w:pPr>
      <w:r>
        <w:rPr>
          <w:rFonts w:ascii="仿宋" w:eastAsia="仿宋" w:hAnsi="仿宋" w:cs="仿宋" w:hint="eastAsia"/>
          <w:sz w:val="30"/>
          <w:szCs w:val="30"/>
        </w:rPr>
        <w:t>为深入贯彻落实《中共中央国务院关于全面实施预算绩效管理的意见》（中发[2018]34号）精神，进一步规范资金管理，牢固树立预算核算理念，强化部门支出责任，提高财政资金使用效率，根据《益阳市赫山区财政局关于做好2021年度预算绩效自评工作的通知》（益赫财绩[2022]1号）文件有关要求，我单位现将2021年度部门整体支出绩效评价情况报告如下： </w:t>
      </w:r>
    </w:p>
    <w:p w:rsidR="00124E65" w:rsidRDefault="00F11576">
      <w:pPr>
        <w:widowControl/>
        <w:shd w:val="clear" w:color="auto" w:fill="FFFFFF"/>
        <w:spacing w:line="600" w:lineRule="exact"/>
        <w:ind w:firstLineChars="200" w:firstLine="600"/>
        <w:jc w:val="left"/>
        <w:textAlignment w:val="baseline"/>
        <w:rPr>
          <w:rFonts w:ascii="黑体" w:eastAsia="黑体" w:hAnsi="黑体" w:cs="黑体"/>
          <w:color w:val="333333"/>
          <w:kern w:val="0"/>
          <w:sz w:val="30"/>
          <w:szCs w:val="30"/>
        </w:rPr>
      </w:pPr>
      <w:r>
        <w:rPr>
          <w:rFonts w:ascii="黑体" w:eastAsia="黑体" w:hAnsi="黑体" w:cs="黑体" w:hint="eastAsia"/>
          <w:color w:val="333333"/>
          <w:kern w:val="0"/>
          <w:sz w:val="30"/>
          <w:szCs w:val="30"/>
        </w:rPr>
        <w:t>一、部门基本情况</w:t>
      </w:r>
    </w:p>
    <w:p w:rsidR="00124E65" w:rsidRDefault="00F11576">
      <w:pPr>
        <w:widowControl/>
        <w:shd w:val="clear" w:color="auto" w:fill="FFFFFF"/>
        <w:spacing w:line="600" w:lineRule="exact"/>
        <w:ind w:firstLineChars="200" w:firstLine="602"/>
        <w:jc w:val="left"/>
        <w:textAlignment w:val="baseline"/>
        <w:rPr>
          <w:rFonts w:ascii="仿宋" w:eastAsia="仿宋" w:hAnsi="仿宋" w:cs="仿宋"/>
          <w:b/>
          <w:bCs/>
          <w:sz w:val="30"/>
          <w:szCs w:val="30"/>
        </w:rPr>
      </w:pPr>
      <w:r>
        <w:rPr>
          <w:rFonts w:ascii="仿宋" w:eastAsia="仿宋" w:hAnsi="仿宋" w:cs="仿宋" w:hint="eastAsia"/>
          <w:b/>
          <w:bCs/>
          <w:sz w:val="30"/>
          <w:szCs w:val="30"/>
        </w:rPr>
        <w:t>（一）部门职责</w:t>
      </w:r>
    </w:p>
    <w:p w:rsidR="00124E65" w:rsidRDefault="00F11576">
      <w:pPr>
        <w:widowControl/>
        <w:shd w:val="clear" w:color="auto" w:fill="FFFFFF"/>
        <w:spacing w:line="600" w:lineRule="exact"/>
        <w:ind w:firstLineChars="200" w:firstLine="600"/>
        <w:jc w:val="left"/>
        <w:textAlignment w:val="baseline"/>
        <w:rPr>
          <w:rFonts w:ascii="仿宋" w:eastAsia="仿宋" w:hAnsi="仿宋" w:cs="仿宋"/>
          <w:sz w:val="30"/>
          <w:szCs w:val="30"/>
        </w:rPr>
      </w:pPr>
      <w:r>
        <w:rPr>
          <w:rFonts w:ascii="仿宋" w:eastAsia="仿宋" w:hAnsi="仿宋" w:cs="仿宋" w:hint="eastAsia"/>
          <w:sz w:val="30"/>
          <w:szCs w:val="30"/>
        </w:rPr>
        <w:t>主要担负着烂泥湖大圈三乡两镇、一国营渔场的排提灌以及东烂泥湖的排澇削峰任务。</w:t>
      </w:r>
    </w:p>
    <w:p w:rsidR="00124E65" w:rsidRDefault="00F11576">
      <w:pPr>
        <w:widowControl/>
        <w:shd w:val="clear" w:color="auto" w:fill="FFFFFF"/>
        <w:spacing w:line="600" w:lineRule="exact"/>
        <w:ind w:firstLineChars="200" w:firstLine="602"/>
        <w:jc w:val="left"/>
        <w:textAlignment w:val="baseline"/>
        <w:rPr>
          <w:rFonts w:ascii="仿宋" w:eastAsia="仿宋" w:hAnsi="仿宋" w:cs="仿宋"/>
          <w:b/>
          <w:bCs/>
          <w:sz w:val="30"/>
          <w:szCs w:val="30"/>
        </w:rPr>
      </w:pPr>
      <w:r>
        <w:rPr>
          <w:rFonts w:ascii="仿宋" w:eastAsia="仿宋" w:hAnsi="仿宋" w:cs="仿宋" w:hint="eastAsia"/>
          <w:b/>
          <w:bCs/>
          <w:sz w:val="30"/>
          <w:szCs w:val="30"/>
        </w:rPr>
        <w:t>（二）机构设置、人员情况 </w:t>
      </w:r>
    </w:p>
    <w:p w:rsidR="00124E65" w:rsidRDefault="00F11576">
      <w:pPr>
        <w:widowControl/>
        <w:spacing w:line="600" w:lineRule="exact"/>
        <w:ind w:firstLineChars="200" w:firstLine="600"/>
        <w:textAlignment w:val="baseline"/>
        <w:rPr>
          <w:rFonts w:ascii="仿宋" w:eastAsia="仿宋" w:hAnsi="仿宋" w:cs="仿宋"/>
          <w:bCs/>
          <w:kern w:val="0"/>
          <w:sz w:val="30"/>
          <w:szCs w:val="30"/>
        </w:rPr>
      </w:pPr>
      <w:r>
        <w:rPr>
          <w:rFonts w:ascii="仿宋" w:eastAsia="仿宋" w:hAnsi="仿宋" w:cs="仿宋" w:hint="eastAsia"/>
          <w:sz w:val="30"/>
          <w:szCs w:val="30"/>
        </w:rPr>
        <w:t>益阳市赫山区新河电力排灌站</w:t>
      </w:r>
      <w:r>
        <w:rPr>
          <w:rFonts w:ascii="仿宋" w:eastAsia="仿宋" w:hAnsi="仿宋" w:cs="仿宋" w:hint="eastAsia"/>
          <w:bCs/>
          <w:kern w:val="0"/>
          <w:sz w:val="30"/>
          <w:szCs w:val="30"/>
        </w:rPr>
        <w:t>内设机构包括：</w:t>
      </w:r>
      <w:r>
        <w:rPr>
          <w:rFonts w:ascii="仿宋" w:eastAsia="仿宋" w:hAnsi="仿宋" w:cs="仿宋" w:hint="eastAsia"/>
          <w:sz w:val="30"/>
          <w:szCs w:val="30"/>
        </w:rPr>
        <w:t>办公室、站长办公室、副站长办公室和财务室。全额拨款事业编制35人，设站长1名，副站长3名全部纳入股级公益一类事业单位。</w:t>
      </w:r>
    </w:p>
    <w:p w:rsidR="00124E65" w:rsidRDefault="00F11576">
      <w:pPr>
        <w:widowControl/>
        <w:shd w:val="clear" w:color="auto" w:fill="FFFFFF"/>
        <w:spacing w:line="600" w:lineRule="exact"/>
        <w:ind w:firstLineChars="200" w:firstLine="600"/>
        <w:jc w:val="left"/>
        <w:textAlignment w:val="baseline"/>
        <w:rPr>
          <w:rFonts w:ascii="黑体" w:eastAsia="黑体" w:hAnsi="黑体" w:cs="黑体"/>
          <w:color w:val="333333"/>
          <w:kern w:val="0"/>
          <w:sz w:val="30"/>
          <w:szCs w:val="30"/>
        </w:rPr>
      </w:pPr>
      <w:r>
        <w:rPr>
          <w:rFonts w:ascii="黑体" w:eastAsia="黑体" w:hAnsi="黑体" w:cs="黑体" w:hint="eastAsia"/>
          <w:color w:val="333333"/>
          <w:kern w:val="0"/>
          <w:sz w:val="30"/>
          <w:szCs w:val="30"/>
        </w:rPr>
        <w:t>二、一般公共预算支出情况</w:t>
      </w:r>
    </w:p>
    <w:p w:rsidR="00124E65" w:rsidRDefault="00F11576">
      <w:pPr>
        <w:widowControl/>
        <w:shd w:val="clear" w:color="auto" w:fill="FFFFFF"/>
        <w:spacing w:line="600" w:lineRule="exact"/>
        <w:ind w:firstLineChars="200" w:firstLine="602"/>
        <w:jc w:val="left"/>
        <w:textAlignment w:val="baseline"/>
        <w:rPr>
          <w:rFonts w:ascii="仿宋" w:eastAsia="仿宋" w:hAnsi="仿宋" w:cs="仿宋"/>
          <w:b/>
          <w:bCs/>
          <w:sz w:val="30"/>
          <w:szCs w:val="30"/>
        </w:rPr>
      </w:pPr>
      <w:r>
        <w:rPr>
          <w:rFonts w:ascii="仿宋" w:eastAsia="仿宋" w:hAnsi="仿宋" w:cs="仿宋" w:hint="eastAsia"/>
          <w:b/>
          <w:bCs/>
          <w:sz w:val="30"/>
          <w:szCs w:val="30"/>
        </w:rPr>
        <w:t>（一）基本支出情况</w:t>
      </w:r>
    </w:p>
    <w:p w:rsidR="00124E65" w:rsidRDefault="00F11576">
      <w:pPr>
        <w:widowControl/>
        <w:shd w:val="clear" w:color="auto" w:fill="FFFFFF"/>
        <w:spacing w:line="600" w:lineRule="exact"/>
        <w:ind w:firstLineChars="200" w:firstLine="600"/>
        <w:jc w:val="left"/>
        <w:textAlignment w:val="baseline"/>
        <w:rPr>
          <w:rFonts w:ascii="仿宋" w:eastAsia="仿宋" w:hAnsi="仿宋" w:cs="仿宋"/>
          <w:sz w:val="30"/>
          <w:szCs w:val="30"/>
        </w:rPr>
      </w:pPr>
      <w:r>
        <w:rPr>
          <w:rFonts w:ascii="仿宋" w:eastAsia="仿宋" w:hAnsi="仿宋" w:cs="仿宋" w:hint="eastAsia"/>
          <w:sz w:val="30"/>
          <w:szCs w:val="30"/>
        </w:rPr>
        <w:t>2021年，我单位基本支出金额为194.53万元，包括社会保障和就业4.57万元、卫生健康支出2.62万元、农林水支出182.40万元、住房保障支出4.94万元；按支出性质和经济分类，人员经费186.45</w:t>
      </w:r>
      <w:r>
        <w:rPr>
          <w:rFonts w:ascii="仿宋" w:eastAsia="仿宋" w:hAnsi="仿宋" w:cs="仿宋" w:hint="eastAsia"/>
          <w:sz w:val="30"/>
          <w:szCs w:val="30"/>
        </w:rPr>
        <w:lastRenderedPageBreak/>
        <w:t>万元、公用经费8.08万元，具体为工资福利支出180.09万元、商品和服务支出8.08万元、对个人及家庭补助支出6.36万元。</w:t>
      </w:r>
    </w:p>
    <w:p w:rsidR="00124E65" w:rsidRDefault="00F11576">
      <w:pPr>
        <w:widowControl/>
        <w:shd w:val="clear" w:color="auto" w:fill="FFFFFF"/>
        <w:spacing w:line="600" w:lineRule="exact"/>
        <w:ind w:firstLineChars="200" w:firstLine="602"/>
        <w:jc w:val="left"/>
        <w:textAlignment w:val="baseline"/>
        <w:rPr>
          <w:rFonts w:ascii="仿宋" w:eastAsia="仿宋" w:hAnsi="仿宋" w:cs="仿宋"/>
          <w:b/>
          <w:bCs/>
          <w:sz w:val="30"/>
          <w:szCs w:val="30"/>
        </w:rPr>
      </w:pPr>
      <w:r>
        <w:rPr>
          <w:rFonts w:ascii="仿宋" w:eastAsia="仿宋" w:hAnsi="仿宋" w:cs="仿宋" w:hint="eastAsia"/>
          <w:b/>
          <w:bCs/>
          <w:sz w:val="30"/>
          <w:szCs w:val="30"/>
        </w:rPr>
        <w:t>（二）项目支出情况</w:t>
      </w:r>
    </w:p>
    <w:p w:rsidR="00124E65" w:rsidRDefault="00F11576">
      <w:pPr>
        <w:widowControl/>
        <w:shd w:val="clear" w:color="auto" w:fill="FFFFFF"/>
        <w:spacing w:line="600" w:lineRule="exact"/>
        <w:ind w:firstLineChars="200" w:firstLine="600"/>
        <w:jc w:val="left"/>
        <w:textAlignment w:val="baseline"/>
        <w:rPr>
          <w:rFonts w:ascii="仿宋" w:eastAsia="仿宋" w:hAnsi="仿宋" w:cs="仿宋"/>
          <w:sz w:val="30"/>
          <w:szCs w:val="30"/>
        </w:rPr>
      </w:pPr>
      <w:r>
        <w:rPr>
          <w:rFonts w:ascii="仿宋" w:eastAsia="仿宋" w:hAnsi="仿宋" w:cs="仿宋" w:hint="eastAsia"/>
          <w:sz w:val="30"/>
          <w:szCs w:val="30"/>
        </w:rPr>
        <w:t>2021年本单位无项目支出</w:t>
      </w:r>
    </w:p>
    <w:p w:rsidR="00124E65" w:rsidRDefault="00F11576">
      <w:pPr>
        <w:widowControl/>
        <w:shd w:val="clear" w:color="auto" w:fill="FFFFFF"/>
        <w:spacing w:line="600" w:lineRule="exact"/>
        <w:ind w:firstLineChars="200" w:firstLine="600"/>
        <w:jc w:val="left"/>
        <w:textAlignment w:val="baseline"/>
        <w:rPr>
          <w:rFonts w:ascii="黑体" w:eastAsia="黑体" w:hAnsi="黑体" w:cs="黑体"/>
          <w:color w:val="333333"/>
          <w:kern w:val="0"/>
          <w:sz w:val="30"/>
          <w:szCs w:val="30"/>
        </w:rPr>
      </w:pPr>
      <w:r>
        <w:rPr>
          <w:rFonts w:ascii="黑体" w:eastAsia="黑体" w:hAnsi="黑体" w:cs="黑体" w:hint="eastAsia"/>
          <w:color w:val="333333"/>
          <w:kern w:val="0"/>
          <w:sz w:val="30"/>
          <w:szCs w:val="30"/>
        </w:rPr>
        <w:t>三、政府性基金预算支出情况</w:t>
      </w:r>
    </w:p>
    <w:p w:rsidR="00124E65" w:rsidRDefault="00F11576">
      <w:pPr>
        <w:widowControl/>
        <w:shd w:val="clear" w:color="auto" w:fill="FFFFFF"/>
        <w:spacing w:line="600" w:lineRule="exact"/>
        <w:ind w:firstLineChars="200" w:firstLine="600"/>
        <w:jc w:val="left"/>
        <w:textAlignment w:val="baseline"/>
        <w:rPr>
          <w:rFonts w:ascii="仿宋" w:eastAsia="仿宋" w:hAnsi="仿宋" w:cs="仿宋"/>
          <w:sz w:val="30"/>
          <w:szCs w:val="30"/>
        </w:rPr>
      </w:pPr>
      <w:r>
        <w:rPr>
          <w:rFonts w:ascii="仿宋" w:eastAsia="仿宋" w:hAnsi="仿宋" w:cs="仿宋" w:hint="eastAsia"/>
          <w:sz w:val="30"/>
          <w:szCs w:val="30"/>
        </w:rPr>
        <w:t xml:space="preserve">本单位2021年无政府性基金预算支出 </w:t>
      </w:r>
    </w:p>
    <w:p w:rsidR="00124E65" w:rsidRDefault="00F11576">
      <w:pPr>
        <w:widowControl/>
        <w:shd w:val="clear" w:color="auto" w:fill="FFFFFF"/>
        <w:spacing w:line="600" w:lineRule="exact"/>
        <w:ind w:firstLineChars="200" w:firstLine="600"/>
        <w:jc w:val="left"/>
        <w:textAlignment w:val="baseline"/>
        <w:rPr>
          <w:rFonts w:ascii="黑体" w:eastAsia="黑体" w:hAnsi="黑体" w:cs="黑体"/>
          <w:color w:val="333333"/>
          <w:kern w:val="0"/>
          <w:sz w:val="30"/>
          <w:szCs w:val="30"/>
        </w:rPr>
      </w:pPr>
      <w:r>
        <w:rPr>
          <w:rFonts w:ascii="黑体" w:eastAsia="黑体" w:hAnsi="黑体" w:cs="黑体" w:hint="eastAsia"/>
          <w:color w:val="333333"/>
          <w:kern w:val="0"/>
          <w:sz w:val="30"/>
          <w:szCs w:val="30"/>
        </w:rPr>
        <w:t>四、国有资本经营预算支出情况</w:t>
      </w:r>
    </w:p>
    <w:p w:rsidR="00124E65" w:rsidRDefault="00F11576">
      <w:pPr>
        <w:widowControl/>
        <w:shd w:val="clear" w:color="auto" w:fill="FFFFFF"/>
        <w:spacing w:line="600" w:lineRule="exact"/>
        <w:ind w:firstLineChars="200" w:firstLine="600"/>
        <w:jc w:val="left"/>
        <w:textAlignment w:val="baseline"/>
        <w:rPr>
          <w:rFonts w:ascii="仿宋" w:eastAsia="仿宋" w:hAnsi="仿宋" w:cs="仿宋"/>
          <w:sz w:val="30"/>
          <w:szCs w:val="30"/>
        </w:rPr>
      </w:pPr>
      <w:r>
        <w:rPr>
          <w:rFonts w:ascii="仿宋" w:eastAsia="仿宋" w:hAnsi="仿宋" w:cs="仿宋" w:hint="eastAsia"/>
          <w:sz w:val="30"/>
          <w:szCs w:val="30"/>
        </w:rPr>
        <w:t>本单位2021年无国有资本经营预算支出</w:t>
      </w:r>
    </w:p>
    <w:p w:rsidR="00124E65" w:rsidRDefault="00F11576">
      <w:pPr>
        <w:widowControl/>
        <w:shd w:val="clear" w:color="auto" w:fill="FFFFFF"/>
        <w:spacing w:line="600" w:lineRule="exact"/>
        <w:ind w:firstLineChars="200" w:firstLine="600"/>
        <w:jc w:val="left"/>
        <w:textAlignment w:val="baseline"/>
        <w:rPr>
          <w:rFonts w:ascii="黑体" w:eastAsia="黑体" w:hAnsi="黑体" w:cs="黑体"/>
          <w:color w:val="333333"/>
          <w:kern w:val="0"/>
          <w:sz w:val="30"/>
          <w:szCs w:val="30"/>
        </w:rPr>
      </w:pPr>
      <w:r>
        <w:rPr>
          <w:rFonts w:ascii="黑体" w:eastAsia="黑体" w:hAnsi="黑体" w:cs="黑体" w:hint="eastAsia"/>
          <w:color w:val="333333"/>
          <w:kern w:val="0"/>
          <w:sz w:val="30"/>
          <w:szCs w:val="30"/>
        </w:rPr>
        <w:t>五、社会保险基金预算支出情况</w:t>
      </w:r>
    </w:p>
    <w:p w:rsidR="00124E65" w:rsidRDefault="00F11576">
      <w:pPr>
        <w:widowControl/>
        <w:shd w:val="clear" w:color="auto" w:fill="FFFFFF"/>
        <w:spacing w:line="600" w:lineRule="exact"/>
        <w:ind w:firstLineChars="200" w:firstLine="600"/>
        <w:jc w:val="left"/>
        <w:textAlignment w:val="baseline"/>
        <w:rPr>
          <w:rFonts w:ascii="仿宋" w:eastAsia="仿宋" w:hAnsi="仿宋" w:cs="仿宋"/>
          <w:sz w:val="30"/>
          <w:szCs w:val="30"/>
        </w:rPr>
      </w:pPr>
      <w:r>
        <w:rPr>
          <w:rFonts w:ascii="仿宋" w:eastAsia="仿宋" w:hAnsi="仿宋" w:cs="仿宋" w:hint="eastAsia"/>
          <w:sz w:val="30"/>
          <w:szCs w:val="30"/>
        </w:rPr>
        <w:t>本单位的社会保险基金预算支出纳入了工资福利支出，无其他相关支出。</w:t>
      </w:r>
    </w:p>
    <w:p w:rsidR="00124E65" w:rsidRDefault="00F11576">
      <w:pPr>
        <w:widowControl/>
        <w:shd w:val="clear" w:color="auto" w:fill="FFFFFF"/>
        <w:spacing w:line="600" w:lineRule="exact"/>
        <w:ind w:firstLineChars="200" w:firstLine="600"/>
        <w:jc w:val="left"/>
        <w:textAlignment w:val="baseline"/>
        <w:rPr>
          <w:rFonts w:ascii="黑体" w:eastAsia="黑体" w:hAnsi="黑体" w:cs="黑体"/>
          <w:color w:val="333333"/>
          <w:kern w:val="0"/>
          <w:sz w:val="30"/>
          <w:szCs w:val="30"/>
        </w:rPr>
      </w:pPr>
      <w:r>
        <w:rPr>
          <w:rFonts w:ascii="黑体" w:eastAsia="黑体" w:hAnsi="黑体" w:cs="黑体" w:hint="eastAsia"/>
          <w:color w:val="333333"/>
          <w:kern w:val="0"/>
          <w:sz w:val="30"/>
          <w:szCs w:val="30"/>
        </w:rPr>
        <w:t>六、部门整体支出绩效情况</w:t>
      </w:r>
    </w:p>
    <w:p w:rsidR="00124E65" w:rsidRDefault="00F11576">
      <w:pPr>
        <w:widowControl/>
        <w:shd w:val="clear" w:color="auto" w:fill="FFFFFF"/>
        <w:spacing w:line="600" w:lineRule="exact"/>
        <w:ind w:firstLineChars="200" w:firstLine="600"/>
        <w:jc w:val="left"/>
        <w:textAlignment w:val="baseline"/>
        <w:rPr>
          <w:rFonts w:ascii="仿宋" w:eastAsia="仿宋" w:hAnsi="仿宋" w:cs="仿宋"/>
          <w:sz w:val="30"/>
          <w:szCs w:val="30"/>
        </w:rPr>
      </w:pPr>
      <w:r>
        <w:rPr>
          <w:rFonts w:ascii="仿宋" w:eastAsia="仿宋" w:hAnsi="仿宋" w:cs="仿宋" w:hint="eastAsia"/>
          <w:sz w:val="30"/>
          <w:szCs w:val="30"/>
        </w:rPr>
        <w:t>在区委、区政府及区水利局机关的领导下，本单位2021年所有支出严格按照国家财经法规、预算资金管理办法、财务管理制度，遵循先预算、再审批、后支出的原则，保证资金的合理使用。</w:t>
      </w:r>
    </w:p>
    <w:p w:rsidR="00124E65" w:rsidRDefault="00F11576">
      <w:pPr>
        <w:widowControl/>
        <w:shd w:val="clear" w:color="auto" w:fill="FFFFFF"/>
        <w:spacing w:line="600" w:lineRule="exact"/>
        <w:ind w:firstLineChars="200" w:firstLine="600"/>
        <w:jc w:val="left"/>
        <w:textAlignment w:val="baseline"/>
        <w:rPr>
          <w:rFonts w:ascii="仿宋" w:eastAsia="仿宋" w:hAnsi="仿宋" w:cs="仿宋"/>
          <w:sz w:val="30"/>
          <w:szCs w:val="30"/>
        </w:rPr>
      </w:pPr>
      <w:r>
        <w:rPr>
          <w:rFonts w:ascii="仿宋" w:eastAsia="仿宋" w:hAnsi="仿宋" w:cs="仿宋" w:hint="eastAsia"/>
          <w:sz w:val="30"/>
          <w:szCs w:val="30"/>
        </w:rPr>
        <w:t>我单位的整体支出绩效情况如下：</w:t>
      </w:r>
    </w:p>
    <w:p w:rsidR="00124E65" w:rsidRDefault="00F11576">
      <w:pPr>
        <w:widowControl/>
        <w:shd w:val="clear" w:color="auto" w:fill="FFFFFF"/>
        <w:spacing w:line="600" w:lineRule="exact"/>
        <w:ind w:firstLineChars="200" w:firstLine="600"/>
        <w:jc w:val="left"/>
        <w:textAlignment w:val="baseline"/>
        <w:rPr>
          <w:rFonts w:ascii="仿宋" w:eastAsia="仿宋" w:hAnsi="仿宋" w:cs="仿宋"/>
          <w:sz w:val="30"/>
          <w:szCs w:val="30"/>
        </w:rPr>
      </w:pPr>
      <w:r>
        <w:rPr>
          <w:rFonts w:ascii="仿宋" w:eastAsia="仿宋" w:hAnsi="仿宋" w:cs="仿宋" w:hint="eastAsia"/>
          <w:sz w:val="30"/>
          <w:szCs w:val="30"/>
        </w:rPr>
        <w:t>一是保障了单位有效运转。干部职工待遇严格按政策发放，严格按照厉行节约的要求，量入为出，规范单位事务管理工作，提高服务质量，降低运行成本，合理配置，提高保障能力。</w:t>
      </w:r>
    </w:p>
    <w:p w:rsidR="00124E65" w:rsidRDefault="00F11576">
      <w:pPr>
        <w:widowControl/>
        <w:shd w:val="clear" w:color="auto" w:fill="FFFFFF"/>
        <w:spacing w:line="600" w:lineRule="exact"/>
        <w:ind w:firstLineChars="200" w:firstLine="600"/>
        <w:jc w:val="left"/>
        <w:textAlignment w:val="baseline"/>
        <w:rPr>
          <w:rFonts w:ascii="仿宋" w:eastAsia="仿宋" w:hAnsi="仿宋" w:cs="仿宋"/>
          <w:sz w:val="30"/>
          <w:szCs w:val="30"/>
        </w:rPr>
      </w:pPr>
      <w:r>
        <w:rPr>
          <w:rFonts w:ascii="仿宋" w:eastAsia="仿宋" w:hAnsi="仿宋" w:cs="仿宋" w:hint="eastAsia"/>
          <w:sz w:val="30"/>
          <w:szCs w:val="30"/>
        </w:rPr>
        <w:t>二是强化了资产管理。固定资产明确了专门管理部门和人员，建立资产管理系统实行专门审批、登记、核销和管理，做到账账、账证、账实相符，基本无闲置浪费现象。</w:t>
      </w:r>
    </w:p>
    <w:p w:rsidR="00124E65" w:rsidRDefault="00F11576">
      <w:pPr>
        <w:widowControl/>
        <w:shd w:val="clear" w:color="auto" w:fill="FFFFFF"/>
        <w:spacing w:line="600" w:lineRule="exact"/>
        <w:ind w:firstLineChars="200" w:firstLine="600"/>
        <w:jc w:val="left"/>
        <w:textAlignment w:val="baseline"/>
        <w:rPr>
          <w:rFonts w:ascii="仿宋" w:eastAsia="仿宋" w:hAnsi="仿宋" w:cs="仿宋"/>
          <w:sz w:val="30"/>
          <w:szCs w:val="30"/>
        </w:rPr>
      </w:pPr>
      <w:r>
        <w:rPr>
          <w:rFonts w:ascii="仿宋" w:eastAsia="仿宋" w:hAnsi="仿宋" w:cs="仿宋" w:hint="eastAsia"/>
          <w:sz w:val="30"/>
          <w:szCs w:val="30"/>
        </w:rPr>
        <w:t>三是严格控制了“三公”经费。“三公”经费支出控制在年初预算指标内，未超过上年预算安排。</w:t>
      </w:r>
    </w:p>
    <w:p w:rsidR="00124E65" w:rsidRDefault="00F11576">
      <w:pPr>
        <w:widowControl/>
        <w:shd w:val="clear" w:color="auto" w:fill="FFFFFF"/>
        <w:spacing w:line="600" w:lineRule="exact"/>
        <w:ind w:firstLineChars="200" w:firstLine="600"/>
        <w:jc w:val="left"/>
        <w:textAlignment w:val="baseline"/>
        <w:rPr>
          <w:rFonts w:ascii="仿宋" w:eastAsia="仿宋" w:hAnsi="仿宋" w:cs="仿宋"/>
          <w:sz w:val="30"/>
          <w:szCs w:val="30"/>
        </w:rPr>
      </w:pPr>
      <w:r>
        <w:rPr>
          <w:rFonts w:ascii="仿宋" w:eastAsia="仿宋" w:hAnsi="仿宋" w:cs="仿宋" w:hint="eastAsia"/>
          <w:sz w:val="30"/>
          <w:szCs w:val="30"/>
        </w:rPr>
        <w:lastRenderedPageBreak/>
        <w:t>四是加强了预决算管理。建立健全了《财务管理制度》等内部管理制度，按照区财政统一部署公开了部门预决算，建立单位评价监督机制，对预决算管理中发现的问题及时整改。</w:t>
      </w:r>
    </w:p>
    <w:p w:rsidR="00124E65" w:rsidRDefault="00F11576">
      <w:pPr>
        <w:widowControl/>
        <w:shd w:val="clear" w:color="auto" w:fill="FFFFFF"/>
        <w:spacing w:line="600" w:lineRule="exact"/>
        <w:ind w:firstLineChars="200" w:firstLine="600"/>
        <w:jc w:val="left"/>
        <w:textAlignment w:val="baseline"/>
        <w:rPr>
          <w:rFonts w:ascii="仿宋" w:eastAsia="仿宋" w:hAnsi="仿宋" w:cs="仿宋"/>
          <w:sz w:val="30"/>
          <w:szCs w:val="30"/>
        </w:rPr>
      </w:pPr>
      <w:r>
        <w:rPr>
          <w:rFonts w:ascii="仿宋" w:eastAsia="仿宋" w:hAnsi="仿宋" w:cs="仿宋" w:hint="eastAsia"/>
          <w:sz w:val="30"/>
          <w:szCs w:val="30"/>
        </w:rPr>
        <w:t>五是完成水利工作任务。完成了烂泥湖大圈三乡两镇、一国营渔场的排提灌以及东烂泥湖的排澇削峰任务。</w:t>
      </w:r>
    </w:p>
    <w:p w:rsidR="00124E65" w:rsidRDefault="00F11576">
      <w:pPr>
        <w:widowControl/>
        <w:shd w:val="clear" w:color="auto" w:fill="FFFFFF"/>
        <w:spacing w:line="600" w:lineRule="exact"/>
        <w:ind w:firstLineChars="200" w:firstLine="600"/>
        <w:jc w:val="left"/>
        <w:textAlignment w:val="baseline"/>
        <w:rPr>
          <w:rFonts w:ascii="仿宋" w:eastAsia="仿宋" w:hAnsi="仿宋" w:cs="仿宋"/>
          <w:sz w:val="30"/>
          <w:szCs w:val="30"/>
        </w:rPr>
      </w:pPr>
      <w:r>
        <w:rPr>
          <w:rFonts w:ascii="仿宋" w:eastAsia="仿宋" w:hAnsi="仿宋" w:cs="仿宋" w:hint="eastAsia"/>
          <w:sz w:val="30"/>
          <w:szCs w:val="30"/>
        </w:rPr>
        <w:t>我单位能够按照国家的法律法规加强预算管理，不断完善内控制度，财务管理和会计基础工作日益完善，取得了较好的预算执行效果。认真完成了2021年部门决算编制和汇总工作，确保了资金的有效使用与管理，保障了单位正常运转及全年水利工作任务的完成，取得了一定经济、生态和社会效益。</w:t>
      </w:r>
    </w:p>
    <w:p w:rsidR="00124E65" w:rsidRDefault="00F11576">
      <w:pPr>
        <w:widowControl/>
        <w:shd w:val="clear" w:color="auto" w:fill="FFFFFF"/>
        <w:spacing w:line="600" w:lineRule="exact"/>
        <w:ind w:firstLineChars="200" w:firstLine="600"/>
        <w:jc w:val="left"/>
        <w:textAlignment w:val="baseline"/>
        <w:rPr>
          <w:rFonts w:ascii="黑体" w:eastAsia="黑体" w:hAnsi="黑体" w:cs="黑体"/>
          <w:color w:val="333333"/>
          <w:kern w:val="0"/>
          <w:sz w:val="30"/>
          <w:szCs w:val="30"/>
        </w:rPr>
      </w:pPr>
      <w:r>
        <w:rPr>
          <w:rFonts w:ascii="黑体" w:eastAsia="黑体" w:hAnsi="黑体" w:cs="黑体" w:hint="eastAsia"/>
          <w:color w:val="333333"/>
          <w:kern w:val="0"/>
          <w:sz w:val="30"/>
          <w:szCs w:val="30"/>
        </w:rPr>
        <w:t>七、存在的主要问题 </w:t>
      </w:r>
    </w:p>
    <w:p w:rsidR="00124E65" w:rsidRDefault="00F11576">
      <w:pPr>
        <w:widowControl/>
        <w:shd w:val="clear" w:color="auto" w:fill="FFFFFF"/>
        <w:spacing w:line="600" w:lineRule="exact"/>
        <w:ind w:firstLineChars="200" w:firstLine="600"/>
        <w:jc w:val="left"/>
        <w:textAlignment w:val="baseline"/>
        <w:rPr>
          <w:rFonts w:ascii="仿宋" w:eastAsia="仿宋" w:hAnsi="仿宋" w:cs="仿宋"/>
          <w:sz w:val="30"/>
          <w:szCs w:val="30"/>
        </w:rPr>
      </w:pPr>
      <w:r>
        <w:rPr>
          <w:rFonts w:ascii="仿宋" w:eastAsia="仿宋" w:hAnsi="仿宋" w:cs="仿宋" w:hint="eastAsia"/>
          <w:sz w:val="30"/>
          <w:szCs w:val="30"/>
        </w:rPr>
        <w:t>我单位根据本部门职能、职责结合年度工作计划编制年度预算，目前尚未发现特别的问题，各种预算支出执行大致未偏离绩效目标的情况。</w:t>
      </w:r>
    </w:p>
    <w:p w:rsidR="00124E65" w:rsidRDefault="00F11576">
      <w:pPr>
        <w:widowControl/>
        <w:shd w:val="clear" w:color="auto" w:fill="FFFFFF"/>
        <w:spacing w:line="600" w:lineRule="exact"/>
        <w:ind w:firstLineChars="200" w:firstLine="600"/>
        <w:jc w:val="left"/>
        <w:textAlignment w:val="baseline"/>
        <w:rPr>
          <w:rFonts w:ascii="黑体" w:eastAsia="黑体" w:hAnsi="黑体" w:cs="黑体"/>
          <w:color w:val="333333"/>
          <w:kern w:val="0"/>
          <w:sz w:val="30"/>
          <w:szCs w:val="30"/>
        </w:rPr>
      </w:pPr>
      <w:r>
        <w:rPr>
          <w:rFonts w:ascii="黑体" w:eastAsia="黑体" w:hAnsi="黑体" w:cs="黑体" w:hint="eastAsia"/>
          <w:color w:val="333333"/>
          <w:kern w:val="0"/>
          <w:sz w:val="30"/>
          <w:szCs w:val="30"/>
        </w:rPr>
        <w:t>八、下一步改进措施</w:t>
      </w:r>
    </w:p>
    <w:p w:rsidR="00124E65" w:rsidRDefault="00F11576">
      <w:pPr>
        <w:widowControl/>
        <w:shd w:val="clear" w:color="auto" w:fill="FFFFFF"/>
        <w:spacing w:line="600" w:lineRule="exact"/>
        <w:ind w:firstLineChars="200" w:firstLine="600"/>
        <w:jc w:val="left"/>
        <w:textAlignment w:val="baseline"/>
        <w:rPr>
          <w:rFonts w:ascii="仿宋" w:eastAsia="仿宋" w:hAnsi="仿宋" w:cs="仿宋"/>
          <w:sz w:val="30"/>
          <w:szCs w:val="30"/>
        </w:rPr>
      </w:pPr>
      <w:r>
        <w:rPr>
          <w:rFonts w:ascii="仿宋" w:eastAsia="仿宋" w:hAnsi="仿宋" w:cs="仿宋" w:hint="eastAsia"/>
          <w:sz w:val="30"/>
          <w:szCs w:val="30"/>
        </w:rPr>
        <w:t>1.加强绩效目标管理，根据部门职责职能合理设置绩效目标，进一步细化绩效指标，增强财政绩效评价的科学性。</w:t>
      </w:r>
    </w:p>
    <w:p w:rsidR="00124E65" w:rsidRDefault="00F11576">
      <w:pPr>
        <w:widowControl/>
        <w:shd w:val="clear" w:color="auto" w:fill="FFFFFF"/>
        <w:spacing w:line="600" w:lineRule="exact"/>
        <w:ind w:firstLineChars="200" w:firstLine="600"/>
        <w:jc w:val="left"/>
        <w:textAlignment w:val="baseline"/>
        <w:rPr>
          <w:rFonts w:ascii="仿宋" w:eastAsia="仿宋" w:hAnsi="仿宋" w:cs="仿宋"/>
          <w:sz w:val="30"/>
          <w:szCs w:val="30"/>
        </w:rPr>
      </w:pPr>
      <w:r>
        <w:rPr>
          <w:rFonts w:ascii="仿宋" w:eastAsia="仿宋" w:hAnsi="仿宋" w:cs="仿宋" w:hint="eastAsia"/>
          <w:sz w:val="30"/>
          <w:szCs w:val="30"/>
        </w:rPr>
        <w:t>2.加强国有资产管理，确保资产账实相符。</w:t>
      </w:r>
    </w:p>
    <w:p w:rsidR="00124E65" w:rsidRDefault="00F11576">
      <w:pPr>
        <w:widowControl/>
        <w:shd w:val="clear" w:color="auto" w:fill="FFFFFF"/>
        <w:spacing w:line="600" w:lineRule="exact"/>
        <w:ind w:firstLineChars="200" w:firstLine="600"/>
        <w:jc w:val="left"/>
        <w:textAlignment w:val="baseline"/>
        <w:rPr>
          <w:rFonts w:ascii="仿宋" w:eastAsia="仿宋" w:hAnsi="仿宋" w:cs="仿宋"/>
          <w:sz w:val="30"/>
          <w:szCs w:val="30"/>
        </w:rPr>
      </w:pPr>
      <w:r>
        <w:rPr>
          <w:rFonts w:ascii="仿宋" w:eastAsia="仿宋" w:hAnsi="仿宋" w:cs="仿宋" w:hint="eastAsia"/>
          <w:sz w:val="30"/>
          <w:szCs w:val="30"/>
        </w:rPr>
        <w:t>3、加强财务管理，规范财务核算。</w:t>
      </w:r>
    </w:p>
    <w:p w:rsidR="00124E65" w:rsidRDefault="00F11576">
      <w:pPr>
        <w:widowControl/>
        <w:shd w:val="clear" w:color="auto" w:fill="FFFFFF"/>
        <w:spacing w:line="600" w:lineRule="exact"/>
        <w:ind w:firstLineChars="200" w:firstLine="600"/>
        <w:jc w:val="left"/>
        <w:textAlignment w:val="baseline"/>
        <w:rPr>
          <w:rFonts w:ascii="黑体" w:eastAsia="黑体" w:hAnsi="黑体" w:cs="黑体"/>
          <w:color w:val="333333"/>
          <w:kern w:val="0"/>
          <w:sz w:val="30"/>
          <w:szCs w:val="30"/>
        </w:rPr>
      </w:pPr>
      <w:r>
        <w:rPr>
          <w:rFonts w:ascii="黑体" w:eastAsia="黑体" w:hAnsi="黑体" w:cs="黑体" w:hint="eastAsia"/>
          <w:color w:val="333333"/>
          <w:kern w:val="0"/>
          <w:sz w:val="30"/>
          <w:szCs w:val="30"/>
        </w:rPr>
        <w:t>九、其他需要说明的问题</w:t>
      </w:r>
    </w:p>
    <w:p w:rsidR="00124E65" w:rsidRDefault="00F11576">
      <w:pPr>
        <w:widowControl/>
        <w:shd w:val="clear" w:color="auto" w:fill="FFFFFF"/>
        <w:spacing w:line="600" w:lineRule="exact"/>
        <w:ind w:firstLineChars="200" w:firstLine="600"/>
        <w:jc w:val="left"/>
        <w:textAlignment w:val="baseline"/>
        <w:rPr>
          <w:rFonts w:ascii="仿宋" w:eastAsia="仿宋" w:hAnsi="仿宋" w:cs="仿宋"/>
          <w:sz w:val="30"/>
          <w:szCs w:val="30"/>
        </w:rPr>
      </w:pPr>
      <w:r>
        <w:rPr>
          <w:rFonts w:ascii="仿宋" w:eastAsia="仿宋" w:hAnsi="仿宋" w:cs="仿宋" w:hint="eastAsia"/>
          <w:sz w:val="30"/>
          <w:szCs w:val="30"/>
        </w:rPr>
        <w:t>无</w:t>
      </w:r>
    </w:p>
    <w:p w:rsidR="00124E65" w:rsidRDefault="00F11576">
      <w:pPr>
        <w:widowControl/>
        <w:shd w:val="clear" w:color="auto" w:fill="FFFFFF"/>
        <w:spacing w:line="600" w:lineRule="exact"/>
        <w:ind w:firstLineChars="200" w:firstLine="600"/>
        <w:jc w:val="left"/>
        <w:textAlignment w:val="baseline"/>
        <w:rPr>
          <w:rFonts w:ascii="仿宋" w:eastAsia="仿宋" w:hAnsi="仿宋" w:cs="仿宋"/>
          <w:sz w:val="30"/>
          <w:szCs w:val="30"/>
        </w:rPr>
      </w:pPr>
      <w:r>
        <w:rPr>
          <w:rFonts w:ascii="仿宋" w:eastAsia="仿宋" w:hAnsi="仿宋" w:cs="仿宋" w:hint="eastAsia"/>
          <w:sz w:val="30"/>
          <w:szCs w:val="30"/>
        </w:rPr>
        <w:t>附件：2021年度部门整体支出绩效自评指标计分表</w:t>
      </w:r>
    </w:p>
    <w:p w:rsidR="00124E65" w:rsidRDefault="00124E65">
      <w:pPr>
        <w:widowControl/>
        <w:shd w:val="clear" w:color="auto" w:fill="FFFFFF"/>
        <w:spacing w:line="600" w:lineRule="exact"/>
        <w:ind w:firstLineChars="200" w:firstLine="600"/>
        <w:jc w:val="left"/>
        <w:textAlignment w:val="baseline"/>
        <w:rPr>
          <w:rFonts w:ascii="仿宋" w:eastAsia="仿宋" w:hAnsi="仿宋" w:cs="仿宋"/>
          <w:sz w:val="30"/>
          <w:szCs w:val="30"/>
        </w:rPr>
      </w:pPr>
    </w:p>
    <w:p w:rsidR="00124E65" w:rsidRDefault="00124E65">
      <w:pPr>
        <w:widowControl/>
        <w:shd w:val="clear" w:color="auto" w:fill="FFFFFF"/>
        <w:spacing w:before="156" w:after="156" w:line="600" w:lineRule="exact"/>
        <w:ind w:firstLineChars="200" w:firstLine="600"/>
        <w:jc w:val="center"/>
        <w:textAlignment w:val="baseline"/>
        <w:rPr>
          <w:rFonts w:ascii="仿宋" w:eastAsia="仿宋" w:hAnsi="仿宋" w:cs="仿宋"/>
          <w:color w:val="333333"/>
          <w:kern w:val="0"/>
          <w:sz w:val="30"/>
          <w:szCs w:val="30"/>
        </w:rPr>
      </w:pPr>
    </w:p>
    <w:p w:rsidR="00124E65" w:rsidRDefault="00F11576">
      <w:pPr>
        <w:widowControl/>
        <w:shd w:val="clear" w:color="auto" w:fill="FFFFFF"/>
        <w:spacing w:before="156" w:after="156" w:line="600" w:lineRule="exact"/>
        <w:ind w:firstLineChars="200" w:firstLine="600"/>
        <w:jc w:val="center"/>
        <w:textAlignment w:val="baseline"/>
        <w:rPr>
          <w:rFonts w:ascii="黑体" w:eastAsia="黑体" w:hAnsi="黑体" w:cs="黑体"/>
          <w:color w:val="333333"/>
          <w:kern w:val="0"/>
          <w:sz w:val="30"/>
          <w:szCs w:val="30"/>
        </w:rPr>
      </w:pPr>
      <w:r>
        <w:rPr>
          <w:rFonts w:ascii="黑体" w:eastAsia="黑体" w:hAnsi="黑体" w:cs="黑体" w:hint="eastAsia"/>
          <w:color w:val="333333"/>
          <w:kern w:val="0"/>
          <w:sz w:val="30"/>
          <w:szCs w:val="30"/>
        </w:rPr>
        <w:lastRenderedPageBreak/>
        <w:t>2021年度部门整体支出绩效自评指标计分表</w:t>
      </w:r>
    </w:p>
    <w:tbl>
      <w:tblPr>
        <w:tblW w:w="10681" w:type="dxa"/>
        <w:jc w:val="center"/>
        <w:tblLayout w:type="fixed"/>
        <w:tblCellMar>
          <w:top w:w="15" w:type="dxa"/>
          <w:left w:w="15" w:type="dxa"/>
          <w:bottom w:w="15" w:type="dxa"/>
          <w:right w:w="15" w:type="dxa"/>
        </w:tblCellMar>
        <w:tblLook w:val="04A0"/>
      </w:tblPr>
      <w:tblGrid>
        <w:gridCol w:w="567"/>
        <w:gridCol w:w="1166"/>
        <w:gridCol w:w="944"/>
        <w:gridCol w:w="771"/>
        <w:gridCol w:w="3097"/>
        <w:gridCol w:w="4136"/>
      </w:tblGrid>
      <w:tr w:rsidR="00124E65">
        <w:trPr>
          <w:trHeight w:val="489"/>
          <w:jc w:val="center"/>
        </w:trPr>
        <w:tc>
          <w:tcPr>
            <w:tcW w:w="567" w:type="dxa"/>
            <w:tcBorders>
              <w:top w:val="single" w:sz="8" w:space="0" w:color="auto"/>
              <w:left w:val="single" w:sz="8" w:space="0" w:color="auto"/>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b/>
                <w:bCs/>
                <w:kern w:val="0"/>
                <w:szCs w:val="21"/>
              </w:rPr>
              <w:t>一级</w:t>
            </w:r>
            <w:r>
              <w:rPr>
                <w:rFonts w:ascii="宋体" w:eastAsia="宋体" w:hAnsi="宋体" w:cs="宋体" w:hint="eastAsia"/>
                <w:b/>
                <w:bCs/>
                <w:kern w:val="0"/>
                <w:szCs w:val="21"/>
              </w:rPr>
              <w:br/>
              <w:t>指标</w:t>
            </w:r>
          </w:p>
        </w:tc>
        <w:tc>
          <w:tcPr>
            <w:tcW w:w="1166" w:type="dxa"/>
            <w:tcBorders>
              <w:top w:val="single" w:sz="8" w:space="0" w:color="auto"/>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right="-174"/>
              <w:jc w:val="center"/>
              <w:textAlignment w:val="baseline"/>
              <w:rPr>
                <w:rFonts w:ascii="宋体" w:eastAsia="宋体" w:hAnsi="宋体" w:cs="宋体"/>
                <w:kern w:val="0"/>
                <w:sz w:val="24"/>
                <w:szCs w:val="24"/>
              </w:rPr>
            </w:pPr>
            <w:r>
              <w:rPr>
                <w:rFonts w:ascii="宋体" w:eastAsia="宋体" w:hAnsi="宋体" w:cs="宋体" w:hint="eastAsia"/>
                <w:b/>
                <w:bCs/>
                <w:kern w:val="0"/>
                <w:szCs w:val="21"/>
              </w:rPr>
              <w:t>二级</w:t>
            </w:r>
          </w:p>
          <w:p w:rsidR="00124E65" w:rsidRDefault="00F11576">
            <w:pPr>
              <w:widowControl/>
              <w:spacing w:line="240" w:lineRule="atLeast"/>
              <w:ind w:right="-174"/>
              <w:jc w:val="center"/>
              <w:textAlignment w:val="baseline"/>
              <w:rPr>
                <w:rFonts w:ascii="宋体" w:eastAsia="宋体" w:hAnsi="宋体" w:cs="宋体"/>
                <w:kern w:val="0"/>
                <w:sz w:val="24"/>
                <w:szCs w:val="24"/>
              </w:rPr>
            </w:pPr>
            <w:r>
              <w:rPr>
                <w:rFonts w:ascii="宋体" w:eastAsia="宋体" w:hAnsi="宋体" w:cs="宋体" w:hint="eastAsia"/>
                <w:b/>
                <w:bCs/>
                <w:kern w:val="0"/>
                <w:szCs w:val="21"/>
              </w:rPr>
              <w:t>指标</w:t>
            </w:r>
          </w:p>
        </w:tc>
        <w:tc>
          <w:tcPr>
            <w:tcW w:w="944" w:type="dxa"/>
            <w:tcBorders>
              <w:top w:val="single" w:sz="8" w:space="0" w:color="auto"/>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b/>
                <w:bCs/>
                <w:kern w:val="0"/>
                <w:szCs w:val="21"/>
              </w:rPr>
              <w:t>三级</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b/>
                <w:bCs/>
                <w:kern w:val="0"/>
                <w:szCs w:val="21"/>
              </w:rPr>
              <w:t>指标</w:t>
            </w:r>
          </w:p>
        </w:tc>
        <w:tc>
          <w:tcPr>
            <w:tcW w:w="771"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124E65" w:rsidRDefault="00F11576">
            <w:pPr>
              <w:widowControl/>
              <w:spacing w:line="240" w:lineRule="atLeast"/>
              <w:ind w:left="105" w:right="105"/>
              <w:jc w:val="center"/>
              <w:textAlignment w:val="baseline"/>
              <w:rPr>
                <w:rFonts w:ascii="宋体" w:eastAsia="宋体" w:hAnsi="宋体" w:cs="宋体"/>
                <w:kern w:val="0"/>
                <w:sz w:val="24"/>
                <w:szCs w:val="24"/>
              </w:rPr>
            </w:pPr>
            <w:r>
              <w:rPr>
                <w:rFonts w:ascii="宋体" w:eastAsia="宋体" w:hAnsi="宋体" w:cs="宋体" w:hint="eastAsia"/>
                <w:b/>
                <w:bCs/>
                <w:kern w:val="0"/>
                <w:szCs w:val="21"/>
              </w:rPr>
              <w:t>自评分</w:t>
            </w:r>
          </w:p>
        </w:tc>
        <w:tc>
          <w:tcPr>
            <w:tcW w:w="3097" w:type="dxa"/>
            <w:tcBorders>
              <w:top w:val="single" w:sz="8" w:space="0" w:color="auto"/>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center"/>
              <w:textAlignment w:val="baseline"/>
              <w:rPr>
                <w:rFonts w:ascii="宋体" w:eastAsia="宋体" w:hAnsi="宋体" w:cs="宋体"/>
                <w:kern w:val="0"/>
                <w:sz w:val="24"/>
                <w:szCs w:val="24"/>
              </w:rPr>
            </w:pPr>
            <w:r>
              <w:rPr>
                <w:rFonts w:ascii="宋体" w:eastAsia="宋体" w:hAnsi="宋体" w:cs="宋体" w:hint="eastAsia"/>
                <w:b/>
                <w:bCs/>
                <w:kern w:val="0"/>
                <w:szCs w:val="21"/>
              </w:rPr>
              <w:t>指标解释</w:t>
            </w:r>
          </w:p>
        </w:tc>
        <w:tc>
          <w:tcPr>
            <w:tcW w:w="4136" w:type="dxa"/>
            <w:tcBorders>
              <w:top w:val="single" w:sz="8" w:space="0" w:color="auto"/>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center"/>
              <w:textAlignment w:val="baseline"/>
              <w:rPr>
                <w:rFonts w:ascii="宋体" w:eastAsia="宋体" w:hAnsi="宋体" w:cs="宋体"/>
                <w:kern w:val="0"/>
                <w:sz w:val="24"/>
                <w:szCs w:val="24"/>
              </w:rPr>
            </w:pPr>
            <w:r>
              <w:rPr>
                <w:rFonts w:ascii="宋体" w:eastAsia="宋体" w:hAnsi="宋体" w:cs="宋体" w:hint="eastAsia"/>
                <w:b/>
                <w:bCs/>
                <w:kern w:val="0"/>
                <w:szCs w:val="21"/>
              </w:rPr>
              <w:t>指标说明</w:t>
            </w:r>
          </w:p>
        </w:tc>
      </w:tr>
      <w:tr w:rsidR="00124E65">
        <w:trPr>
          <w:trHeight w:val="1892"/>
          <w:jc w:val="center"/>
        </w:trPr>
        <w:tc>
          <w:tcPr>
            <w:tcW w:w="567" w:type="dxa"/>
            <w:vMerge w:val="restart"/>
            <w:tcBorders>
              <w:top w:val="nil"/>
              <w:left w:val="single" w:sz="8" w:space="0" w:color="auto"/>
              <w:bottom w:val="single" w:sz="8" w:space="0" w:color="auto"/>
              <w:right w:val="single" w:sz="8" w:space="0" w:color="auto"/>
            </w:tcBorders>
            <w:noWrap/>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投入（20分）</w:t>
            </w:r>
          </w:p>
        </w:tc>
        <w:tc>
          <w:tcPr>
            <w:tcW w:w="1166" w:type="dxa"/>
            <w:vMerge w:val="restart"/>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目标</w:t>
            </w:r>
            <w:r>
              <w:rPr>
                <w:rFonts w:ascii="宋体" w:eastAsia="宋体" w:hAnsi="宋体" w:cs="宋体" w:hint="eastAsia"/>
                <w:kern w:val="0"/>
                <w:szCs w:val="21"/>
              </w:rPr>
              <w:br/>
              <w:t>设定（5分）</w:t>
            </w: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绩效目标</w:t>
            </w:r>
          </w:p>
          <w:p w:rsidR="00124E65" w:rsidRDefault="00F11576">
            <w:pPr>
              <w:widowControl/>
              <w:spacing w:line="240" w:lineRule="atLeast"/>
              <w:jc w:val="center"/>
              <w:textAlignment w:val="baseline"/>
              <w:rPr>
                <w:rFonts w:ascii="宋体" w:eastAsia="宋体" w:hAnsi="宋体" w:cs="宋体"/>
                <w:kern w:val="0"/>
                <w:sz w:val="20"/>
                <w:szCs w:val="21"/>
              </w:rPr>
            </w:pPr>
            <w:r>
              <w:rPr>
                <w:rFonts w:ascii="宋体" w:eastAsia="宋体" w:hAnsi="宋体" w:cs="宋体" w:hint="eastAsia"/>
                <w:kern w:val="0"/>
                <w:szCs w:val="21"/>
              </w:rPr>
              <w:t>合理性</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（2分）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1</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部门所设立的整体绩效目标依据是否充分，是否符合客观实际，用以反映和考核部门整体绩效目标与部门履职、年度工作任务的相符性情况。</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评价要点：</w:t>
            </w:r>
            <w:r>
              <w:rPr>
                <w:rFonts w:ascii="宋体" w:eastAsia="宋体" w:hAnsi="宋体" w:cs="宋体" w:hint="eastAsia"/>
                <w:kern w:val="0"/>
                <w:szCs w:val="21"/>
              </w:rPr>
              <w:br/>
              <w:t>①是否符合国家法律法规、国民经济和社会发展总体规划；</w:t>
            </w:r>
            <w:r>
              <w:rPr>
                <w:rFonts w:ascii="宋体" w:eastAsia="宋体" w:hAnsi="宋体" w:cs="宋体" w:hint="eastAsia"/>
                <w:kern w:val="0"/>
                <w:szCs w:val="21"/>
              </w:rPr>
              <w:br/>
              <w:t>②是否符合部门“三定”方案确定的职责；</w:t>
            </w:r>
            <w:r>
              <w:rPr>
                <w:rFonts w:ascii="宋体" w:eastAsia="宋体" w:hAnsi="宋体" w:cs="宋体" w:hint="eastAsia"/>
                <w:kern w:val="0"/>
                <w:szCs w:val="21"/>
              </w:rPr>
              <w:br/>
              <w:t>③是否符合部门制定的中长期实施规划。</w:t>
            </w:r>
          </w:p>
        </w:tc>
      </w:tr>
      <w:tr w:rsidR="00124E65">
        <w:trPr>
          <w:trHeight w:val="2137"/>
          <w:jc w:val="center"/>
        </w:trPr>
        <w:tc>
          <w:tcPr>
            <w:tcW w:w="567" w:type="dxa"/>
            <w:vMerge/>
            <w:tcBorders>
              <w:top w:val="nil"/>
              <w:left w:val="single" w:sz="8" w:space="0" w:color="auto"/>
              <w:bottom w:val="single" w:sz="8" w:space="0" w:color="auto"/>
              <w:right w:val="single" w:sz="8"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vMerge/>
            <w:tcBorders>
              <w:top w:val="nil"/>
              <w:left w:val="nil"/>
              <w:bottom w:val="single" w:sz="8" w:space="0" w:color="auto"/>
              <w:right w:val="single" w:sz="8"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绩效指标</w:t>
            </w:r>
          </w:p>
          <w:p w:rsidR="00124E65" w:rsidRDefault="00F11576">
            <w:pPr>
              <w:widowControl/>
              <w:spacing w:line="240" w:lineRule="atLeast"/>
              <w:jc w:val="center"/>
              <w:textAlignment w:val="baseline"/>
              <w:rPr>
                <w:rFonts w:ascii="宋体" w:eastAsia="宋体" w:hAnsi="宋体" w:cs="宋体"/>
                <w:kern w:val="0"/>
                <w:sz w:val="20"/>
                <w:szCs w:val="21"/>
              </w:rPr>
            </w:pPr>
            <w:r>
              <w:rPr>
                <w:rFonts w:ascii="宋体" w:eastAsia="宋体" w:hAnsi="宋体" w:cs="宋体" w:hint="eastAsia"/>
                <w:kern w:val="0"/>
                <w:szCs w:val="21"/>
              </w:rPr>
              <w:t>明确性</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（3分）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2</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部门依据整体绩效目标所设定的绩效指标是否清晰、细化、可衡量，用以反映和考核部门整体绩效目标的明细化情况。</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评价要点：</w:t>
            </w:r>
            <w:r>
              <w:rPr>
                <w:rFonts w:ascii="宋体" w:eastAsia="宋体" w:hAnsi="宋体" w:cs="宋体" w:hint="eastAsia"/>
                <w:kern w:val="0"/>
                <w:szCs w:val="21"/>
              </w:rPr>
              <w:br/>
              <w:t>①是否将部门整体的绩效目标细化分解为具体的工作任务；</w:t>
            </w:r>
            <w:r>
              <w:rPr>
                <w:rFonts w:ascii="宋体" w:eastAsia="宋体" w:hAnsi="宋体" w:cs="宋体" w:hint="eastAsia"/>
                <w:kern w:val="0"/>
                <w:szCs w:val="21"/>
              </w:rPr>
              <w:br/>
              <w:t>②是否通过清晰、可衡量的指标值予以体现。    ③是否与部门年度的任务数或计划数相对应；</w:t>
            </w:r>
            <w:r>
              <w:rPr>
                <w:rFonts w:ascii="宋体" w:eastAsia="宋体" w:hAnsi="宋体" w:cs="宋体" w:hint="eastAsia"/>
                <w:kern w:val="0"/>
                <w:szCs w:val="21"/>
              </w:rPr>
              <w:br/>
              <w:t>④是否与本年度部门预算资金相匹配。</w:t>
            </w:r>
          </w:p>
        </w:tc>
      </w:tr>
      <w:tr w:rsidR="00124E65">
        <w:trPr>
          <w:trHeight w:val="1931"/>
          <w:jc w:val="center"/>
        </w:trPr>
        <w:tc>
          <w:tcPr>
            <w:tcW w:w="567" w:type="dxa"/>
            <w:vMerge/>
            <w:tcBorders>
              <w:top w:val="nil"/>
              <w:left w:val="single" w:sz="8" w:space="0" w:color="auto"/>
              <w:bottom w:val="single" w:sz="8" w:space="0" w:color="auto"/>
              <w:right w:val="single" w:sz="8"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vMerge w:val="restart"/>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0"/>
                <w:szCs w:val="21"/>
              </w:rPr>
            </w:pPr>
            <w:r>
              <w:rPr>
                <w:rFonts w:ascii="宋体" w:eastAsia="宋体" w:hAnsi="宋体" w:cs="宋体" w:hint="eastAsia"/>
                <w:kern w:val="0"/>
                <w:szCs w:val="21"/>
              </w:rPr>
              <w:t>预算</w:t>
            </w:r>
            <w:r>
              <w:rPr>
                <w:rFonts w:ascii="宋体" w:eastAsia="宋体" w:hAnsi="宋体" w:cs="宋体" w:hint="eastAsia"/>
                <w:kern w:val="0"/>
                <w:szCs w:val="21"/>
              </w:rPr>
              <w:br/>
              <w:t>配置</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（15分）</w:t>
            </w: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在职人员</w:t>
            </w:r>
          </w:p>
          <w:p w:rsidR="00124E65" w:rsidRDefault="00F11576">
            <w:pPr>
              <w:widowControl/>
              <w:spacing w:line="240" w:lineRule="atLeast"/>
              <w:jc w:val="center"/>
              <w:textAlignment w:val="baseline"/>
              <w:rPr>
                <w:rFonts w:ascii="宋体" w:eastAsia="宋体" w:hAnsi="宋体" w:cs="宋体"/>
                <w:kern w:val="0"/>
                <w:sz w:val="20"/>
                <w:szCs w:val="21"/>
              </w:rPr>
            </w:pPr>
            <w:r>
              <w:rPr>
                <w:rFonts w:ascii="宋体" w:eastAsia="宋体" w:hAnsi="宋体" w:cs="宋体" w:hint="eastAsia"/>
                <w:kern w:val="0"/>
                <w:szCs w:val="21"/>
              </w:rPr>
              <w:t>控制率</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（5分）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 w:val="24"/>
                <w:szCs w:val="24"/>
              </w:rPr>
              <w:t>4</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部门本年度实际在职人员数与编制数的比率，用以反映和考核部门对人员成本的控制程度。</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在职人员控制率=（在职人员数/编制数）×100%。</w:t>
            </w:r>
            <w:r>
              <w:rPr>
                <w:rFonts w:ascii="宋体" w:eastAsia="宋体" w:hAnsi="宋体" w:cs="宋体" w:hint="eastAsia"/>
                <w:kern w:val="0"/>
                <w:szCs w:val="21"/>
              </w:rPr>
              <w:br/>
              <w:t>在职人员数：部门实际在职人数，以财政部确定的部门决算编制口径为准。</w:t>
            </w:r>
            <w:r>
              <w:rPr>
                <w:rFonts w:ascii="宋体" w:eastAsia="宋体" w:hAnsi="宋体" w:cs="宋体" w:hint="eastAsia"/>
                <w:kern w:val="0"/>
                <w:szCs w:val="21"/>
              </w:rPr>
              <w:br/>
              <w:t>编制数：机构编制部门核定批复的部门的人员编制数。</w:t>
            </w:r>
          </w:p>
        </w:tc>
      </w:tr>
      <w:tr w:rsidR="00124E65">
        <w:trPr>
          <w:trHeight w:val="2030"/>
          <w:jc w:val="center"/>
        </w:trPr>
        <w:tc>
          <w:tcPr>
            <w:tcW w:w="567" w:type="dxa"/>
            <w:vMerge/>
            <w:tcBorders>
              <w:top w:val="nil"/>
              <w:left w:val="single" w:sz="8" w:space="0" w:color="auto"/>
              <w:bottom w:val="single" w:sz="8" w:space="0" w:color="auto"/>
              <w:right w:val="single" w:sz="8"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vMerge/>
            <w:tcBorders>
              <w:top w:val="nil"/>
              <w:left w:val="nil"/>
              <w:bottom w:val="single" w:sz="8" w:space="0" w:color="auto"/>
              <w:right w:val="single" w:sz="8"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“三公经费”</w:t>
            </w:r>
          </w:p>
          <w:p w:rsidR="00124E65" w:rsidRDefault="00F11576">
            <w:pPr>
              <w:widowControl/>
              <w:spacing w:line="240" w:lineRule="atLeast"/>
              <w:jc w:val="center"/>
              <w:textAlignment w:val="baseline"/>
              <w:rPr>
                <w:rFonts w:ascii="宋体" w:eastAsia="宋体" w:hAnsi="宋体" w:cs="宋体"/>
                <w:kern w:val="0"/>
                <w:sz w:val="20"/>
                <w:szCs w:val="21"/>
              </w:rPr>
            </w:pPr>
            <w:r>
              <w:rPr>
                <w:rFonts w:ascii="宋体" w:eastAsia="宋体" w:hAnsi="宋体" w:cs="宋体" w:hint="eastAsia"/>
                <w:kern w:val="0"/>
                <w:szCs w:val="21"/>
              </w:rPr>
              <w:t>变动率</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（5分）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5</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部门本年度“三公经费”预算数与上年度“三公经费”预算数的变动比率，用以反映和考核部门对控制重点行政成本的努力程度。</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“三公经费”变动率=[（本年度“三公经费”总额-上年度“三公经费”总额）/上年度“三公经费”总额]×100%。</w:t>
            </w:r>
            <w:r>
              <w:rPr>
                <w:rFonts w:ascii="宋体" w:eastAsia="宋体" w:hAnsi="宋体" w:cs="宋体" w:hint="eastAsia"/>
                <w:kern w:val="0"/>
                <w:szCs w:val="21"/>
              </w:rPr>
              <w:br/>
              <w:t>“三公经费”：年度预算安排的因公出国（境）费、公务车辆购置及运行费和公务招待费。</w:t>
            </w:r>
          </w:p>
        </w:tc>
      </w:tr>
      <w:tr w:rsidR="00124E65">
        <w:trPr>
          <w:trHeight w:val="2510"/>
          <w:jc w:val="center"/>
        </w:trPr>
        <w:tc>
          <w:tcPr>
            <w:tcW w:w="567" w:type="dxa"/>
            <w:vMerge/>
            <w:tcBorders>
              <w:top w:val="nil"/>
              <w:left w:val="single" w:sz="8" w:space="0" w:color="auto"/>
              <w:bottom w:val="single" w:sz="4" w:space="0" w:color="auto"/>
              <w:right w:val="single" w:sz="8"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vMerge/>
            <w:tcBorders>
              <w:top w:val="nil"/>
              <w:left w:val="nil"/>
              <w:bottom w:val="single" w:sz="4" w:space="0" w:color="auto"/>
              <w:right w:val="single" w:sz="8"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重点支出</w:t>
            </w:r>
          </w:p>
          <w:p w:rsidR="00124E65" w:rsidRDefault="00F11576">
            <w:pPr>
              <w:widowControl/>
              <w:spacing w:line="240" w:lineRule="atLeast"/>
              <w:jc w:val="center"/>
              <w:textAlignment w:val="baseline"/>
              <w:rPr>
                <w:rFonts w:ascii="宋体" w:eastAsia="宋体" w:hAnsi="宋体" w:cs="宋体"/>
                <w:kern w:val="0"/>
                <w:sz w:val="20"/>
                <w:szCs w:val="21"/>
              </w:rPr>
            </w:pPr>
            <w:r>
              <w:rPr>
                <w:rFonts w:ascii="宋体" w:eastAsia="宋体" w:hAnsi="宋体" w:cs="宋体" w:hint="eastAsia"/>
                <w:kern w:val="0"/>
                <w:szCs w:val="21"/>
              </w:rPr>
              <w:t>安排率</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（5分）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0</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部门本年度预算安排的重点预算支出与部门预算总支出的比率，用以反映和考核部门对履行主要职责或完成重点任务的保障程度。</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重点支出安排率=（重点预算支出/预算总支出）×100%。</w:t>
            </w:r>
            <w:r>
              <w:rPr>
                <w:rFonts w:ascii="宋体" w:eastAsia="宋体" w:hAnsi="宋体" w:cs="宋体" w:hint="eastAsia"/>
                <w:kern w:val="0"/>
                <w:szCs w:val="21"/>
              </w:rPr>
              <w:br/>
              <w:t>重点预算支出：部门年度预算安排的，与本部门履职和发展密切相关、具有明显社会和经济影响、党委政府关心或社会比较关注的预算支出支出总额。</w:t>
            </w:r>
            <w:r>
              <w:rPr>
                <w:rFonts w:ascii="宋体" w:eastAsia="宋体" w:hAnsi="宋体" w:cs="宋体" w:hint="eastAsia"/>
                <w:kern w:val="0"/>
                <w:szCs w:val="21"/>
              </w:rPr>
              <w:br/>
              <w:t>预算总支出：部门年度预算安排的预算支出支出总额。</w:t>
            </w:r>
          </w:p>
        </w:tc>
      </w:tr>
      <w:tr w:rsidR="00124E65">
        <w:trPr>
          <w:trHeight w:val="1462"/>
          <w:jc w:val="center"/>
        </w:trPr>
        <w:tc>
          <w:tcPr>
            <w:tcW w:w="567" w:type="dxa"/>
            <w:vMerge w:val="restar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过程（30分）</w:t>
            </w:r>
          </w:p>
        </w:tc>
        <w:tc>
          <w:tcPr>
            <w:tcW w:w="1166"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24E65" w:rsidRDefault="00F11576">
            <w:pPr>
              <w:widowControl/>
              <w:spacing w:line="240" w:lineRule="atLeast"/>
              <w:jc w:val="left"/>
              <w:textAlignment w:val="baseline"/>
              <w:rPr>
                <w:rFonts w:ascii="宋体" w:eastAsia="宋体" w:hAnsi="宋体" w:cs="宋体"/>
                <w:kern w:val="0"/>
                <w:sz w:val="20"/>
                <w:szCs w:val="21"/>
              </w:rPr>
            </w:pPr>
            <w:r>
              <w:rPr>
                <w:rFonts w:ascii="宋体" w:eastAsia="宋体" w:hAnsi="宋体" w:cs="宋体" w:hint="eastAsia"/>
                <w:kern w:val="0"/>
                <w:szCs w:val="21"/>
              </w:rPr>
              <w:t>预算</w:t>
            </w:r>
            <w:r>
              <w:rPr>
                <w:rFonts w:ascii="宋体" w:eastAsia="宋体" w:hAnsi="宋体" w:cs="宋体" w:hint="eastAsia"/>
                <w:kern w:val="0"/>
                <w:szCs w:val="21"/>
              </w:rPr>
              <w:br/>
              <w:t>执行</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（20分）</w:t>
            </w:r>
          </w:p>
        </w:tc>
        <w:tc>
          <w:tcPr>
            <w:tcW w:w="944" w:type="dxa"/>
            <w:tcBorders>
              <w:top w:val="nil"/>
              <w:left w:val="single" w:sz="4" w:space="0" w:color="auto"/>
              <w:bottom w:val="single" w:sz="4"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预算</w:t>
            </w:r>
          </w:p>
          <w:p w:rsidR="00124E65" w:rsidRDefault="00F11576">
            <w:pPr>
              <w:widowControl/>
              <w:spacing w:line="240" w:lineRule="atLeast"/>
              <w:jc w:val="center"/>
              <w:textAlignment w:val="baseline"/>
              <w:rPr>
                <w:rFonts w:ascii="宋体" w:eastAsia="宋体" w:hAnsi="宋体" w:cs="宋体"/>
                <w:kern w:val="0"/>
                <w:sz w:val="20"/>
                <w:szCs w:val="21"/>
              </w:rPr>
            </w:pPr>
            <w:r>
              <w:rPr>
                <w:rFonts w:ascii="宋体" w:eastAsia="宋体" w:hAnsi="宋体" w:cs="宋体" w:hint="eastAsia"/>
                <w:kern w:val="0"/>
                <w:szCs w:val="21"/>
              </w:rPr>
              <w:t>执行率</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（4分）</w:t>
            </w:r>
          </w:p>
        </w:tc>
        <w:tc>
          <w:tcPr>
            <w:tcW w:w="771" w:type="dxa"/>
            <w:tcBorders>
              <w:top w:val="nil"/>
              <w:left w:val="nil"/>
              <w:bottom w:val="single" w:sz="4" w:space="0" w:color="auto"/>
              <w:right w:val="single" w:sz="8"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4</w:t>
            </w:r>
          </w:p>
        </w:tc>
        <w:tc>
          <w:tcPr>
            <w:tcW w:w="3097" w:type="dxa"/>
            <w:tcBorders>
              <w:top w:val="nil"/>
              <w:left w:val="nil"/>
              <w:bottom w:val="single" w:sz="4"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部门本年度预算完成数与预算数的比率，用以反映和考核部门预算完成程度。</w:t>
            </w:r>
          </w:p>
        </w:tc>
        <w:tc>
          <w:tcPr>
            <w:tcW w:w="4136" w:type="dxa"/>
            <w:tcBorders>
              <w:top w:val="nil"/>
              <w:left w:val="nil"/>
              <w:bottom w:val="single" w:sz="4"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预算执行率=（预算执行数/预算数）×100%。</w:t>
            </w:r>
            <w:r>
              <w:rPr>
                <w:rFonts w:ascii="宋体" w:eastAsia="宋体" w:hAnsi="宋体" w:cs="宋体" w:hint="eastAsia"/>
                <w:kern w:val="0"/>
                <w:szCs w:val="21"/>
              </w:rPr>
              <w:br/>
              <w:t>预算执行数：部门本年度实际完成的预算数。</w:t>
            </w:r>
            <w:r>
              <w:rPr>
                <w:rFonts w:ascii="宋体" w:eastAsia="宋体" w:hAnsi="宋体" w:cs="宋体" w:hint="eastAsia"/>
                <w:kern w:val="0"/>
                <w:szCs w:val="21"/>
              </w:rPr>
              <w:br/>
              <w:t>预算数：财政部门批复的本年度部门预算数。</w:t>
            </w:r>
          </w:p>
        </w:tc>
      </w:tr>
      <w:tr w:rsidR="00124E65">
        <w:trPr>
          <w:trHeight w:val="1824"/>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944"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预算</w:t>
            </w:r>
          </w:p>
          <w:p w:rsidR="00124E65" w:rsidRDefault="00F11576">
            <w:pPr>
              <w:widowControl/>
              <w:spacing w:line="240" w:lineRule="atLeast"/>
              <w:jc w:val="center"/>
              <w:textAlignment w:val="baseline"/>
              <w:rPr>
                <w:rFonts w:ascii="宋体" w:eastAsia="宋体" w:hAnsi="宋体" w:cs="宋体"/>
                <w:kern w:val="0"/>
                <w:sz w:val="20"/>
                <w:szCs w:val="21"/>
              </w:rPr>
            </w:pPr>
            <w:r>
              <w:rPr>
                <w:rFonts w:ascii="宋体" w:eastAsia="宋体" w:hAnsi="宋体" w:cs="宋体" w:hint="eastAsia"/>
                <w:kern w:val="0"/>
                <w:szCs w:val="21"/>
              </w:rPr>
              <w:t>调整率</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（2分）</w:t>
            </w:r>
          </w:p>
        </w:tc>
        <w:tc>
          <w:tcPr>
            <w:tcW w:w="7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2</w:t>
            </w:r>
          </w:p>
        </w:tc>
        <w:tc>
          <w:tcPr>
            <w:tcW w:w="309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部门本年度预算调整数与预算数的比率，用以反映和考核部门预算的调整程度。</w:t>
            </w:r>
          </w:p>
        </w:tc>
        <w:tc>
          <w:tcPr>
            <w:tcW w:w="413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预算调整率=（预算调整数/预算数）×100%。</w:t>
            </w:r>
            <w:r>
              <w:rPr>
                <w:rFonts w:ascii="宋体" w:eastAsia="宋体" w:hAnsi="宋体" w:cs="宋体" w:hint="eastAsia"/>
                <w:kern w:val="0"/>
                <w:szCs w:val="21"/>
              </w:rPr>
              <w:br/>
              <w:t>预算调整数：部门在本年度内涉及预算的追加、追减或结构调整的资金总和（因落实国家政策、发生不可抗力、上级部门或本级党委政府临时交办而产生的调整除外）。</w:t>
            </w:r>
          </w:p>
        </w:tc>
      </w:tr>
      <w:tr w:rsidR="00124E65">
        <w:trPr>
          <w:trHeight w:val="2531"/>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944" w:type="dxa"/>
            <w:tcBorders>
              <w:top w:val="single" w:sz="4" w:space="0" w:color="auto"/>
              <w:left w:val="single" w:sz="4" w:space="0" w:color="auto"/>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支付</w:t>
            </w:r>
          </w:p>
          <w:p w:rsidR="00124E65" w:rsidRDefault="00F11576">
            <w:pPr>
              <w:widowControl/>
              <w:spacing w:line="240" w:lineRule="atLeast"/>
              <w:jc w:val="center"/>
              <w:textAlignment w:val="baseline"/>
              <w:rPr>
                <w:rFonts w:ascii="宋体" w:eastAsia="宋体" w:hAnsi="宋体" w:cs="宋体"/>
                <w:kern w:val="0"/>
                <w:sz w:val="20"/>
                <w:szCs w:val="21"/>
              </w:rPr>
            </w:pPr>
            <w:r>
              <w:rPr>
                <w:rFonts w:ascii="宋体" w:eastAsia="宋体" w:hAnsi="宋体" w:cs="宋体" w:hint="eastAsia"/>
                <w:kern w:val="0"/>
                <w:szCs w:val="21"/>
              </w:rPr>
              <w:t>进度率</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（2分）</w:t>
            </w:r>
          </w:p>
        </w:tc>
        <w:tc>
          <w:tcPr>
            <w:tcW w:w="771" w:type="dxa"/>
            <w:tcBorders>
              <w:top w:val="single" w:sz="4" w:space="0" w:color="auto"/>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2</w:t>
            </w:r>
          </w:p>
        </w:tc>
        <w:tc>
          <w:tcPr>
            <w:tcW w:w="3097" w:type="dxa"/>
            <w:tcBorders>
              <w:top w:val="single" w:sz="4" w:space="0" w:color="auto"/>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部门实际支付进度与既定支付进度的比率，用以反映和考核部门预算执行的及时性和均衡性程度。</w:t>
            </w:r>
          </w:p>
        </w:tc>
        <w:tc>
          <w:tcPr>
            <w:tcW w:w="4136" w:type="dxa"/>
            <w:tcBorders>
              <w:top w:val="single" w:sz="4" w:space="0" w:color="auto"/>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支付进度率=（实际支付进度/既定支付进度）×100%。</w:t>
            </w:r>
            <w:r>
              <w:rPr>
                <w:rFonts w:ascii="宋体" w:eastAsia="宋体" w:hAnsi="宋体" w:cs="宋体" w:hint="eastAsia"/>
                <w:kern w:val="0"/>
                <w:szCs w:val="21"/>
              </w:rPr>
              <w:br/>
              <w:t>实际支付进度：部门在某一时点的支出预算执行总数与年度支出预算数的比率。</w:t>
            </w:r>
            <w:r>
              <w:rPr>
                <w:rFonts w:ascii="宋体" w:eastAsia="宋体" w:hAnsi="宋体" w:cs="宋体" w:hint="eastAsia"/>
                <w:kern w:val="0"/>
                <w:szCs w:val="21"/>
              </w:rPr>
              <w:br/>
              <w:t>既定支付进度：由部门在申报部门整体绩效目标时，参照序时支付进度、前三年支付进度、本级部门平均支付进度水平等确定的，在某一时点应达到的支付进度（比率）。</w:t>
            </w:r>
          </w:p>
        </w:tc>
      </w:tr>
      <w:tr w:rsidR="00124E65">
        <w:trPr>
          <w:trHeight w:val="1209"/>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944" w:type="dxa"/>
            <w:tcBorders>
              <w:top w:val="nil"/>
              <w:left w:val="single" w:sz="4" w:space="0" w:color="auto"/>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结转</w:t>
            </w:r>
          </w:p>
          <w:p w:rsidR="00124E65" w:rsidRDefault="00F11576">
            <w:pPr>
              <w:widowControl/>
              <w:spacing w:line="240" w:lineRule="atLeast"/>
              <w:jc w:val="center"/>
              <w:textAlignment w:val="baseline"/>
              <w:rPr>
                <w:rFonts w:ascii="宋体" w:eastAsia="宋体" w:hAnsi="宋体" w:cs="宋体"/>
                <w:kern w:val="0"/>
                <w:sz w:val="20"/>
                <w:szCs w:val="21"/>
              </w:rPr>
            </w:pPr>
            <w:r>
              <w:rPr>
                <w:rFonts w:ascii="宋体" w:eastAsia="宋体" w:hAnsi="宋体" w:cs="宋体" w:hint="eastAsia"/>
                <w:kern w:val="0"/>
                <w:szCs w:val="21"/>
              </w:rPr>
              <w:t>结余率</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（2分）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right="105"/>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right="105"/>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right="105" w:firstLine="105"/>
              <w:jc w:val="left"/>
              <w:textAlignment w:val="baseline"/>
              <w:rPr>
                <w:rFonts w:ascii="宋体" w:eastAsia="宋体" w:hAnsi="宋体" w:cs="宋体"/>
                <w:kern w:val="0"/>
                <w:sz w:val="24"/>
                <w:szCs w:val="24"/>
              </w:rPr>
            </w:pPr>
            <w:r>
              <w:rPr>
                <w:rFonts w:ascii="宋体" w:eastAsia="宋体" w:hAnsi="宋体" w:cs="宋体" w:hint="eastAsia"/>
                <w:kern w:val="0"/>
                <w:szCs w:val="21"/>
              </w:rPr>
              <w:t> 2</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部门本年度结转结余总额与支出预算数的比率，用以反映和考核部门对本年度结转结余资金的实际控制程度。</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结转结余率=结转结余总额/支出预算数×100%。</w:t>
            </w:r>
            <w:r>
              <w:rPr>
                <w:rFonts w:ascii="宋体" w:eastAsia="宋体" w:hAnsi="宋体" w:cs="宋体" w:hint="eastAsia"/>
                <w:kern w:val="0"/>
                <w:szCs w:val="21"/>
              </w:rPr>
              <w:br/>
              <w:t>结转结余总额：部门本年度的结转资金与结余资金之和（以决算数为准）。</w:t>
            </w:r>
          </w:p>
        </w:tc>
      </w:tr>
      <w:tr w:rsidR="00124E65">
        <w:trPr>
          <w:trHeight w:val="1113"/>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944" w:type="dxa"/>
            <w:tcBorders>
              <w:top w:val="nil"/>
              <w:left w:val="single" w:sz="4" w:space="0" w:color="auto"/>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结转结余</w:t>
            </w:r>
          </w:p>
          <w:p w:rsidR="00124E65" w:rsidRDefault="00F11576">
            <w:pPr>
              <w:widowControl/>
              <w:spacing w:line="240" w:lineRule="atLeast"/>
              <w:jc w:val="center"/>
              <w:textAlignment w:val="baseline"/>
              <w:rPr>
                <w:rFonts w:ascii="宋体" w:eastAsia="宋体" w:hAnsi="宋体" w:cs="宋体"/>
                <w:kern w:val="0"/>
                <w:sz w:val="20"/>
                <w:szCs w:val="21"/>
              </w:rPr>
            </w:pPr>
            <w:r>
              <w:rPr>
                <w:rFonts w:ascii="宋体" w:eastAsia="宋体" w:hAnsi="宋体" w:cs="宋体" w:hint="eastAsia"/>
                <w:kern w:val="0"/>
                <w:szCs w:val="21"/>
              </w:rPr>
              <w:t>变动率</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（2分）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right="105"/>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right="105"/>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right="105"/>
              <w:jc w:val="left"/>
              <w:textAlignment w:val="baseline"/>
              <w:rPr>
                <w:rFonts w:ascii="宋体" w:eastAsia="宋体" w:hAnsi="宋体" w:cs="宋体"/>
                <w:kern w:val="0"/>
                <w:sz w:val="24"/>
                <w:szCs w:val="24"/>
              </w:rPr>
            </w:pPr>
            <w:r>
              <w:rPr>
                <w:rFonts w:ascii="宋体" w:eastAsia="宋体" w:hAnsi="宋体" w:cs="宋体" w:hint="eastAsia"/>
                <w:kern w:val="0"/>
                <w:szCs w:val="21"/>
              </w:rPr>
              <w:t>  2</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部门本年度结转结余资金总额与上年度结转结余资金总额的变动比率，用以反映和考核部门对控制结转结余资金的努力程度。</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结转结余变动率=[（本年度累计结转结余资金总额-上年度累计结转结余资金总额）/上年度累计结转结余资金总额]×100%。</w:t>
            </w:r>
          </w:p>
        </w:tc>
      </w:tr>
      <w:tr w:rsidR="00124E65">
        <w:trPr>
          <w:trHeight w:val="131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944" w:type="dxa"/>
            <w:tcBorders>
              <w:top w:val="nil"/>
              <w:left w:val="single" w:sz="4" w:space="0" w:color="auto"/>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公用经费</w:t>
            </w:r>
          </w:p>
          <w:p w:rsidR="00124E65" w:rsidRDefault="00F11576">
            <w:pPr>
              <w:widowControl/>
              <w:spacing w:line="240" w:lineRule="atLeast"/>
              <w:jc w:val="center"/>
              <w:textAlignment w:val="baseline"/>
              <w:rPr>
                <w:rFonts w:ascii="宋体" w:eastAsia="宋体" w:hAnsi="宋体" w:cs="宋体"/>
                <w:kern w:val="0"/>
                <w:sz w:val="20"/>
                <w:szCs w:val="21"/>
              </w:rPr>
            </w:pPr>
            <w:r>
              <w:rPr>
                <w:rFonts w:ascii="宋体" w:eastAsia="宋体" w:hAnsi="宋体" w:cs="宋体" w:hint="eastAsia"/>
                <w:kern w:val="0"/>
                <w:szCs w:val="21"/>
              </w:rPr>
              <w:t>控制率</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（2分）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right="105"/>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 w:val="24"/>
                <w:szCs w:val="24"/>
              </w:rPr>
              <w:t>1</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部门本年度实际支出的公用经费总额与预算安排的公用经费总额的比率，用以反映和考核部门对机构运转成本的实际控制程度。</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公用经费控制率=（实际支出公用经费总额/预算安排公用经费总额）×100%。</w:t>
            </w:r>
          </w:p>
        </w:tc>
      </w:tr>
      <w:tr w:rsidR="00124E65">
        <w:trPr>
          <w:trHeight w:val="1018"/>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944" w:type="dxa"/>
            <w:tcBorders>
              <w:top w:val="nil"/>
              <w:left w:val="single" w:sz="4" w:space="0" w:color="auto"/>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“三公经费”控制率（2分）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2</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部门本年度“三公经费”实际支出数与预算安排数的比率，用以反映和考核部门对“三公经费”的实际控制程度。</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“三公经费”控制率=（“三公经费”实际支出数/“三公经费”预算安排数）×100%。</w:t>
            </w:r>
          </w:p>
        </w:tc>
      </w:tr>
      <w:tr w:rsidR="00124E65">
        <w:trPr>
          <w:trHeight w:val="1320"/>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944" w:type="dxa"/>
            <w:tcBorders>
              <w:top w:val="nil"/>
              <w:left w:val="single" w:sz="4" w:space="0" w:color="auto"/>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政府采购</w:t>
            </w:r>
          </w:p>
          <w:p w:rsidR="00124E65" w:rsidRDefault="00F11576">
            <w:pPr>
              <w:widowControl/>
              <w:spacing w:line="240" w:lineRule="atLeast"/>
              <w:jc w:val="left"/>
              <w:textAlignment w:val="baseline"/>
              <w:rPr>
                <w:rFonts w:ascii="宋体" w:eastAsia="宋体" w:hAnsi="宋体" w:cs="宋体"/>
                <w:kern w:val="0"/>
                <w:sz w:val="20"/>
                <w:szCs w:val="21"/>
              </w:rPr>
            </w:pPr>
            <w:r>
              <w:rPr>
                <w:rFonts w:ascii="宋体" w:eastAsia="宋体" w:hAnsi="宋体" w:cs="宋体" w:hint="eastAsia"/>
                <w:kern w:val="0"/>
                <w:szCs w:val="21"/>
              </w:rPr>
              <w:t>执行率</w:t>
            </w:r>
          </w:p>
          <w:p w:rsidR="00124E65" w:rsidRDefault="00F11576">
            <w:pPr>
              <w:widowControl/>
              <w:spacing w:line="240" w:lineRule="atLeast"/>
              <w:jc w:val="left"/>
              <w:textAlignment w:val="baseline"/>
              <w:rPr>
                <w:rFonts w:ascii="宋体" w:eastAsia="宋体" w:hAnsi="宋体" w:cs="宋体"/>
                <w:kern w:val="0"/>
                <w:sz w:val="24"/>
                <w:szCs w:val="24"/>
              </w:rPr>
            </w:pPr>
            <w:r>
              <w:rPr>
                <w:rFonts w:ascii="宋体" w:eastAsia="宋体" w:hAnsi="宋体" w:cs="宋体" w:hint="eastAsia"/>
                <w:kern w:val="0"/>
                <w:szCs w:val="21"/>
              </w:rPr>
              <w:t>（4分）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right="105"/>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right="105"/>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 w:val="24"/>
                <w:szCs w:val="24"/>
              </w:rPr>
              <w:t>3</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部门本年度实际政府采购金额与年初政府采购预算的比率，用以反映和考核部门政府采购预算执行情况。</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政府采购执行率=（实际政府采购金额/政府采购预算数）×100%；</w:t>
            </w:r>
            <w:r>
              <w:rPr>
                <w:rFonts w:ascii="宋体" w:eastAsia="宋体" w:hAnsi="宋体" w:cs="宋体" w:hint="eastAsia"/>
                <w:kern w:val="0"/>
                <w:szCs w:val="21"/>
              </w:rPr>
              <w:br/>
              <w:t>政府采购预算：采购机关根据事业发展计划和行政任务编制的、并经过规定程序批准的年度政府采购计划。 </w:t>
            </w:r>
          </w:p>
        </w:tc>
      </w:tr>
      <w:tr w:rsidR="00124E65">
        <w:trPr>
          <w:trHeight w:val="2029"/>
          <w:jc w:val="center"/>
        </w:trPr>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过程（30分）</w:t>
            </w:r>
          </w:p>
        </w:tc>
        <w:tc>
          <w:tcPr>
            <w:tcW w:w="1166"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0"/>
                <w:szCs w:val="21"/>
              </w:rPr>
            </w:pPr>
            <w:r>
              <w:rPr>
                <w:rFonts w:ascii="宋体" w:eastAsia="宋体" w:hAnsi="宋体" w:cs="宋体" w:hint="eastAsia"/>
                <w:kern w:val="0"/>
                <w:szCs w:val="21"/>
              </w:rPr>
              <w:t>预算</w:t>
            </w:r>
            <w:r>
              <w:rPr>
                <w:rFonts w:ascii="宋体" w:eastAsia="宋体" w:hAnsi="宋体" w:cs="宋体" w:hint="eastAsia"/>
                <w:kern w:val="0"/>
                <w:szCs w:val="21"/>
              </w:rPr>
              <w:br/>
              <w:t>管理</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（5分）</w:t>
            </w:r>
          </w:p>
          <w:p w:rsidR="00124E65" w:rsidRDefault="00124E65">
            <w:pPr>
              <w:widowControl/>
              <w:spacing w:line="240" w:lineRule="atLeast"/>
              <w:jc w:val="center"/>
              <w:textAlignment w:val="baseline"/>
              <w:rPr>
                <w:rFonts w:ascii="宋体" w:eastAsia="宋体" w:hAnsi="宋体" w:cs="宋体"/>
                <w:kern w:val="0"/>
                <w:sz w:val="24"/>
                <w:szCs w:val="24"/>
              </w:rPr>
            </w:pPr>
          </w:p>
        </w:tc>
        <w:tc>
          <w:tcPr>
            <w:tcW w:w="944" w:type="dxa"/>
            <w:tcBorders>
              <w:top w:val="nil"/>
              <w:left w:val="single" w:sz="4" w:space="0" w:color="auto"/>
              <w:bottom w:val="single" w:sz="4"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管理制度</w:t>
            </w:r>
          </w:p>
          <w:p w:rsidR="00124E65" w:rsidRDefault="00F11576">
            <w:pPr>
              <w:widowControl/>
              <w:spacing w:line="240" w:lineRule="atLeast"/>
              <w:jc w:val="center"/>
              <w:textAlignment w:val="baseline"/>
              <w:rPr>
                <w:rFonts w:ascii="宋体" w:eastAsia="宋体" w:hAnsi="宋体" w:cs="宋体"/>
                <w:kern w:val="0"/>
                <w:sz w:val="20"/>
                <w:szCs w:val="21"/>
              </w:rPr>
            </w:pPr>
            <w:r>
              <w:rPr>
                <w:rFonts w:ascii="宋体" w:eastAsia="宋体" w:hAnsi="宋体" w:cs="宋体" w:hint="eastAsia"/>
                <w:kern w:val="0"/>
                <w:szCs w:val="21"/>
              </w:rPr>
              <w:t>健全性</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（2分）</w:t>
            </w:r>
          </w:p>
        </w:tc>
        <w:tc>
          <w:tcPr>
            <w:tcW w:w="771" w:type="dxa"/>
            <w:tcBorders>
              <w:top w:val="nil"/>
              <w:left w:val="nil"/>
              <w:bottom w:val="single" w:sz="4" w:space="0" w:color="auto"/>
              <w:right w:val="single" w:sz="8"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 w:val="24"/>
                <w:szCs w:val="24"/>
              </w:rPr>
              <w:t>2</w:t>
            </w:r>
          </w:p>
        </w:tc>
        <w:tc>
          <w:tcPr>
            <w:tcW w:w="3097" w:type="dxa"/>
            <w:tcBorders>
              <w:top w:val="nil"/>
              <w:left w:val="nil"/>
              <w:bottom w:val="single" w:sz="4"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部门为加强预算管理、规范财务行为而制定的管理制度是否健全完整，用以反映和考核部门预算管理制度对完成主要职责或促进事业发展的保障情况。</w:t>
            </w:r>
          </w:p>
        </w:tc>
        <w:tc>
          <w:tcPr>
            <w:tcW w:w="4136" w:type="dxa"/>
            <w:tcBorders>
              <w:top w:val="nil"/>
              <w:left w:val="nil"/>
              <w:bottom w:val="single" w:sz="4"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评价要点：</w:t>
            </w:r>
            <w:r>
              <w:rPr>
                <w:rFonts w:ascii="宋体" w:eastAsia="宋体" w:hAnsi="宋体" w:cs="宋体" w:hint="eastAsia"/>
                <w:kern w:val="0"/>
                <w:szCs w:val="21"/>
              </w:rPr>
              <w:br/>
              <w:t>①是否已制定或具有预算资金管理办法、内部财务管理制度、会计核算制度等管理制度；</w:t>
            </w:r>
            <w:r>
              <w:rPr>
                <w:rFonts w:ascii="宋体" w:eastAsia="宋体" w:hAnsi="宋体" w:cs="宋体" w:hint="eastAsia"/>
                <w:kern w:val="0"/>
                <w:szCs w:val="21"/>
              </w:rPr>
              <w:br/>
              <w:t>②相关管理制度是否合法、合规、完整；</w:t>
            </w:r>
            <w:r>
              <w:rPr>
                <w:rFonts w:ascii="宋体" w:eastAsia="宋体" w:hAnsi="宋体" w:cs="宋体" w:hint="eastAsia"/>
                <w:kern w:val="0"/>
                <w:szCs w:val="21"/>
              </w:rPr>
              <w:br/>
              <w:t>③相关管理制度是否得到有效执行。</w:t>
            </w:r>
          </w:p>
        </w:tc>
      </w:tr>
      <w:tr w:rsidR="00124E65">
        <w:trPr>
          <w:trHeight w:val="253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944"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资金使用</w:t>
            </w:r>
          </w:p>
          <w:p w:rsidR="00124E65" w:rsidRDefault="00F11576">
            <w:pPr>
              <w:widowControl/>
              <w:spacing w:line="240" w:lineRule="atLeast"/>
              <w:jc w:val="center"/>
              <w:textAlignment w:val="baseline"/>
              <w:rPr>
                <w:rFonts w:ascii="宋体" w:eastAsia="宋体" w:hAnsi="宋体" w:cs="宋体"/>
                <w:kern w:val="0"/>
                <w:sz w:val="20"/>
                <w:szCs w:val="21"/>
              </w:rPr>
            </w:pPr>
            <w:r>
              <w:rPr>
                <w:rFonts w:ascii="宋体" w:eastAsia="宋体" w:hAnsi="宋体" w:cs="宋体" w:hint="eastAsia"/>
                <w:kern w:val="0"/>
                <w:szCs w:val="21"/>
              </w:rPr>
              <w:t>合规性</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（1分）</w:t>
            </w:r>
          </w:p>
        </w:tc>
        <w:tc>
          <w:tcPr>
            <w:tcW w:w="7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1</w:t>
            </w:r>
          </w:p>
        </w:tc>
        <w:tc>
          <w:tcPr>
            <w:tcW w:w="309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部门使用预算资金是否符合相关的预算财务管理制度的规定，用以反映和考核部门预算资金的规范运行情况。</w:t>
            </w:r>
          </w:p>
        </w:tc>
        <w:tc>
          <w:tcPr>
            <w:tcW w:w="413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评价要点：</w:t>
            </w:r>
            <w:r>
              <w:rPr>
                <w:rFonts w:ascii="宋体" w:eastAsia="宋体" w:hAnsi="宋体" w:cs="宋体" w:hint="eastAsia"/>
                <w:kern w:val="0"/>
                <w:szCs w:val="21"/>
              </w:rPr>
              <w:br/>
              <w:t>①是否符合国家财经法规和财务管理制度规定以及有关预算支出管理办法的规定；</w:t>
            </w:r>
            <w:r>
              <w:rPr>
                <w:rFonts w:ascii="宋体" w:eastAsia="宋体" w:hAnsi="宋体" w:cs="宋体" w:hint="eastAsia"/>
                <w:kern w:val="0"/>
                <w:szCs w:val="21"/>
              </w:rPr>
              <w:br/>
              <w:t>②资金的拨付是否有完整的审批程序和手续；</w:t>
            </w:r>
            <w:r>
              <w:rPr>
                <w:rFonts w:ascii="宋体" w:eastAsia="宋体" w:hAnsi="宋体" w:cs="宋体" w:hint="eastAsia"/>
                <w:kern w:val="0"/>
                <w:szCs w:val="21"/>
              </w:rPr>
              <w:br/>
              <w:t>③预算支出的重大开支是否经过评估论证；</w:t>
            </w:r>
            <w:r>
              <w:rPr>
                <w:rFonts w:ascii="宋体" w:eastAsia="宋体" w:hAnsi="宋体" w:cs="宋体" w:hint="eastAsia"/>
                <w:kern w:val="0"/>
                <w:szCs w:val="21"/>
              </w:rPr>
              <w:br/>
              <w:t>④是否符合部门预算批复的用途；</w:t>
            </w:r>
            <w:r>
              <w:rPr>
                <w:rFonts w:ascii="宋体" w:eastAsia="宋体" w:hAnsi="宋体" w:cs="宋体" w:hint="eastAsia"/>
                <w:kern w:val="0"/>
                <w:szCs w:val="21"/>
              </w:rPr>
              <w:br/>
              <w:t>⑤是否存在截留、挤占、挪用、虚列支出等情况。</w:t>
            </w:r>
          </w:p>
        </w:tc>
      </w:tr>
      <w:tr w:rsidR="00124E65">
        <w:trPr>
          <w:trHeight w:val="1272"/>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944" w:type="dxa"/>
            <w:tcBorders>
              <w:top w:val="single" w:sz="4" w:space="0" w:color="auto"/>
              <w:left w:val="single" w:sz="4" w:space="0" w:color="auto"/>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预决算信</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息公开性（1分）</w:t>
            </w:r>
          </w:p>
        </w:tc>
        <w:tc>
          <w:tcPr>
            <w:tcW w:w="771" w:type="dxa"/>
            <w:tcBorders>
              <w:top w:val="single" w:sz="4" w:space="0" w:color="auto"/>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1</w:t>
            </w:r>
          </w:p>
        </w:tc>
        <w:tc>
          <w:tcPr>
            <w:tcW w:w="3097" w:type="dxa"/>
            <w:tcBorders>
              <w:top w:val="single" w:sz="4" w:space="0" w:color="auto"/>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部门是否按照政府信息公开有关规定公开相关预决算信息，用以反映和考核部门预决算管理的公开透明情况。</w:t>
            </w:r>
          </w:p>
        </w:tc>
        <w:tc>
          <w:tcPr>
            <w:tcW w:w="4136" w:type="dxa"/>
            <w:tcBorders>
              <w:top w:val="single" w:sz="4" w:space="0" w:color="auto"/>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评价要点：</w:t>
            </w:r>
            <w:r>
              <w:rPr>
                <w:rFonts w:ascii="宋体" w:eastAsia="宋体" w:hAnsi="宋体" w:cs="宋体" w:hint="eastAsia"/>
                <w:kern w:val="0"/>
                <w:szCs w:val="21"/>
              </w:rPr>
              <w:br/>
              <w:t>①是否按规定内容公开预决算信息；</w:t>
            </w:r>
            <w:r>
              <w:rPr>
                <w:rFonts w:ascii="宋体" w:eastAsia="宋体" w:hAnsi="宋体" w:cs="宋体" w:hint="eastAsia"/>
                <w:kern w:val="0"/>
                <w:szCs w:val="21"/>
              </w:rPr>
              <w:br/>
              <w:t>②是否按规定时限公开预决算信息。</w:t>
            </w:r>
            <w:r>
              <w:rPr>
                <w:rFonts w:ascii="宋体" w:eastAsia="宋体" w:hAnsi="宋体" w:cs="宋体" w:hint="eastAsia"/>
                <w:kern w:val="0"/>
                <w:szCs w:val="21"/>
              </w:rPr>
              <w:br/>
              <w:t>预决算信息是指与部门预算、执行、决算、监督、绩效等管理相关的信息。</w:t>
            </w:r>
          </w:p>
        </w:tc>
      </w:tr>
      <w:tr w:rsidR="00124E65">
        <w:trPr>
          <w:trHeight w:val="173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944" w:type="dxa"/>
            <w:tcBorders>
              <w:top w:val="nil"/>
              <w:left w:val="single" w:sz="4" w:space="0" w:color="auto"/>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基础信息</w:t>
            </w:r>
          </w:p>
          <w:p w:rsidR="00124E65" w:rsidRDefault="00F11576">
            <w:pPr>
              <w:widowControl/>
              <w:spacing w:line="240" w:lineRule="atLeast"/>
              <w:jc w:val="center"/>
              <w:textAlignment w:val="baseline"/>
              <w:rPr>
                <w:rFonts w:ascii="宋体" w:eastAsia="宋体" w:hAnsi="宋体" w:cs="宋体"/>
                <w:kern w:val="0"/>
                <w:sz w:val="20"/>
                <w:szCs w:val="21"/>
              </w:rPr>
            </w:pPr>
            <w:r>
              <w:rPr>
                <w:rFonts w:ascii="宋体" w:eastAsia="宋体" w:hAnsi="宋体" w:cs="宋体" w:hint="eastAsia"/>
                <w:kern w:val="0"/>
                <w:szCs w:val="21"/>
              </w:rPr>
              <w:t>完善性</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（1分）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1</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部门基础信息是否完善，用以反映和考核基础信息对预算管理工作的支撑情况。</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评价要点：</w:t>
            </w:r>
            <w:r>
              <w:rPr>
                <w:rFonts w:ascii="宋体" w:eastAsia="宋体" w:hAnsi="宋体" w:cs="宋体" w:hint="eastAsia"/>
                <w:kern w:val="0"/>
                <w:szCs w:val="21"/>
              </w:rPr>
              <w:br/>
              <w:t>①基础数据信息和会计信息资料是否真实；</w:t>
            </w:r>
            <w:r>
              <w:rPr>
                <w:rFonts w:ascii="宋体" w:eastAsia="宋体" w:hAnsi="宋体" w:cs="宋体" w:hint="eastAsia"/>
                <w:kern w:val="0"/>
                <w:szCs w:val="21"/>
              </w:rPr>
              <w:br/>
              <w:t>②基础数据信息和会计信息资料是否完整；</w:t>
            </w:r>
            <w:r>
              <w:rPr>
                <w:rFonts w:ascii="宋体" w:eastAsia="宋体" w:hAnsi="宋体" w:cs="宋体" w:hint="eastAsia"/>
                <w:kern w:val="0"/>
                <w:szCs w:val="21"/>
              </w:rPr>
              <w:br/>
              <w:t>③基础数据信息和会计信息资料是否准确。</w:t>
            </w:r>
          </w:p>
        </w:tc>
      </w:tr>
      <w:tr w:rsidR="00124E65">
        <w:trPr>
          <w:trHeight w:val="1389"/>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vMerge w:val="restart"/>
            <w:tcBorders>
              <w:top w:val="single" w:sz="4" w:space="0" w:color="auto"/>
              <w:left w:val="single" w:sz="4" w:space="0" w:color="auto"/>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资产</w:t>
            </w:r>
            <w:r>
              <w:rPr>
                <w:rFonts w:ascii="宋体" w:eastAsia="宋体" w:hAnsi="宋体" w:cs="宋体" w:hint="eastAsia"/>
                <w:kern w:val="0"/>
                <w:szCs w:val="21"/>
              </w:rPr>
              <w:br/>
              <w:t>管理（5分）</w:t>
            </w: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管理制度</w:t>
            </w:r>
          </w:p>
          <w:p w:rsidR="00124E65" w:rsidRDefault="00F11576">
            <w:pPr>
              <w:widowControl/>
              <w:spacing w:line="240" w:lineRule="atLeast"/>
              <w:jc w:val="center"/>
              <w:textAlignment w:val="baseline"/>
              <w:rPr>
                <w:rFonts w:ascii="宋体" w:eastAsia="宋体" w:hAnsi="宋体" w:cs="宋体"/>
                <w:kern w:val="0"/>
                <w:sz w:val="20"/>
                <w:szCs w:val="21"/>
              </w:rPr>
            </w:pPr>
            <w:r>
              <w:rPr>
                <w:rFonts w:ascii="宋体" w:eastAsia="宋体" w:hAnsi="宋体" w:cs="宋体" w:hint="eastAsia"/>
                <w:kern w:val="0"/>
                <w:szCs w:val="21"/>
              </w:rPr>
              <w:t>健全性</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（2分）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2</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部门为加强资产管理、规范资产管理行为而制定的管理制度是否健全完整，用以反映和考核部门资产管理制度对完成主要职责或促进社会发展的保障情况。</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评价要点：</w:t>
            </w:r>
            <w:r>
              <w:rPr>
                <w:rFonts w:ascii="宋体" w:eastAsia="宋体" w:hAnsi="宋体" w:cs="宋体" w:hint="eastAsia"/>
                <w:kern w:val="0"/>
                <w:szCs w:val="21"/>
              </w:rPr>
              <w:br/>
              <w:t>①是否已制定或具有资产管理制度；           ②相关资金管理制度是否合法、合规、完整；</w:t>
            </w:r>
            <w:r>
              <w:rPr>
                <w:rFonts w:ascii="宋体" w:eastAsia="宋体" w:hAnsi="宋体" w:cs="宋体" w:hint="eastAsia"/>
                <w:kern w:val="0"/>
                <w:szCs w:val="21"/>
              </w:rPr>
              <w:br/>
              <w:t>③相关资产管理制度是否得到有效执行。</w:t>
            </w:r>
          </w:p>
        </w:tc>
      </w:tr>
      <w:tr w:rsidR="00124E65">
        <w:trPr>
          <w:trHeight w:val="188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vMerge/>
            <w:tcBorders>
              <w:top w:val="nil"/>
              <w:left w:val="single" w:sz="4" w:space="0" w:color="auto"/>
              <w:bottom w:val="single" w:sz="8" w:space="0" w:color="auto"/>
              <w:right w:val="single" w:sz="8"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left"/>
              <w:textAlignment w:val="baseline"/>
              <w:rPr>
                <w:rFonts w:ascii="宋体" w:eastAsia="宋体" w:hAnsi="宋体" w:cs="宋体"/>
                <w:kern w:val="0"/>
                <w:sz w:val="24"/>
                <w:szCs w:val="24"/>
              </w:rPr>
            </w:pPr>
            <w:r>
              <w:rPr>
                <w:rFonts w:ascii="宋体" w:eastAsia="宋体" w:hAnsi="宋体" w:cs="宋体" w:hint="eastAsia"/>
                <w:kern w:val="0"/>
                <w:szCs w:val="21"/>
              </w:rPr>
              <w:t>资产管理</w:t>
            </w:r>
          </w:p>
          <w:p w:rsidR="00124E65" w:rsidRDefault="00F11576">
            <w:pPr>
              <w:widowControl/>
              <w:spacing w:line="240" w:lineRule="atLeast"/>
              <w:jc w:val="left"/>
              <w:textAlignment w:val="baseline"/>
              <w:rPr>
                <w:rFonts w:ascii="宋体" w:eastAsia="宋体" w:hAnsi="宋体" w:cs="宋体"/>
                <w:kern w:val="0"/>
                <w:sz w:val="20"/>
                <w:szCs w:val="21"/>
              </w:rPr>
            </w:pPr>
            <w:r>
              <w:rPr>
                <w:rFonts w:ascii="宋体" w:eastAsia="宋体" w:hAnsi="宋体" w:cs="宋体" w:hint="eastAsia"/>
                <w:kern w:val="0"/>
                <w:szCs w:val="21"/>
              </w:rPr>
              <w:t>安全性</w:t>
            </w:r>
          </w:p>
          <w:p w:rsidR="00124E65" w:rsidRDefault="00F11576">
            <w:pPr>
              <w:widowControl/>
              <w:spacing w:line="240" w:lineRule="atLeast"/>
              <w:jc w:val="left"/>
              <w:textAlignment w:val="baseline"/>
              <w:rPr>
                <w:rFonts w:ascii="宋体" w:eastAsia="宋体" w:hAnsi="宋体" w:cs="宋体"/>
                <w:kern w:val="0"/>
                <w:sz w:val="24"/>
                <w:szCs w:val="24"/>
              </w:rPr>
            </w:pPr>
            <w:r>
              <w:rPr>
                <w:rFonts w:ascii="宋体" w:eastAsia="宋体" w:hAnsi="宋体" w:cs="宋体" w:hint="eastAsia"/>
                <w:kern w:val="0"/>
                <w:szCs w:val="21"/>
              </w:rPr>
              <w:t>（2分）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2</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部门的资产是否保存完整、使用合规、配置合理、处置规范、收入及时足额上缴，用以反映和考核部门资产安全运行情况。</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评价要点：</w:t>
            </w:r>
            <w:r>
              <w:rPr>
                <w:rFonts w:ascii="宋体" w:eastAsia="宋体" w:hAnsi="宋体" w:cs="宋体" w:hint="eastAsia"/>
                <w:kern w:val="0"/>
                <w:szCs w:val="21"/>
              </w:rPr>
              <w:br/>
              <w:t>①资产保存是否完整；</w:t>
            </w:r>
            <w:r>
              <w:rPr>
                <w:rFonts w:ascii="宋体" w:eastAsia="宋体" w:hAnsi="宋体" w:cs="宋体" w:hint="eastAsia"/>
                <w:kern w:val="0"/>
                <w:szCs w:val="21"/>
              </w:rPr>
              <w:br/>
              <w:t>②资产配置是否合理；</w:t>
            </w:r>
            <w:r>
              <w:rPr>
                <w:rFonts w:ascii="宋体" w:eastAsia="宋体" w:hAnsi="宋体" w:cs="宋体" w:hint="eastAsia"/>
                <w:kern w:val="0"/>
                <w:szCs w:val="21"/>
              </w:rPr>
              <w:br/>
              <w:t>③资产处置是否规范；</w:t>
            </w:r>
            <w:r>
              <w:rPr>
                <w:rFonts w:ascii="宋体" w:eastAsia="宋体" w:hAnsi="宋体" w:cs="宋体" w:hint="eastAsia"/>
                <w:kern w:val="0"/>
                <w:szCs w:val="21"/>
              </w:rPr>
              <w:br/>
              <w:t>④资产账务管理是否合规，是否帐实相符；</w:t>
            </w:r>
            <w:r>
              <w:rPr>
                <w:rFonts w:ascii="宋体" w:eastAsia="宋体" w:hAnsi="宋体" w:cs="宋体" w:hint="eastAsia"/>
                <w:kern w:val="0"/>
                <w:szCs w:val="21"/>
              </w:rPr>
              <w:br/>
              <w:t>⑤资产是否有偿使用及处置收入及时足额上缴。</w:t>
            </w:r>
          </w:p>
        </w:tc>
      </w:tr>
      <w:tr w:rsidR="00124E65">
        <w:trPr>
          <w:trHeight w:val="89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vMerge/>
            <w:tcBorders>
              <w:top w:val="nil"/>
              <w:left w:val="single" w:sz="4" w:space="0" w:color="auto"/>
              <w:bottom w:val="single" w:sz="4" w:space="0" w:color="auto"/>
              <w:right w:val="single" w:sz="8"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固定资产</w:t>
            </w:r>
          </w:p>
          <w:p w:rsidR="00124E65" w:rsidRDefault="00F11576">
            <w:pPr>
              <w:widowControl/>
              <w:spacing w:line="240" w:lineRule="atLeast"/>
              <w:jc w:val="center"/>
              <w:textAlignment w:val="baseline"/>
              <w:rPr>
                <w:rFonts w:ascii="宋体" w:eastAsia="宋体" w:hAnsi="宋体" w:cs="宋体"/>
                <w:kern w:val="0"/>
                <w:sz w:val="20"/>
                <w:szCs w:val="21"/>
              </w:rPr>
            </w:pPr>
            <w:r>
              <w:rPr>
                <w:rFonts w:ascii="宋体" w:eastAsia="宋体" w:hAnsi="宋体" w:cs="宋体" w:hint="eastAsia"/>
                <w:kern w:val="0"/>
                <w:szCs w:val="21"/>
              </w:rPr>
              <w:t>利用率</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（1分）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right="105"/>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right="105"/>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1</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部门实际在用固定资产总额与所有固定资产总额的比率，用以反映和考核部门固定资产使用效率程度。</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固定资产利用率=（实际在用固定资产总额/所有固定资产总额）×100%。</w:t>
            </w:r>
          </w:p>
        </w:tc>
      </w:tr>
      <w:tr w:rsidR="00124E65">
        <w:trPr>
          <w:trHeight w:val="2171"/>
          <w:jc w:val="center"/>
        </w:trPr>
        <w:tc>
          <w:tcPr>
            <w:tcW w:w="567" w:type="dxa"/>
            <w:vMerge w:val="restar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0"/>
                <w:szCs w:val="21"/>
              </w:rPr>
            </w:pPr>
            <w:r>
              <w:rPr>
                <w:rFonts w:ascii="宋体" w:eastAsia="宋体" w:hAnsi="宋体" w:cs="宋体" w:hint="eastAsia"/>
                <w:kern w:val="0"/>
                <w:szCs w:val="21"/>
              </w:rPr>
              <w:t>产出</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（30分）</w:t>
            </w:r>
          </w:p>
        </w:tc>
        <w:tc>
          <w:tcPr>
            <w:tcW w:w="1166"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0"/>
                <w:szCs w:val="21"/>
              </w:rPr>
            </w:pPr>
            <w:r>
              <w:rPr>
                <w:rFonts w:ascii="宋体" w:eastAsia="宋体" w:hAnsi="宋体" w:cs="宋体" w:hint="eastAsia"/>
                <w:kern w:val="0"/>
                <w:szCs w:val="21"/>
              </w:rPr>
              <w:t>职责</w:t>
            </w:r>
            <w:r>
              <w:rPr>
                <w:rFonts w:ascii="宋体" w:eastAsia="宋体" w:hAnsi="宋体" w:cs="宋体" w:hint="eastAsia"/>
                <w:kern w:val="0"/>
                <w:szCs w:val="21"/>
              </w:rPr>
              <w:br/>
              <w:t>履行</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（30分）</w:t>
            </w:r>
          </w:p>
        </w:tc>
        <w:tc>
          <w:tcPr>
            <w:tcW w:w="944" w:type="dxa"/>
            <w:tcBorders>
              <w:top w:val="nil"/>
              <w:left w:val="single" w:sz="4" w:space="0" w:color="auto"/>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实际</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完成率（8分）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8</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部门履行职责而实际完成工作数与计划工作数的比率，用以反映和考核部门履职工作任务目标的实现程度。</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实际完成率=（实际完成工作数/计划工作数）×100%。</w:t>
            </w:r>
            <w:r>
              <w:rPr>
                <w:rFonts w:ascii="宋体" w:eastAsia="宋体" w:hAnsi="宋体" w:cs="宋体" w:hint="eastAsia"/>
                <w:kern w:val="0"/>
                <w:szCs w:val="21"/>
              </w:rPr>
              <w:br/>
              <w:t>实际完成工作数：一定时期（年度或规划期）内部门实际完成工作任务的数量。</w:t>
            </w:r>
            <w:r>
              <w:rPr>
                <w:rFonts w:ascii="宋体" w:eastAsia="宋体" w:hAnsi="宋体" w:cs="宋体" w:hint="eastAsia"/>
                <w:kern w:val="0"/>
                <w:szCs w:val="21"/>
              </w:rPr>
              <w:br/>
              <w:t>计划工作数：部门整体绩效目标确定的一定时期（年度或规划期）内预计完成工作任务的数量。</w:t>
            </w:r>
          </w:p>
        </w:tc>
      </w:tr>
      <w:tr w:rsidR="00124E65">
        <w:trPr>
          <w:trHeight w:val="1393"/>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944" w:type="dxa"/>
            <w:tcBorders>
              <w:top w:val="nil"/>
              <w:left w:val="single" w:sz="4" w:space="0" w:color="auto"/>
              <w:bottom w:val="single" w:sz="4"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完成</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及时率（4分）</w:t>
            </w:r>
          </w:p>
        </w:tc>
        <w:tc>
          <w:tcPr>
            <w:tcW w:w="771" w:type="dxa"/>
            <w:tcBorders>
              <w:top w:val="nil"/>
              <w:left w:val="nil"/>
              <w:bottom w:val="single" w:sz="4" w:space="0" w:color="auto"/>
              <w:right w:val="single" w:sz="8"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4</w:t>
            </w:r>
          </w:p>
        </w:tc>
        <w:tc>
          <w:tcPr>
            <w:tcW w:w="3097" w:type="dxa"/>
            <w:tcBorders>
              <w:top w:val="nil"/>
              <w:left w:val="nil"/>
              <w:bottom w:val="single" w:sz="4"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部门在规定时限内及时完成的实际工作数与计划工作数的比率,用以反映和考核部门履职时效目标的实现程度。</w:t>
            </w:r>
          </w:p>
        </w:tc>
        <w:tc>
          <w:tcPr>
            <w:tcW w:w="4136" w:type="dxa"/>
            <w:tcBorders>
              <w:top w:val="nil"/>
              <w:left w:val="nil"/>
              <w:bottom w:val="single" w:sz="4"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完成及时率=（及时完成实际工作数/计划工作数）×100%。</w:t>
            </w:r>
            <w:r>
              <w:rPr>
                <w:rFonts w:ascii="宋体" w:eastAsia="宋体" w:hAnsi="宋体" w:cs="宋体" w:hint="eastAsia"/>
                <w:kern w:val="0"/>
                <w:szCs w:val="21"/>
              </w:rPr>
              <w:br/>
              <w:t>及时完成实际工作数：部门按照整体绩效目标确定的时限实际完成的工作任务数量。</w:t>
            </w:r>
          </w:p>
        </w:tc>
      </w:tr>
      <w:tr w:rsidR="00124E65">
        <w:trPr>
          <w:trHeight w:val="167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944"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质量</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达标率（8分）</w:t>
            </w:r>
          </w:p>
        </w:tc>
        <w:tc>
          <w:tcPr>
            <w:tcW w:w="7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8</w:t>
            </w:r>
          </w:p>
        </w:tc>
        <w:tc>
          <w:tcPr>
            <w:tcW w:w="309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达到质量标准（绩效标准值）的实际工作数与计划工作数的比率,用以反映和考核部门履职质量目标的实现程度。</w:t>
            </w:r>
          </w:p>
        </w:tc>
        <w:tc>
          <w:tcPr>
            <w:tcW w:w="413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质量达标率=（质量达标实际工作数/计划工作数）×100%。</w:t>
            </w:r>
            <w:r>
              <w:rPr>
                <w:rFonts w:ascii="宋体" w:eastAsia="宋体" w:hAnsi="宋体" w:cs="宋体" w:hint="eastAsia"/>
                <w:kern w:val="0"/>
                <w:szCs w:val="21"/>
              </w:rPr>
              <w:br/>
              <w:t>质量达标实际工作数：一定时期（年度或规划期）内部门实际完成工作数中达到部门绩效目标要求（绩效标准值）的工作任务数量。</w:t>
            </w:r>
          </w:p>
        </w:tc>
      </w:tr>
      <w:tr w:rsidR="00124E65">
        <w:trPr>
          <w:trHeight w:val="112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944" w:type="dxa"/>
            <w:tcBorders>
              <w:top w:val="single" w:sz="4" w:space="0" w:color="auto"/>
              <w:left w:val="single" w:sz="4" w:space="0" w:color="auto"/>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重点工作</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办结率（10分）</w:t>
            </w:r>
          </w:p>
        </w:tc>
        <w:tc>
          <w:tcPr>
            <w:tcW w:w="771" w:type="dxa"/>
            <w:tcBorders>
              <w:top w:val="single" w:sz="4" w:space="0" w:color="auto"/>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right="105"/>
              <w:jc w:val="left"/>
              <w:textAlignment w:val="baseline"/>
              <w:rPr>
                <w:rFonts w:ascii="宋体" w:eastAsia="宋体" w:hAnsi="宋体" w:cs="宋体"/>
                <w:kern w:val="0"/>
                <w:sz w:val="24"/>
                <w:szCs w:val="24"/>
              </w:rPr>
            </w:pPr>
            <w:r>
              <w:rPr>
                <w:rFonts w:ascii="宋体" w:eastAsia="宋体" w:hAnsi="宋体" w:cs="宋体" w:hint="eastAsia"/>
                <w:kern w:val="0"/>
                <w:szCs w:val="21"/>
              </w:rPr>
              <w:t>  9</w:t>
            </w:r>
          </w:p>
        </w:tc>
        <w:tc>
          <w:tcPr>
            <w:tcW w:w="3097" w:type="dxa"/>
            <w:tcBorders>
              <w:top w:val="single" w:sz="4" w:space="0" w:color="auto"/>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部门年度重点工作实际完成数与交办或下达数的比率，用以反映部门对重点工作的办理落实程度。</w:t>
            </w:r>
          </w:p>
        </w:tc>
        <w:tc>
          <w:tcPr>
            <w:tcW w:w="4136" w:type="dxa"/>
            <w:tcBorders>
              <w:top w:val="single" w:sz="4" w:space="0" w:color="auto"/>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重点工作办结率=（重点工作实际完成数/交办或下达数）×100%。</w:t>
            </w:r>
            <w:r>
              <w:rPr>
                <w:rFonts w:ascii="宋体" w:eastAsia="宋体" w:hAnsi="宋体" w:cs="宋体" w:hint="eastAsia"/>
                <w:kern w:val="0"/>
                <w:szCs w:val="21"/>
              </w:rPr>
              <w:br/>
              <w:t>重点工作是指党委、政府、人大、相关部门交办或下达的工作任务。</w:t>
            </w:r>
          </w:p>
        </w:tc>
      </w:tr>
      <w:tr w:rsidR="00124E65">
        <w:trPr>
          <w:trHeight w:val="709"/>
          <w:jc w:val="center"/>
        </w:trPr>
        <w:tc>
          <w:tcPr>
            <w:tcW w:w="567" w:type="dxa"/>
            <w:vMerge w:val="restart"/>
            <w:tcBorders>
              <w:top w:val="single" w:sz="4" w:space="0" w:color="auto"/>
              <w:left w:val="single" w:sz="8" w:space="0" w:color="auto"/>
              <w:bottom w:val="single" w:sz="8" w:space="0" w:color="auto"/>
              <w:right w:val="single" w:sz="8" w:space="0" w:color="auto"/>
            </w:tcBorders>
            <w:noWrap/>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0"/>
                <w:szCs w:val="21"/>
              </w:rPr>
            </w:pPr>
            <w:r>
              <w:rPr>
                <w:rFonts w:ascii="宋体" w:eastAsia="宋体" w:hAnsi="宋体" w:cs="宋体" w:hint="eastAsia"/>
                <w:kern w:val="0"/>
                <w:szCs w:val="21"/>
              </w:rPr>
              <w:t>效果</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（20分）</w:t>
            </w:r>
          </w:p>
        </w:tc>
        <w:tc>
          <w:tcPr>
            <w:tcW w:w="1166" w:type="dxa"/>
            <w:vMerge w:val="restart"/>
            <w:tcBorders>
              <w:top w:val="single" w:sz="4" w:space="0" w:color="auto"/>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0"/>
                <w:szCs w:val="21"/>
              </w:rPr>
            </w:pPr>
            <w:r>
              <w:rPr>
                <w:rFonts w:ascii="宋体" w:eastAsia="宋体" w:hAnsi="宋体" w:cs="宋体" w:hint="eastAsia"/>
                <w:kern w:val="0"/>
                <w:szCs w:val="21"/>
              </w:rPr>
              <w:t>履职</w:t>
            </w:r>
            <w:r>
              <w:rPr>
                <w:rFonts w:ascii="宋体" w:eastAsia="宋体" w:hAnsi="宋体" w:cs="宋体" w:hint="eastAsia"/>
                <w:kern w:val="0"/>
                <w:szCs w:val="21"/>
              </w:rPr>
              <w:br/>
              <w:t>效益</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（20分）</w:t>
            </w: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经济效益（5分）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5</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部门履行职责对经济发展所带来的直接或间接影响。</w:t>
            </w:r>
          </w:p>
        </w:tc>
        <w:tc>
          <w:tcPr>
            <w:tcW w:w="4136" w:type="dxa"/>
            <w:vMerge w:val="restart"/>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此三项指标为设置部门整体支出绩效评价指标时必须考虑的共性要素，可根据部门实际并结合部门整体支出绩效目标设立情况有选择的进行设置，并将其细化为相应的个性化指标。</w:t>
            </w:r>
          </w:p>
        </w:tc>
      </w:tr>
      <w:tr w:rsidR="00124E65">
        <w:trPr>
          <w:trHeight w:val="709"/>
          <w:jc w:val="center"/>
        </w:trPr>
        <w:tc>
          <w:tcPr>
            <w:tcW w:w="567" w:type="dxa"/>
            <w:vMerge/>
            <w:tcBorders>
              <w:top w:val="nil"/>
              <w:left w:val="single" w:sz="8" w:space="0" w:color="auto"/>
              <w:bottom w:val="single" w:sz="8" w:space="0" w:color="auto"/>
              <w:right w:val="single" w:sz="8"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vMerge/>
            <w:tcBorders>
              <w:top w:val="nil"/>
              <w:left w:val="nil"/>
              <w:bottom w:val="single" w:sz="8" w:space="0" w:color="auto"/>
              <w:right w:val="single" w:sz="8"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社会效益（5分）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5</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部门履行职责对社会发展所带来的直接或间接影响。</w:t>
            </w:r>
          </w:p>
        </w:tc>
        <w:tc>
          <w:tcPr>
            <w:tcW w:w="4136" w:type="dxa"/>
            <w:vMerge/>
            <w:tcBorders>
              <w:top w:val="nil"/>
              <w:left w:val="nil"/>
              <w:bottom w:val="single" w:sz="8" w:space="0" w:color="auto"/>
              <w:right w:val="single" w:sz="8" w:space="0" w:color="auto"/>
            </w:tcBorders>
            <w:vAlign w:val="center"/>
          </w:tcPr>
          <w:p w:rsidR="00124E65" w:rsidRDefault="00124E65">
            <w:pPr>
              <w:widowControl/>
              <w:jc w:val="left"/>
              <w:textAlignment w:val="baseline"/>
              <w:rPr>
                <w:rFonts w:ascii="宋体" w:eastAsia="宋体" w:hAnsi="宋体" w:cs="宋体"/>
                <w:kern w:val="0"/>
                <w:sz w:val="24"/>
                <w:szCs w:val="24"/>
              </w:rPr>
            </w:pPr>
          </w:p>
        </w:tc>
      </w:tr>
      <w:tr w:rsidR="00124E65">
        <w:trPr>
          <w:trHeight w:val="709"/>
          <w:jc w:val="center"/>
        </w:trPr>
        <w:tc>
          <w:tcPr>
            <w:tcW w:w="567" w:type="dxa"/>
            <w:tcBorders>
              <w:top w:val="nil"/>
              <w:left w:val="single" w:sz="8" w:space="0" w:color="auto"/>
              <w:bottom w:val="single" w:sz="8" w:space="0" w:color="auto"/>
              <w:right w:val="single" w:sz="8"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tcBorders>
              <w:top w:val="nil"/>
              <w:left w:val="nil"/>
              <w:bottom w:val="single" w:sz="8" w:space="0" w:color="auto"/>
              <w:right w:val="single" w:sz="8"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生态效益（5分）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5</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部门履行职责对生态环境所带来的直接或间接影响。</w:t>
            </w:r>
          </w:p>
        </w:tc>
        <w:tc>
          <w:tcPr>
            <w:tcW w:w="4136" w:type="dxa"/>
            <w:tcBorders>
              <w:top w:val="nil"/>
              <w:left w:val="nil"/>
              <w:bottom w:val="single" w:sz="8" w:space="0" w:color="auto"/>
              <w:right w:val="single" w:sz="8" w:space="0" w:color="auto"/>
            </w:tcBorders>
            <w:vAlign w:val="center"/>
          </w:tcPr>
          <w:p w:rsidR="00124E65" w:rsidRDefault="00124E65">
            <w:pPr>
              <w:widowControl/>
              <w:jc w:val="left"/>
              <w:textAlignment w:val="baseline"/>
              <w:rPr>
                <w:rFonts w:ascii="宋体" w:eastAsia="宋体" w:hAnsi="宋体" w:cs="宋体"/>
                <w:kern w:val="0"/>
                <w:sz w:val="24"/>
                <w:szCs w:val="24"/>
              </w:rPr>
            </w:pPr>
          </w:p>
        </w:tc>
      </w:tr>
      <w:tr w:rsidR="00124E65">
        <w:trPr>
          <w:trHeight w:val="1063"/>
          <w:jc w:val="center"/>
        </w:trPr>
        <w:tc>
          <w:tcPr>
            <w:tcW w:w="567" w:type="dxa"/>
            <w:tcBorders>
              <w:top w:val="nil"/>
              <w:left w:val="single" w:sz="8" w:space="0" w:color="auto"/>
              <w:bottom w:val="single" w:sz="8" w:space="0" w:color="auto"/>
              <w:right w:val="single" w:sz="8"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1166" w:type="dxa"/>
            <w:tcBorders>
              <w:top w:val="nil"/>
              <w:left w:val="nil"/>
              <w:bottom w:val="single" w:sz="8" w:space="0" w:color="auto"/>
              <w:right w:val="single" w:sz="8" w:space="0" w:color="auto"/>
            </w:tcBorders>
            <w:vAlign w:val="center"/>
          </w:tcPr>
          <w:p w:rsidR="00124E65" w:rsidRDefault="00124E65">
            <w:pPr>
              <w:widowControl/>
              <w:jc w:val="left"/>
              <w:textAlignment w:val="baseline"/>
              <w:rPr>
                <w:rFonts w:ascii="宋体" w:eastAsia="宋体" w:hAnsi="宋体" w:cs="宋体"/>
                <w:kern w:val="0"/>
                <w:sz w:val="24"/>
                <w:szCs w:val="24"/>
              </w:rPr>
            </w:pP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社会公众</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或服务对</w:t>
            </w:r>
          </w:p>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象满意度（5分）</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5</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社会公众或部门的服务对象对部门履职效果的满意程度。</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社会公众或服务对象是指部门履行职责而影响到的部门、群体或个人。一般采取社会调查的方式。</w:t>
            </w:r>
          </w:p>
        </w:tc>
      </w:tr>
      <w:tr w:rsidR="00124E65">
        <w:trPr>
          <w:trHeight w:val="692"/>
          <w:jc w:val="center"/>
        </w:trPr>
        <w:tc>
          <w:tcPr>
            <w:tcW w:w="56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124E65" w:rsidRDefault="00F11576">
            <w:pPr>
              <w:widowControl/>
              <w:spacing w:line="240" w:lineRule="atLeast"/>
              <w:jc w:val="left"/>
              <w:textAlignment w:val="baseline"/>
              <w:rPr>
                <w:rFonts w:ascii="宋体" w:eastAsia="宋体" w:hAnsi="宋体" w:cs="宋体"/>
                <w:kern w:val="0"/>
                <w:sz w:val="24"/>
                <w:szCs w:val="24"/>
              </w:rPr>
            </w:pPr>
            <w:r>
              <w:rPr>
                <w:rFonts w:ascii="宋体" w:eastAsia="宋体" w:hAnsi="宋体" w:cs="宋体" w:hint="eastAsia"/>
                <w:kern w:val="0"/>
                <w:szCs w:val="21"/>
              </w:rPr>
              <w:t>总分</w:t>
            </w:r>
          </w:p>
        </w:tc>
        <w:tc>
          <w:tcPr>
            <w:tcW w:w="1166" w:type="dxa"/>
            <w:tcBorders>
              <w:top w:val="nil"/>
              <w:left w:val="nil"/>
              <w:bottom w:val="single" w:sz="8" w:space="0" w:color="auto"/>
              <w:right w:val="single" w:sz="8" w:space="0" w:color="auto"/>
            </w:tcBorders>
            <w:tcMar>
              <w:top w:w="0" w:type="dxa"/>
              <w:left w:w="0" w:type="dxa"/>
              <w:bottom w:w="0" w:type="dxa"/>
              <w:right w:w="0" w:type="dxa"/>
            </w:tcMar>
            <w:vAlign w:val="center"/>
          </w:tcPr>
          <w:p w:rsidR="00124E65" w:rsidRDefault="00F11576">
            <w:pPr>
              <w:widowControl/>
              <w:spacing w:line="240" w:lineRule="atLeast"/>
              <w:jc w:val="left"/>
              <w:textAlignment w:val="baseline"/>
              <w:rPr>
                <w:rFonts w:ascii="宋体" w:eastAsia="宋体" w:hAnsi="宋体" w:cs="宋体"/>
                <w:kern w:val="0"/>
                <w:sz w:val="24"/>
                <w:szCs w:val="24"/>
              </w:rPr>
            </w:pPr>
            <w:r>
              <w:rPr>
                <w:rFonts w:ascii="宋体" w:eastAsia="宋体" w:hAnsi="宋体" w:cs="宋体" w:hint="eastAsia"/>
                <w:kern w:val="0"/>
                <w:szCs w:val="21"/>
              </w:rPr>
              <w:t> </w:t>
            </w:r>
          </w:p>
        </w:tc>
        <w:tc>
          <w:tcPr>
            <w:tcW w:w="944"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Cs w:val="21"/>
              </w:rPr>
              <w:t> </w:t>
            </w:r>
          </w:p>
        </w:tc>
        <w:tc>
          <w:tcPr>
            <w:tcW w:w="771" w:type="dxa"/>
            <w:tcBorders>
              <w:top w:val="nil"/>
              <w:left w:val="nil"/>
              <w:bottom w:val="single" w:sz="8" w:space="0" w:color="auto"/>
              <w:right w:val="single" w:sz="8" w:space="0" w:color="auto"/>
            </w:tcBorders>
            <w:tcMar>
              <w:top w:w="0" w:type="dxa"/>
              <w:left w:w="0" w:type="dxa"/>
              <w:bottom w:w="0" w:type="dxa"/>
              <w:right w:w="0" w:type="dxa"/>
            </w:tcMar>
          </w:tcPr>
          <w:p w:rsidR="00124E65" w:rsidRDefault="00F11576">
            <w:pPr>
              <w:widowControl/>
              <w:spacing w:line="240" w:lineRule="atLeast"/>
              <w:ind w:right="105"/>
              <w:jc w:val="left"/>
              <w:textAlignment w:val="baseline"/>
              <w:rPr>
                <w:rFonts w:ascii="宋体" w:eastAsia="宋体" w:hAnsi="宋体" w:cs="宋体"/>
                <w:kern w:val="0"/>
                <w:sz w:val="24"/>
                <w:szCs w:val="24"/>
              </w:rPr>
            </w:pPr>
            <w:r>
              <w:rPr>
                <w:rFonts w:ascii="宋体" w:eastAsia="宋体" w:hAnsi="宋体" w:cs="宋体" w:hint="eastAsia"/>
                <w:kern w:val="0"/>
                <w:szCs w:val="21"/>
              </w:rPr>
              <w:t> </w:t>
            </w:r>
          </w:p>
          <w:p w:rsidR="00124E65" w:rsidRDefault="00F11576">
            <w:pPr>
              <w:widowControl/>
              <w:spacing w:line="240" w:lineRule="atLeast"/>
              <w:ind w:right="105"/>
              <w:jc w:val="left"/>
              <w:textAlignment w:val="baseline"/>
              <w:rPr>
                <w:rFonts w:ascii="宋体" w:eastAsia="宋体" w:hAnsi="宋体" w:cs="宋体"/>
                <w:kern w:val="0"/>
                <w:sz w:val="24"/>
                <w:szCs w:val="24"/>
              </w:rPr>
            </w:pPr>
            <w:r>
              <w:rPr>
                <w:rFonts w:ascii="宋体" w:eastAsia="宋体" w:hAnsi="宋体" w:cs="宋体" w:hint="eastAsia"/>
                <w:kern w:val="0"/>
                <w:szCs w:val="21"/>
              </w:rPr>
              <w:t>  89</w:t>
            </w:r>
          </w:p>
        </w:tc>
        <w:tc>
          <w:tcPr>
            <w:tcW w:w="3097"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firstLine="96"/>
              <w:jc w:val="left"/>
              <w:textAlignment w:val="baseline"/>
              <w:rPr>
                <w:rFonts w:ascii="宋体" w:eastAsia="宋体" w:hAnsi="宋体" w:cs="宋体"/>
                <w:kern w:val="0"/>
                <w:sz w:val="24"/>
                <w:szCs w:val="24"/>
              </w:rPr>
            </w:pPr>
            <w:r>
              <w:rPr>
                <w:rFonts w:ascii="宋体" w:eastAsia="宋体" w:hAnsi="宋体" w:cs="宋体" w:hint="eastAsia"/>
                <w:kern w:val="0"/>
                <w:szCs w:val="21"/>
              </w:rPr>
              <w:t> </w:t>
            </w:r>
          </w:p>
        </w:tc>
        <w:tc>
          <w:tcPr>
            <w:tcW w:w="4136" w:type="dxa"/>
            <w:tcBorders>
              <w:top w:val="nil"/>
              <w:left w:val="nil"/>
              <w:bottom w:val="single" w:sz="8" w:space="0" w:color="auto"/>
              <w:right w:val="single" w:sz="8" w:space="0" w:color="auto"/>
            </w:tcBorders>
            <w:tcMar>
              <w:top w:w="10" w:type="dxa"/>
              <w:left w:w="10" w:type="dxa"/>
              <w:bottom w:w="0" w:type="dxa"/>
              <w:right w:w="10" w:type="dxa"/>
            </w:tcMar>
            <w:vAlign w:val="center"/>
          </w:tcPr>
          <w:p w:rsidR="00124E65" w:rsidRDefault="00F11576">
            <w:pPr>
              <w:widowControl/>
              <w:spacing w:line="240" w:lineRule="atLeast"/>
              <w:ind w:left="105" w:right="105"/>
              <w:jc w:val="left"/>
              <w:textAlignment w:val="baseline"/>
              <w:rPr>
                <w:rFonts w:ascii="宋体" w:eastAsia="宋体" w:hAnsi="宋体" w:cs="宋体"/>
                <w:kern w:val="0"/>
                <w:sz w:val="24"/>
                <w:szCs w:val="24"/>
              </w:rPr>
            </w:pPr>
            <w:r>
              <w:rPr>
                <w:rFonts w:ascii="宋体" w:eastAsia="宋体" w:hAnsi="宋体" w:cs="宋体" w:hint="eastAsia"/>
                <w:kern w:val="0"/>
                <w:szCs w:val="21"/>
              </w:rPr>
              <w:t> </w:t>
            </w:r>
          </w:p>
        </w:tc>
      </w:tr>
    </w:tbl>
    <w:p w:rsidR="00124E65" w:rsidRDefault="00124E65">
      <w:pPr>
        <w:textAlignment w:val="baseline"/>
        <w:rPr>
          <w:sz w:val="20"/>
        </w:rPr>
      </w:pPr>
    </w:p>
    <w:p w:rsidR="00124E65" w:rsidRDefault="00124E65">
      <w:pPr>
        <w:ind w:firstLineChars="200" w:firstLine="640"/>
        <w:jc w:val="left"/>
        <w:textAlignment w:val="baseline"/>
        <w:rPr>
          <w:rFonts w:cs="黑体"/>
          <w:color w:val="000000"/>
          <w:kern w:val="0"/>
          <w:sz w:val="32"/>
          <w:szCs w:val="32"/>
        </w:rPr>
      </w:pPr>
    </w:p>
    <w:p w:rsidR="00124E65" w:rsidRDefault="00124E65"/>
    <w:sectPr w:rsidR="00124E65" w:rsidSect="00124E65">
      <w:pgSz w:w="11906" w:h="16838"/>
      <w:pgMar w:top="1134" w:right="1531" w:bottom="1134" w:left="1531" w:header="851" w:footer="992" w:gutter="0"/>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3">
    <w15:presenceInfo w15:providerId="None" w15:userId="admin-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TQ3ZDRkNTkxMzRiYWQ3ODFjNjM3YTMzZWRlYjFjZmQifQ=="/>
  </w:docVars>
  <w:rsids>
    <w:rsidRoot w:val="00124E65"/>
    <w:rsid w:val="000D35EB"/>
    <w:rsid w:val="00124E65"/>
    <w:rsid w:val="00271CCD"/>
    <w:rsid w:val="00F11576"/>
    <w:rsid w:val="2AF66F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4E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124E65"/>
    <w:pPr>
      <w:jc w:val="left"/>
    </w:pPr>
  </w:style>
  <w:style w:type="character" w:styleId="a4">
    <w:name w:val="annotation reference"/>
    <w:basedOn w:val="a0"/>
    <w:rsid w:val="00124E65"/>
    <w:rPr>
      <w:sz w:val="21"/>
      <w:szCs w:val="21"/>
    </w:rPr>
  </w:style>
  <w:style w:type="paragraph" w:styleId="a5">
    <w:name w:val="Balloon Text"/>
    <w:basedOn w:val="a"/>
    <w:link w:val="Char"/>
    <w:rsid w:val="00F11576"/>
    <w:rPr>
      <w:sz w:val="18"/>
      <w:szCs w:val="18"/>
    </w:rPr>
  </w:style>
  <w:style w:type="character" w:customStyle="1" w:styleId="Char">
    <w:name w:val="批注框文本 Char"/>
    <w:basedOn w:val="a0"/>
    <w:link w:val="a5"/>
    <w:rsid w:val="00F1157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4991</Words>
  <Characters>714</Characters>
  <Application>Microsoft Office Word</Application>
  <DocSecurity>0</DocSecurity>
  <Lines>5</Lines>
  <Paragraphs>11</Paragraphs>
  <ScaleCrop>false</ScaleCrop>
  <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admin-3</dc:creator>
  <cp:lastModifiedBy>xbany</cp:lastModifiedBy>
  <cp:revision>3</cp:revision>
  <dcterms:created xsi:type="dcterms:W3CDTF">2023-06-27T08:02:00Z</dcterms:created>
  <dcterms:modified xsi:type="dcterms:W3CDTF">2023-10-05T07:59:00Z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027B549F6EA44C76ADAF7C335F598ADE_12</vt:lpwstr>
  </property>
</Properties>
</file>