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val="0"/>
          <w:bCs/>
          <w:sz w:val="36"/>
          <w:szCs w:val="36"/>
          <w:highlight w:val="none"/>
          <w:lang w:eastAsia="zh-CN"/>
        </w:rPr>
      </w:pPr>
      <w:r>
        <w:rPr>
          <w:rFonts w:hint="eastAsia" w:hAnsi="黑体" w:cs="黑体"/>
          <w:b w:val="0"/>
          <w:bCs/>
          <w:sz w:val="36"/>
          <w:szCs w:val="36"/>
          <w:highlight w:val="none"/>
          <w:lang w:val="en-US" w:eastAsia="zh-CN"/>
        </w:rPr>
        <w:t>益阳市</w:t>
      </w:r>
      <w:r>
        <w:rPr>
          <w:rFonts w:hint="eastAsia" w:ascii="黑体" w:hAnsi="黑体" w:eastAsia="黑体" w:cs="黑体"/>
          <w:b w:val="0"/>
          <w:bCs/>
          <w:sz w:val="36"/>
          <w:szCs w:val="36"/>
          <w:highlight w:val="none"/>
          <w:lang w:eastAsia="zh-CN"/>
        </w:rPr>
        <w:t>赫山区</w:t>
      </w:r>
      <w:r>
        <w:rPr>
          <w:rFonts w:hint="eastAsia" w:ascii="黑体" w:hAnsi="黑体" w:eastAsia="黑体" w:cs="黑体"/>
          <w:b w:val="0"/>
          <w:bCs/>
          <w:sz w:val="36"/>
          <w:szCs w:val="36"/>
          <w:highlight w:val="none"/>
          <w:lang w:val="en-US" w:eastAsia="zh-CN"/>
        </w:rPr>
        <w:t>商务局</w:t>
      </w:r>
      <w:r>
        <w:rPr>
          <w:rFonts w:hint="eastAsia" w:ascii="黑体" w:hAnsi="黑体" w:eastAsia="黑体" w:cs="黑体"/>
          <w:b w:val="0"/>
          <w:bCs/>
          <w:sz w:val="36"/>
          <w:szCs w:val="36"/>
          <w:highlight w:val="none"/>
          <w:lang w:eastAsia="zh-CN"/>
        </w:rPr>
        <w:t>202</w:t>
      </w:r>
      <w:r>
        <w:rPr>
          <w:rFonts w:hint="eastAsia" w:ascii="黑体" w:hAnsi="黑体" w:eastAsia="黑体" w:cs="黑体"/>
          <w:b w:val="0"/>
          <w:bCs/>
          <w:sz w:val="36"/>
          <w:szCs w:val="36"/>
          <w:highlight w:val="none"/>
          <w:lang w:val="en-US" w:eastAsia="zh-CN"/>
        </w:rPr>
        <w:t>1</w:t>
      </w:r>
      <w:r>
        <w:rPr>
          <w:rFonts w:hint="eastAsia" w:ascii="黑体" w:hAnsi="黑体" w:eastAsia="黑体" w:cs="黑体"/>
          <w:b w:val="0"/>
          <w:bCs/>
          <w:sz w:val="36"/>
          <w:szCs w:val="36"/>
          <w:highlight w:val="none"/>
          <w:lang w:eastAsia="zh-CN"/>
        </w:rPr>
        <w:t>年</w:t>
      </w:r>
      <w:r>
        <w:rPr>
          <w:rFonts w:hint="eastAsia" w:hAnsi="黑体" w:cs="黑体"/>
          <w:b w:val="0"/>
          <w:bCs/>
          <w:sz w:val="36"/>
          <w:szCs w:val="36"/>
          <w:highlight w:val="none"/>
          <w:lang w:val="en-US" w:eastAsia="zh-CN"/>
        </w:rPr>
        <w:t>度</w:t>
      </w:r>
      <w:r>
        <w:rPr>
          <w:rFonts w:hint="eastAsia" w:ascii="黑体" w:hAnsi="黑体" w:eastAsia="黑体" w:cs="黑体"/>
          <w:b w:val="0"/>
          <w:bCs/>
          <w:sz w:val="36"/>
          <w:szCs w:val="36"/>
          <w:highlight w:val="none"/>
          <w:lang w:eastAsia="zh-CN"/>
        </w:rPr>
        <w:t>部门整体支出</w:t>
      </w:r>
    </w:p>
    <w:p>
      <w:pPr>
        <w:pStyle w:val="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val="0"/>
          <w:bCs/>
          <w:sz w:val="36"/>
          <w:szCs w:val="36"/>
          <w:highlight w:val="none"/>
          <w:lang w:eastAsia="zh-CN"/>
        </w:rPr>
      </w:pPr>
      <w:r>
        <w:rPr>
          <w:rFonts w:hint="eastAsia" w:ascii="黑体" w:hAnsi="黑体" w:eastAsia="黑体" w:cs="黑体"/>
          <w:b w:val="0"/>
          <w:bCs/>
          <w:sz w:val="36"/>
          <w:szCs w:val="36"/>
          <w:highlight w:val="none"/>
          <w:lang w:eastAsia="zh-CN"/>
        </w:rPr>
        <w:t>绩效评价报告</w:t>
      </w:r>
    </w:p>
    <w:p>
      <w:pPr>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eastAsia="zh-CN"/>
        </w:rPr>
      </w:pP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根据《中共中央国务院关于全面实施预算绩效管理的意见》（中发〔2018〕34号）、《财政部关于印发&lt;项目支出绩效评价管理办法&gt;的通知》（财预〔2020〕10号）和《中共湖南省委办公厅 湖南省人民政府办公厅关于全面实施预算绩效管理的实施意见》（湘政发〔2019〕10号）、《益阳市赫山区财政局关于做好2021年度预算绩效自评工作的通知》（益赫财绩〔2022〕1号）等有关文件精神，本着独立、客观、公正、科学的原则，按照公认的绩效评价方法，我局积极组织，对2021年度本单位整体支出进行了绩效自评，现将具体绩效评价情况报告如下：</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一、单位基本情况</w:t>
      </w:r>
    </w:p>
    <w:p>
      <w:pPr>
        <w:pStyle w:val="5"/>
        <w:keepNext w:val="0"/>
        <w:keepLines w:val="0"/>
        <w:pageBreakBefore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（一）职能职责</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贯彻执行国家国内外贸易、国际经济合作和区域经济合作的发展战略、政策，起草我区国内外贸易、招商引资、承接产业转移、对外援助、对外投资和对外经济合作的政策措施和实施办法，研究经济全球化、区域经济合作、现代流通方式的发展趋势和流通体制改革并提出建议。</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负责推进流通产业结构调整，指导流通企业改革，促进商贸服务业和社区商业发展，提出促进商贸中小企业发展的政策建议，推动流通标准化和连锁经营、商业特许经营、物流配送、电子商务等现代流通方式的发展。</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3.拟订全区国内贸易发展规划，促进城乡市场发展，指导大宗产品批发市场规划和城市商业网点规划、商业体系建设工作，推进农村市场体系建设，组织实施农村现代流通网络工程。</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4.承担牵头协调整顿和规范市场经济秩序工作的责任，提出整顿和规范全区市场秩序的工作建议；推动商务领域信用建设，指导商业信用销售。</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承担组织实施重要消费品市场调控和重要生产资料流通管理的责任，建立健全生活必需品市场供应应急管理机制，监测分析市场运行、商品供求状况，调查分析商品价格信息，进行预测预警和信息引导；按分工负责重要消费品储备管理和市场调控工作；指导全区报汽车回收企业经营管理。</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6.贯彻执行国家进出口商品、加工贸易管理办法和进出口管理商品、技术目录，协助拟订促进外贸增长方式转变的政策措施，组织实施重要工业品、原材料和重要农产品进出口总量计划，会同有关部门协调大宗进出口商品，指导贸易促进活动和外贸促进体系建设。</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7.贯彻执行国家对外技术贸易、出口管制以及鼓励技术和成套设备进出口的贸易政策，推进进出口贸易标准化工作；依法监督技术引进、设备进口、国家限制出口技术的工作。</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8.拟订服务贸易发展规划并开展相关工作；会同有关部门制定促进服务出口、服务外包的规划、政策并组织实施，推动服务外包平台建设。</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9.贯彻执行我国多双边(含区域、自由贸易区)经贸合</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作战略和政策，推进我区与其他国家(地区)的经贸往来与投资贸易合作；承担全区商务领域涉及世界贸易组织事务的相关工作，负责对外经济贸易协调工作。指导我区对港、澳、台地区贸易和经贸合作活动，协调港、澳、台投资管理工作。</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10.协助开展反倾销、反补贴、保障措施及其他与进出口公平贸易相关的工作，协助开展对外贸易调查和产业损害调查，指导协调产业安全应对工作。</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11.宏观指导全区招商引资和承接产业转移工作，组织实施招商引资和承接产业转移政策；协助投资促进及全区外商投资企业审批工作，规范招商引资活动；承接会展业促进与管理有关工作，指导区级经济技术开发区的有关工作。</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12.承担全区对外经济技术合作工作。指导和监督全区对外承包工程、劳务合作等对外经济合作业务；指导和组织实施市制定的出境就业管理政策，协助实施外派劳务和境外就业人员的权益保护工作。</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13.贯彻执行国家对外援助政策和方案，协调管理全区承担的对外援助项目；协调管理多双边对我区的无偿援助和赠款(不含财政合作项下外国政府及国际金融组织的赠款)等发展合作业务。</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14.负责组织协调相关企业参加商务部、省政府、省商务厅、市政府、市商务局举办的内外贸易促销活动和对外经济技术合作活动，指导、协调以赫山区名义在境内外举办的各种内外贸交易会、展览会、展销会等活动。</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15.负责直属企业及行业服务中心的监督管理。</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16.承担全区商务系统统计及其信息发布工作，提供信息咨询服务，指导全区流通领域信息网络和电子商务建设。</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17.完成区委、区政府交办的其他任务。</w:t>
      </w:r>
    </w:p>
    <w:p>
      <w:pPr>
        <w:pStyle w:val="5"/>
        <w:keepNext w:val="0"/>
        <w:keepLines w:val="0"/>
        <w:pageBreakBefore w:val="0"/>
        <w:kinsoku/>
        <w:wordWrap/>
        <w:overflowPunct/>
        <w:topLinePunct w:val="0"/>
        <w:bidi w:val="0"/>
        <w:snapToGrid/>
        <w:spacing w:line="600" w:lineRule="exact"/>
        <w:ind w:firstLine="602" w:firstLineChars="200"/>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（二）机构设置及人员编制情况</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根据赫山区编制委员会核定，区商务局其有9个内设机构，分别是：1、办公室； 2、外经外贸股；3、市场调节股；4市场建设股；5、市场秩序股（法规股、政务服务股）；6、电子商务股； 7、投资管理股；8、财务审计股； 9、人事股（企业改制办公室）。</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所属二级机构分别是：1、益阳市赫山区投资促进服务中心（副科级公益一类事业单位）；2、益阳市赫山区行业服务中心（股级公益一类事业单位）。益阳市赫山区商务局机关编制人数13人，实际人数11人，益阳市赫山区行业服务中心编制人数5人，实际人数11人。</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二、一般公共预算支出情况</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2021年赫山区商务局一般公共预算拨款收入331.03万元，年末结转和结余124.97万元。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rPr>
        <w:t>基本支出</w:t>
      </w:r>
      <w:r>
        <w:rPr>
          <w:rFonts w:hint="eastAsia" w:ascii="仿宋" w:hAnsi="仿宋" w:eastAsia="仿宋" w:cs="仿宋"/>
          <w:b/>
          <w:bCs/>
          <w:sz w:val="30"/>
          <w:szCs w:val="30"/>
          <w:lang w:val="en-US" w:eastAsia="zh-CN"/>
        </w:rPr>
        <w:t>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00" w:firstLineChars="200"/>
        <w:jc w:val="left"/>
        <w:textAlignment w:val="auto"/>
        <w:rPr>
          <w:rFonts w:hint="eastAsia"/>
        </w:rPr>
      </w:pPr>
      <w:r>
        <w:rPr>
          <w:rFonts w:hint="eastAsia" w:ascii="仿宋" w:hAnsi="仿宋" w:eastAsia="仿宋" w:cs="仿宋"/>
          <w:i w:val="0"/>
          <w:caps w:val="0"/>
          <w:color w:val="333333"/>
          <w:spacing w:val="0"/>
          <w:kern w:val="0"/>
          <w:sz w:val="30"/>
          <w:szCs w:val="30"/>
          <w:shd w:val="clear" w:fill="FFFFFF"/>
          <w:lang w:val="en-US" w:eastAsia="zh-CN" w:bidi="ar"/>
        </w:rPr>
        <w:t>基本支出是指为保障单位机构正常运转、完成日常工作任务而发生的各项支出，</w:t>
      </w:r>
      <w:r>
        <w:rPr>
          <w:rFonts w:hint="eastAsia" w:ascii="仿宋" w:hAnsi="仿宋" w:eastAsia="仿宋" w:cs="仿宋"/>
          <w:sz w:val="30"/>
          <w:szCs w:val="30"/>
        </w:rPr>
        <w:t>包括用于基本工资、津贴补贴等人员经费以及办公费、印刷费、水电费、办公设备购置等日常公用经费。2021年</w:t>
      </w:r>
      <w:r>
        <w:rPr>
          <w:rFonts w:hint="eastAsia" w:ascii="仿宋" w:hAnsi="仿宋" w:eastAsia="仿宋" w:cs="仿宋"/>
          <w:sz w:val="30"/>
          <w:szCs w:val="30"/>
          <w:lang w:val="en-US" w:eastAsia="zh-CN"/>
        </w:rPr>
        <w:t>基本</w:t>
      </w:r>
      <w:r>
        <w:rPr>
          <w:rFonts w:hint="eastAsia" w:ascii="仿宋" w:hAnsi="仿宋" w:eastAsia="仿宋" w:cs="仿宋"/>
          <w:sz w:val="30"/>
          <w:szCs w:val="30"/>
        </w:rPr>
        <w:t>支出为</w:t>
      </w:r>
      <w:r>
        <w:rPr>
          <w:rFonts w:hint="eastAsia" w:ascii="仿宋" w:hAnsi="仿宋" w:eastAsia="仿宋" w:cs="仿宋"/>
          <w:sz w:val="30"/>
          <w:szCs w:val="30"/>
          <w:lang w:val="en-US" w:eastAsia="zh-CN"/>
        </w:rPr>
        <w:t>362.40</w:t>
      </w:r>
      <w:r>
        <w:rPr>
          <w:rFonts w:hint="eastAsia" w:ascii="仿宋" w:hAnsi="仿宋" w:eastAsia="仿宋" w:cs="仿宋"/>
          <w:sz w:val="30"/>
          <w:szCs w:val="30"/>
        </w:rPr>
        <w:t>万元，</w:t>
      </w:r>
      <w:r>
        <w:rPr>
          <w:rFonts w:hint="eastAsia" w:ascii="仿宋" w:hAnsi="仿宋" w:eastAsia="仿宋" w:cs="仿宋"/>
          <w:i w:val="0"/>
          <w:caps w:val="0"/>
          <w:color w:val="333333"/>
          <w:spacing w:val="0"/>
          <w:kern w:val="0"/>
          <w:sz w:val="30"/>
          <w:szCs w:val="30"/>
          <w:shd w:val="clear" w:fill="FFFFFF"/>
          <w:lang w:val="en-US" w:eastAsia="zh-CN" w:bidi="ar"/>
        </w:rPr>
        <w:t>较上年减少202.96万元，减少35.9%，其中人员经费支出288.74万元，占基本支出的 79.67%，较上年减少22.83%，主要是由于:人员减少；公用经费支出支出73.65万元,占基本支出的 20.32%,较上年增加18.60 %，主要是由于:创文创卫防疫经费增加。</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项目支出</w:t>
      </w:r>
      <w:r>
        <w:rPr>
          <w:rFonts w:hint="eastAsia" w:ascii="仿宋" w:hAnsi="仿宋" w:eastAsia="仿宋" w:cs="仿宋"/>
          <w:b/>
          <w:bCs/>
          <w:sz w:val="30"/>
          <w:szCs w:val="30"/>
          <w:lang w:val="en-US" w:eastAsia="zh-CN"/>
        </w:rPr>
        <w:t>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项目支出是指单位为完成特定行政工作任务或事业发展目标而发生的支出。2021年项目支出93.60万元，较上年减少769.31万元，减少89.15%，主要是由于今年没有发展开放型经济专项资金（外贸促进资金）。主要用于其他商贸事务农贸市场卫生保洁费及奖励方面支出40万元，其他涉外发展服务外贸企业扶持资金53.6万元。</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三、政府性基金预算支出情况</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2021年度区商务局无政府性基金预算支出。</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四、国有资本经营预算支出情况</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2021年度区商务局无国有资本经营预算支出。</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五、社会保险基金预算支出情况</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本单位2021年无社会保险基金预算支出情况。</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六、部门整体支出绩效情况</w:t>
      </w:r>
    </w:p>
    <w:p>
      <w:pPr>
        <w:pStyle w:val="5"/>
        <w:keepNext w:val="0"/>
        <w:keepLines w:val="0"/>
        <w:pageBreakBefore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（一）绩效评价目的</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为加强预算绩效管理，强化支出责任，建立科学、合理的财政支出绩效评价管理体系，提高财政资金使用效益。根据《益阳市赫山区财政局关于做好2021年度预算绩效自评工作的通知》（益赫财绩〔2022〕1号）等文件精神，在本部门开展财政预算绩效评价工作。</w:t>
      </w:r>
    </w:p>
    <w:p>
      <w:pPr>
        <w:pStyle w:val="5"/>
        <w:keepNext w:val="0"/>
        <w:keepLines w:val="0"/>
        <w:pageBreakBefore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（二）绩效评价工作情况</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根据绩效自评工作要求，我单位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pStyle w:val="5"/>
        <w:keepNext w:val="0"/>
        <w:keepLines w:val="0"/>
        <w:pageBreakBefore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（三）主要绩效及评价结论</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1.招商引资成果丰硕</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通过找准项目合作点、制定招商方案，运用小分队招商、云招商、以商招商等多种招商方式，积极开展招商引资工作。2021年，我区招商引资指标均超额完成任务。全年签约3家“三类500强”企业：投资30亿元的大唐华银光伏发电项目、投资5亿元的顺丰智慧物流产业园项目、投资1亿元的正泰屋顶发电项目，完成全年目标任务2家的150%；外商直接投资到位798万美元，完成年度任务630万美元的127%；引进省外境内资金128.28亿元，完成年度任务的101%；引进区域外省内资金7.7亿元，完成全年任务的110%；新签约项目46个，完成年度任务的115%；新开工项目35个，完成年度任务的117%；新投产项目35个，完成年度任务的117%。</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2.外经外贸稳中有进</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外贸方面：我区成立龙岭外贸服务中心，降低中小企业开展外贸的成本，增强企业开展外贸进出口的信心；重点扶持外贸重点行业，充分发挥龙头企业集聚带动作用；支持鼓励外贸企业参加中国首届消费品进博会、第四届进出口博览会等大型展会，并帮助参加境外展的企业积极申报资金，帮助我区28家外贸企业申请稳外贸项目资金233.92万元。</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外经方面：做好对外企业跟踪服务，组织我区对外投资企业以及有意向投资企业进行培训。指导企业加强深化中非经贸合作，组织纵横电缆、华冠置业等企业参加湖南非洲三国贸易合作推介会、第二届中非经贸博览会，为我区对非投资合作提供良好平台。</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3.内贸流通攻坚克难</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区社零企业为适应大经营环境，业态调整变化加快，两家2020年销售数据为3.28亿元的入库骨干医药企业进行了清算和注销，直接导致我区社零数据连续几月排名靠后。面对压力，我局领导和相关股室迎难而上，多次去往产业园调研、召开大型企业座谈会，抓紧促进重点行业优质企业入规，目前已有3家企业通过了市统计局入库审定，另有8家企业入库待审；同时已组织25家大个体准备入库，我区社零排名已从垫底稍有回升。</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为拉动内需、促进消费，我区制定了《益阳市赫山区2021年消费促进活动实施方案》。根据省市相关文件精神，我区于“十一”黄金周期间组织举办了“味道湖南”益阳味道赫山美食周活动。七天的活动期，万达主会场（商场+美食街）人流量达74万人次，同比增长36.8%，销售总额达到4138.8万元，同比增长18.9%；海洋城唐风夜肆小吃街分会场人流量达28万人次，销售总额达196万元，全力拉动内需。</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4.电子商务亮点纷呈</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区组织外贸企业入驻亚马逊、易贝等国际跨境电商品台；将本地竹木企业出口的产品推介到国内线上销售平台。积极组织企业参加“2021年全国网上年货节”、“2021年电子商务博览会”、“跨境电商培训会”等活动，引导企业抓住当前直播、短视频电商发展新机遇。</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5.乡村振兴助力有方</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区积极对接农商银行、兴盛优选、仓买买等平台机构，充实村级商务中心功能，完善农村电商物流体系建设。现全区142个行政村已建成基础型村商务中心91个，标准型）村商务中心51个，金融服务、物流快递覆盖率100%。同时，举办乡村电商物流培训会、村级商务代办员培训会等，培育优秀商务代办员。</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6.疫情防控成效显著</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立了商务领域农贸市场疫情防控常态化工作机制。一是由局领导带队，分工负责：抓好农贸市场“三专两保”，督查、指导商贸流通企业疫情防控措施落实，协助社区疫情防控及局机关日常防控。二是对8个农贸市场（含益阳海吉星）专项清理、专项消毒、体温检测等疫情防控措施落实情况进行专项巡查，确保农贸市场防控到位、供给充足、物价稳定。三是确保防疫物质保障到位。发放口罩5万余个，84消毒液200余箱，体温监测枪50支，宣传喇叭30个。</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7.安全生产不辱使命</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按照安全生产排查方案和《赫山区商务局安全生产工作执法计划》，我局定期聘请有安全生产资质证的第三方专业人员对安全生产监管对象包括加油站、局属二级机构、农贸市场和大中型超市不留死角进行排查，对排查中发现的问题及时进行整改。现场整改安全隐患6处，发出整改通知6份。确保了商贸流通领域安全生产工作得到落实，全年无安全生产事故发生。</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七、存在的问题及原因分析</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黑体" w:hAnsi="黑体" w:eastAsia="黑体" w:cs="黑体"/>
          <w:sz w:val="30"/>
          <w:szCs w:val="30"/>
          <w:highlight w:val="none"/>
          <w:lang w:val="en-US" w:eastAsia="zh-CN"/>
        </w:rPr>
      </w:pPr>
      <w:r>
        <w:rPr>
          <w:rFonts w:hint="eastAsia" w:ascii="仿宋" w:hAnsi="仿宋" w:eastAsia="仿宋" w:cs="仿宋"/>
          <w:sz w:val="30"/>
          <w:szCs w:val="30"/>
          <w:highlight w:val="none"/>
          <w:lang w:val="en-US" w:eastAsia="zh-CN"/>
        </w:rPr>
        <w:t>预算编制不够明确和细化，预算编制的合理性需要提高。因部分工作是年中或年末根据省市相关要求开展，未纳入年初预算，另外还有部分不可预见经费的追加，无法纳入预算，导致预算执行存在偏差。</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八、下一步改进措施</w:t>
      </w:r>
      <w:bookmarkStart w:id="0" w:name="_GoBack"/>
      <w:bookmarkEnd w:id="0"/>
    </w:p>
    <w:p>
      <w:pPr>
        <w:pStyle w:val="5"/>
        <w:keepNext w:val="0"/>
        <w:keepLines w:val="0"/>
        <w:pageBreakBefore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（一）应科学合理编制预算，严格执行预算</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加强预算编制的前瞻性，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pStyle w:val="5"/>
        <w:keepNext w:val="0"/>
        <w:keepLines w:val="0"/>
        <w:pageBreakBefore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（二）完善管理制度，进一步加强经费管理</w:t>
      </w:r>
    </w:p>
    <w:p>
      <w:pPr>
        <w:pStyle w:val="5"/>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进步贯彻落实中央“八项规定”和湖南省委“九条规定”，建立本部门“三公经费”等公务支出管理制度及厉行节约制度，加强经费审批和控制，规范支出标准与范围，并严格执行。</w:t>
      </w:r>
    </w:p>
    <w:p>
      <w:pPr>
        <w:rPr>
          <w:rFonts w:hint="eastAsia" w:cs="黑体" w:asciiTheme="minorEastAsia" w:hAnsiTheme="minorEastAsia" w:eastAsiaTheme="minorEastAsia"/>
          <w:color w:val="000000"/>
          <w:kern w:val="0"/>
          <w:sz w:val="32"/>
          <w:szCs w:val="32"/>
          <w:lang w:val="en-US" w:eastAsia="zh-CN" w:bidi="ar-SA"/>
        </w:rPr>
      </w:pPr>
    </w:p>
    <w:p/>
    <w:sectPr>
      <w:pgSz w:w="11906" w:h="16838"/>
      <w:pgMar w:top="720" w:right="1531" w:bottom="72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6DC45"/>
    <w:multiLevelType w:val="singleLevel"/>
    <w:tmpl w:val="12D6DC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19C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0"/>
    <w:pPr>
      <w:spacing w:beforeLines="0" w:afterLines="0"/>
    </w:pPr>
    <w:rPr>
      <w:rFonts w:hint="eastAsia"/>
      <w:sz w:val="21"/>
      <w:szCs w:val="24"/>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2023-06-18T15:30:20Z</dcterms:created>
  <dc:creator>admin-3</dc:creator>
  <cp:lastModifiedBy>admin-3</cp:lastModifiedBy>
  <dcterms:modified xsi:type="dcterms:W3CDTF">2023-06-18T15:31:08Z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7247A00364724F529DD33A3019100C17_12</vt:lpwstr>
  </property>
</Properties>
</file>