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益阳市赫山区教育局</w:t>
      </w:r>
      <w:r>
        <w:rPr>
          <w:rFonts w:hint="eastAsia" w:ascii="黑体" w:hAnsi="黑体" w:eastAsia="黑体" w:cs="黑体"/>
          <w:sz w:val="36"/>
          <w:szCs w:val="36"/>
        </w:rPr>
        <w:t>20</w:t>
      </w:r>
      <w:r>
        <w:rPr>
          <w:rFonts w:hint="eastAsia" w:ascii="黑体" w:hAnsi="黑体" w:eastAsia="黑体" w:cs="黑体"/>
          <w:sz w:val="36"/>
          <w:szCs w:val="36"/>
          <w:lang w:val="en-US" w:eastAsia="zh-CN"/>
        </w:rPr>
        <w:t>21</w:t>
      </w:r>
      <w:r>
        <w:rPr>
          <w:rFonts w:hint="eastAsia" w:ascii="黑体" w:hAnsi="黑体" w:eastAsia="黑体" w:cs="黑体"/>
          <w:sz w:val="36"/>
          <w:szCs w:val="36"/>
        </w:rPr>
        <w:t>年度</w:t>
      </w:r>
      <w:r>
        <w:rPr>
          <w:rFonts w:hint="eastAsia" w:ascii="黑体" w:hAnsi="黑体" w:eastAsia="黑体" w:cs="黑体"/>
          <w:sz w:val="36"/>
          <w:szCs w:val="36"/>
          <w:lang w:val="en-US" w:eastAsia="zh-CN"/>
        </w:rPr>
        <w:t>省</w:t>
      </w:r>
      <w:r>
        <w:rPr>
          <w:rFonts w:hint="eastAsia" w:ascii="黑体" w:hAnsi="黑体" w:eastAsia="黑体" w:cs="黑体"/>
          <w:sz w:val="36"/>
          <w:szCs w:val="36"/>
          <w:lang w:eastAsia="zh-CN"/>
        </w:rPr>
        <w:t>级</w:t>
      </w:r>
      <w:r>
        <w:rPr>
          <w:rFonts w:hint="eastAsia" w:ascii="黑体" w:hAnsi="黑体" w:eastAsia="黑体" w:cs="黑体"/>
          <w:sz w:val="36"/>
          <w:szCs w:val="36"/>
          <w:lang w:val="en-US" w:eastAsia="zh-CN"/>
        </w:rPr>
        <w:t>学生资助</w:t>
      </w:r>
    </w:p>
    <w:p>
      <w:pPr>
        <w:snapToGrid w:val="0"/>
        <w:spacing w:line="570" w:lineRule="exact"/>
        <w:jc w:val="center"/>
        <w:rPr>
          <w:rFonts w:hint="eastAsia" w:ascii="黑体" w:hAnsi="黑体" w:eastAsia="黑体" w:cs="黑体"/>
          <w:sz w:val="36"/>
          <w:szCs w:val="36"/>
        </w:rPr>
      </w:pPr>
      <w:r>
        <w:rPr>
          <w:rFonts w:hint="eastAsia" w:ascii="黑体" w:hAnsi="黑体" w:eastAsia="黑体" w:cs="黑体"/>
          <w:sz w:val="36"/>
          <w:szCs w:val="36"/>
          <w:lang w:val="en-US" w:eastAsia="zh-CN"/>
        </w:rPr>
        <w:t>项目支出</w:t>
      </w:r>
      <w:r>
        <w:rPr>
          <w:rFonts w:hint="eastAsia" w:ascii="黑体" w:hAnsi="黑体" w:eastAsia="黑体" w:cs="黑体"/>
          <w:sz w:val="36"/>
          <w:szCs w:val="36"/>
        </w:rPr>
        <w:t>绩效自评报告</w:t>
      </w:r>
      <w:bookmarkStart w:id="0" w:name="_GoBack"/>
      <w:bookmarkEnd w:id="0"/>
    </w:p>
    <w:p>
      <w:pPr>
        <w:spacing w:line="570" w:lineRule="exact"/>
        <w:rPr>
          <w:rFonts w:eastAsia="华文中宋"/>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eastAsia="zh-CN"/>
        </w:rPr>
        <w:t>一、</w:t>
      </w:r>
      <w:r>
        <w:rPr>
          <w:rFonts w:hint="eastAsia" w:ascii="黑体" w:hAnsi="黑体" w:eastAsia="黑体" w:cs="黑体"/>
          <w:sz w:val="30"/>
          <w:szCs w:val="30"/>
        </w:rPr>
        <w:t>绩效目标分解下达情况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（一）教育局计财股及时根据上级指标文件对</w:t>
      </w:r>
      <w:r>
        <w:rPr>
          <w:rFonts w:hint="eastAsia" w:ascii="仿宋" w:hAnsi="仿宋" w:eastAsia="仿宋" w:cs="仿宋"/>
          <w:sz w:val="30"/>
          <w:szCs w:val="30"/>
          <w:lang w:val="en-US" w:eastAsia="zh-CN"/>
        </w:rPr>
        <w:t>2021年度学生资助资金支付预算进行分解，确定2021年度全区各学生资助项目指标预算金额为3557.98万元，含省级资金1678.1万元、其他资金1879.88万元。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（二</w:t>
      </w:r>
      <w:r>
        <w:rPr>
          <w:rFonts w:hint="eastAsia" w:ascii="仿宋" w:hAnsi="仿宋" w:eastAsia="仿宋" w:cs="仿宋"/>
          <w:sz w:val="30"/>
          <w:szCs w:val="30"/>
          <w:lang w:eastAsia="zh-CN"/>
        </w:rPr>
        <w:t>）由教育局学生资助中心具体负责实施。不断</w:t>
      </w:r>
      <w:r>
        <w:rPr>
          <w:rFonts w:hint="eastAsia" w:ascii="仿宋" w:hAnsi="仿宋" w:eastAsia="仿宋" w:cs="仿宋"/>
          <w:sz w:val="30"/>
          <w:szCs w:val="30"/>
        </w:rPr>
        <w:t>加强</w:t>
      </w:r>
      <w:r>
        <w:rPr>
          <w:rFonts w:hint="eastAsia" w:ascii="仿宋" w:hAnsi="仿宋" w:eastAsia="仿宋" w:cs="仿宋"/>
          <w:sz w:val="30"/>
          <w:szCs w:val="30"/>
          <w:lang w:eastAsia="zh-CN"/>
        </w:rPr>
        <w:t>资助</w:t>
      </w:r>
      <w:r>
        <w:rPr>
          <w:rFonts w:hint="eastAsia" w:ascii="仿宋" w:hAnsi="仿宋" w:eastAsia="仿宋" w:cs="仿宋"/>
          <w:sz w:val="30"/>
          <w:szCs w:val="30"/>
        </w:rPr>
        <w:t>政策宣传，</w:t>
      </w:r>
      <w:r>
        <w:rPr>
          <w:rFonts w:hint="eastAsia" w:ascii="仿宋" w:hAnsi="仿宋" w:eastAsia="仿宋" w:cs="仿宋"/>
          <w:sz w:val="30"/>
          <w:szCs w:val="30"/>
          <w:lang w:eastAsia="zh-CN"/>
        </w:rPr>
        <w:t>认真执行上级资助文件，严格</w:t>
      </w:r>
      <w:r>
        <w:rPr>
          <w:rFonts w:hint="eastAsia" w:ascii="仿宋" w:hAnsi="仿宋" w:eastAsia="仿宋" w:cs="仿宋"/>
          <w:sz w:val="30"/>
          <w:szCs w:val="30"/>
        </w:rPr>
        <w:t>落实</w:t>
      </w:r>
      <w:r>
        <w:rPr>
          <w:rFonts w:hint="eastAsia" w:ascii="仿宋" w:hAnsi="仿宋" w:eastAsia="仿宋" w:cs="仿宋"/>
          <w:sz w:val="30"/>
          <w:szCs w:val="30"/>
          <w:lang w:eastAsia="zh-CN"/>
        </w:rPr>
        <w:t>好普通高中国家助学金资助发放工作</w:t>
      </w:r>
      <w:r>
        <w:rPr>
          <w:rFonts w:hint="eastAsia" w:ascii="仿宋" w:hAnsi="仿宋" w:eastAsia="仿宋" w:cs="仿宋"/>
          <w:sz w:val="30"/>
          <w:szCs w:val="30"/>
        </w:rPr>
        <w:t>。</w:t>
      </w:r>
      <w:r>
        <w:rPr>
          <w:rFonts w:hint="eastAsia" w:ascii="仿宋" w:hAnsi="仿宋" w:eastAsia="仿宋" w:cs="仿宋"/>
          <w:sz w:val="30"/>
          <w:szCs w:val="30"/>
          <w:lang w:eastAsia="zh-CN"/>
        </w:rPr>
        <w:t>落实</w:t>
      </w:r>
      <w:r>
        <w:rPr>
          <w:rFonts w:hint="eastAsia" w:ascii="仿宋" w:hAnsi="仿宋" w:eastAsia="仿宋" w:cs="仿宋"/>
          <w:sz w:val="30"/>
          <w:szCs w:val="30"/>
        </w:rPr>
        <w:t>对家庭经济困难</w:t>
      </w:r>
      <w:r>
        <w:rPr>
          <w:rFonts w:hint="eastAsia" w:ascii="仿宋" w:hAnsi="仿宋" w:eastAsia="仿宋" w:cs="仿宋"/>
          <w:sz w:val="30"/>
          <w:szCs w:val="30"/>
          <w:lang w:eastAsia="zh-CN"/>
        </w:rPr>
        <w:t>普通高中</w:t>
      </w:r>
      <w:r>
        <w:rPr>
          <w:rFonts w:hint="eastAsia" w:ascii="仿宋" w:hAnsi="仿宋" w:eastAsia="仿宋" w:cs="仿宋"/>
          <w:sz w:val="30"/>
          <w:szCs w:val="30"/>
        </w:rPr>
        <w:t>学生应助尽助，及时足额发放</w:t>
      </w:r>
      <w:r>
        <w:rPr>
          <w:rFonts w:hint="eastAsia" w:ascii="仿宋" w:hAnsi="仿宋" w:eastAsia="仿宋" w:cs="仿宋"/>
          <w:sz w:val="30"/>
          <w:szCs w:val="30"/>
          <w:lang w:eastAsia="zh-CN"/>
        </w:rPr>
        <w:t>国家助学金</w:t>
      </w:r>
      <w:r>
        <w:rPr>
          <w:rFonts w:hint="eastAsia" w:ascii="仿宋" w:hAnsi="仿宋" w:eastAsia="仿宋" w:cs="仿宋"/>
          <w:sz w:val="30"/>
          <w:szCs w:val="30"/>
        </w:rPr>
        <w:t>。</w:t>
      </w:r>
      <w:r>
        <w:rPr>
          <w:rFonts w:hint="eastAsia" w:ascii="仿宋" w:hAnsi="仿宋" w:eastAsia="仿宋" w:cs="仿宋"/>
          <w:sz w:val="30"/>
          <w:szCs w:val="30"/>
          <w:lang w:eastAsia="zh-CN"/>
        </w:rPr>
        <w:t>实现</w:t>
      </w:r>
      <w:r>
        <w:rPr>
          <w:rFonts w:hint="eastAsia" w:ascii="仿宋" w:hAnsi="仿宋" w:eastAsia="仿宋" w:cs="仿宋"/>
          <w:sz w:val="30"/>
          <w:szCs w:val="30"/>
        </w:rPr>
        <w:t>对建档立卡等家庭经济困难</w:t>
      </w:r>
      <w:r>
        <w:rPr>
          <w:rFonts w:hint="eastAsia" w:ascii="仿宋" w:hAnsi="仿宋" w:eastAsia="仿宋" w:cs="仿宋"/>
          <w:sz w:val="30"/>
          <w:szCs w:val="30"/>
          <w:lang w:eastAsia="zh-CN"/>
        </w:rPr>
        <w:t>学生资助全覆盖。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二、绩效目标完成情况分析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（一）资金投入情况分析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资金到位情况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普通高中国家助学金，省级资金到位327万元（其中中央直达资助金231万元、省级96万元）、其他配套资金（其中中央22.83万元、省级7.29万元、市级35.71万元、区级53.57万元）到位119.4万元，共计446.4万元。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普通高中建档立卡学生免学费，省级资金到位84万元（其中中央直达资金64万元、省级20万元）、其他配套资金（其中中央2.87万元、省级0.65万元、市级8.92万元、区级13.38万元）到位25.82万元，共计109.82万元。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普通高中建档立卡学生免费教科书，省级资金到位44.1万元，共计44.1万元。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中职免学费，省级资金到位984万元（其中中央直达资金633万元、省级351万元）、其他配套资金（其中中央191.88万元、省级61.44万元、市级164.98万元、区级247.46万元）到位665.76万元，共计1649.76万元。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职国家助学金，省级资金到位239万元（其中中央直达资金176万元、省级63万元）、其他配套资金（其中中央105.4万元、省级30.8万元、市级37.52万元、区级56.28万元）到位230万元，共计469万元。全部资金均及时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资金执行情况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发放普通高中国家助学金435.8万元，资助家庭经济困难学生3933人次，其中建档立卡等家庭经济困难学生1298人次。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发放普通高中建档立卡学生免学费109.22万元，资助建档立卡等家庭经济困难学生1298人次。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发放普通高中建档立卡学生免费教科书109.22万元，资助建档立卡等家庭经济困难学生1298人次。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落实中职免学费1831.08万元，惠及中职学生15259人次，其中建档立卡等家庭经济困难学生2201人次。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发放中职国家助学金465.7万元，资助家庭经济困难学生4657人次，其中建档立卡等家庭经济困难学生1685人次。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3.资金管理情况</w:t>
      </w:r>
      <w:r>
        <w:rPr>
          <w:rFonts w:hint="eastAsia" w:ascii="仿宋" w:hAnsi="仿宋" w:eastAsia="仿宋" w:cs="仿宋"/>
          <w:sz w:val="30"/>
          <w:szCs w:val="30"/>
          <w:lang w:eastAsia="zh-CN"/>
        </w:rPr>
        <w:t>：</w:t>
      </w:r>
      <w:r>
        <w:rPr>
          <w:rFonts w:hint="eastAsia" w:ascii="仿宋" w:hAnsi="仿宋" w:eastAsia="仿宋" w:cs="仿宋"/>
          <w:color w:val="000000"/>
          <w:sz w:val="30"/>
          <w:szCs w:val="30"/>
          <w:lang w:eastAsia="zh-CN"/>
        </w:rPr>
        <w:t>严格规范操作程序，加强资金管理，对学生资助资金专款专用，并通过财政一卡通系统或邮政银行打卡发放，严防虚报、冒领、套取补助资金情况的发生，确保资金安全。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（二）绩效目标完成情况分析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1.产出指标完成情况分析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数量指标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2021年度，全区</w:t>
      </w:r>
      <w:r>
        <w:rPr>
          <w:rFonts w:hint="eastAsia" w:ascii="仿宋" w:hAnsi="仿宋" w:eastAsia="仿宋" w:cs="仿宋"/>
          <w:sz w:val="30"/>
          <w:szCs w:val="30"/>
          <w:lang w:eastAsia="zh-CN"/>
        </w:rPr>
        <w:t>共落实各类学生资助资金</w:t>
      </w:r>
      <w:r>
        <w:rPr>
          <w:rFonts w:hint="eastAsia" w:ascii="仿宋" w:hAnsi="仿宋" w:eastAsia="仿宋" w:cs="仿宋"/>
          <w:sz w:val="30"/>
          <w:szCs w:val="30"/>
          <w:lang w:val="en-US" w:eastAsia="zh-CN"/>
        </w:rPr>
        <w:t>3655.619629</w:t>
      </w:r>
      <w:r>
        <w:rPr>
          <w:rFonts w:hint="eastAsia" w:ascii="仿宋" w:hAnsi="仿宋" w:eastAsia="仿宋" w:cs="仿宋"/>
          <w:sz w:val="30"/>
          <w:szCs w:val="30"/>
          <w:lang w:eastAsia="zh-CN"/>
        </w:rPr>
        <w:t>万元</w:t>
      </w:r>
      <w:r>
        <w:rPr>
          <w:rFonts w:hint="eastAsia" w:ascii="仿宋" w:hAnsi="仿宋" w:eastAsia="仿宋" w:cs="仿宋"/>
          <w:sz w:val="30"/>
          <w:szCs w:val="30"/>
          <w:lang w:val="en-US" w:eastAsia="zh-CN"/>
        </w:rPr>
        <w:t>，资助家庭经济困难学生46237人次，其中建档立卡等家庭经济困难学生17938人次，</w:t>
      </w:r>
      <w:r>
        <w:rPr>
          <w:rFonts w:hint="eastAsia" w:ascii="仿宋" w:hAnsi="仿宋" w:eastAsia="仿宋" w:cs="仿宋"/>
          <w:sz w:val="30"/>
          <w:szCs w:val="30"/>
          <w:lang w:eastAsia="zh-CN"/>
        </w:rPr>
        <w:t>实现了</w:t>
      </w:r>
      <w:r>
        <w:rPr>
          <w:rFonts w:hint="eastAsia" w:ascii="仿宋" w:hAnsi="仿宋" w:eastAsia="仿宋" w:cs="仿宋"/>
          <w:sz w:val="30"/>
          <w:szCs w:val="30"/>
        </w:rPr>
        <w:t>对家庭经济困难</w:t>
      </w:r>
      <w:r>
        <w:rPr>
          <w:rFonts w:hint="eastAsia" w:ascii="仿宋" w:hAnsi="仿宋" w:eastAsia="仿宋" w:cs="仿宋"/>
          <w:sz w:val="30"/>
          <w:szCs w:val="30"/>
          <w:lang w:eastAsia="zh-CN"/>
        </w:rPr>
        <w:t>学生应助尽助</w:t>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质量指标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全面落实了精准资助，实现了全区建档立卡等家庭经济困难学生资助政策全覆盖，所有建档立卡等家庭经济困难学生全部纳入资助范围并优先享受最高档资助。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时效指标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严格确保资助发放时限，确保了所有资助项目及时发放，春季学期资助在</w:t>
      </w:r>
      <w:r>
        <w:rPr>
          <w:rFonts w:hint="eastAsia" w:ascii="仿宋" w:hAnsi="仿宋" w:eastAsia="仿宋" w:cs="仿宋"/>
          <w:sz w:val="30"/>
          <w:szCs w:val="30"/>
          <w:lang w:val="en-US" w:eastAsia="zh-CN"/>
        </w:rPr>
        <w:t>5月底前完成发放，秋季学期资助在11月底前完成发放。</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2.效益指标完成情况分析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通过发放普通高中国家助学金，使全区所有普通高中家庭经济困难学生家庭均受益，产生了良好的社会效益。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3.满意度指标完成情况分析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通过严格规范的资助管理、热情周到的服务，全区学生资助工作得以顺利开展，得到了学生家长的好评，学生满意率达到</w:t>
      </w:r>
      <w:r>
        <w:rPr>
          <w:rFonts w:hint="eastAsia" w:ascii="仿宋" w:hAnsi="仿宋" w:eastAsia="仿宋" w:cs="仿宋"/>
          <w:sz w:val="30"/>
          <w:szCs w:val="30"/>
          <w:lang w:val="en-US" w:eastAsia="zh-CN"/>
        </w:rPr>
        <w:t>100%，家长满意率超过99%。</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sectPr>
          <w:pgSz w:w="11906" w:h="16838"/>
          <w:pgMar w:top="1134" w:right="1531" w:bottom="1134" w:left="1531" w:header="851" w:footer="992" w:gutter="0"/>
          <w:cols w:space="0" w:num="1"/>
          <w:rtlGutter w:val="0"/>
          <w:docGrid w:type="lines" w:linePitch="312" w:charSpace="0"/>
        </w:sectPr>
      </w:pPr>
      <w:r>
        <w:rPr>
          <w:rFonts w:hint="eastAsia" w:ascii="仿宋" w:hAnsi="仿宋" w:eastAsia="仿宋" w:cs="仿宋"/>
          <w:sz w:val="30"/>
          <w:szCs w:val="30"/>
          <w:lang w:val="en-US" w:eastAsia="zh-CN"/>
        </w:rPr>
        <w:t>附件：2021年度项目支出绩效自评指标计分表</w:t>
      </w:r>
    </w:p>
    <w:p>
      <w:pPr>
        <w:spacing w:afterLines="50" w:line="400" w:lineRule="exact"/>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2021年度项目支出绩效自评指标计分表</w:t>
      </w:r>
    </w:p>
    <w:tbl>
      <w:tblPr>
        <w:tblStyle w:val="3"/>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
        <w:gridCol w:w="440"/>
        <w:gridCol w:w="798"/>
        <w:gridCol w:w="640"/>
        <w:gridCol w:w="2600"/>
        <w:gridCol w:w="4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43"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一级</w:t>
            </w:r>
            <w:r>
              <w:rPr>
                <w:rFonts w:ascii="宋体"/>
                <w:b/>
                <w:bCs/>
              </w:rPr>
              <w:br w:type="textWrapping"/>
            </w:r>
            <w:r>
              <w:rPr>
                <w:rFonts w:hint="eastAsia" w:ascii="宋体" w:hAnsi="宋体" w:cs="宋体"/>
                <w:b/>
                <w:bCs/>
              </w:rPr>
              <w:t>指标</w:t>
            </w:r>
          </w:p>
        </w:tc>
        <w:tc>
          <w:tcPr>
            <w:tcW w:w="440"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二级</w:t>
            </w:r>
            <w:r>
              <w:rPr>
                <w:rFonts w:ascii="宋体"/>
                <w:b/>
                <w:bCs/>
              </w:rPr>
              <w:br w:type="textWrapping"/>
            </w:r>
            <w:r>
              <w:rPr>
                <w:rFonts w:hint="eastAsia" w:ascii="宋体" w:hAnsi="宋体" w:cs="宋体"/>
                <w:b/>
                <w:bCs/>
              </w:rPr>
              <w:t>指标</w:t>
            </w:r>
          </w:p>
        </w:tc>
        <w:tc>
          <w:tcPr>
            <w:tcW w:w="798"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三级指标</w:t>
            </w:r>
          </w:p>
        </w:tc>
        <w:tc>
          <w:tcPr>
            <w:tcW w:w="640" w:type="dxa"/>
            <w:vAlign w:val="center"/>
          </w:tcPr>
          <w:p>
            <w:pPr>
              <w:spacing w:line="240" w:lineRule="exact"/>
              <w:jc w:val="center"/>
              <w:rPr>
                <w:rFonts w:ascii="宋体"/>
                <w:b/>
                <w:bCs/>
              </w:rPr>
            </w:pPr>
            <w:r>
              <w:rPr>
                <w:rFonts w:hint="eastAsia" w:ascii="宋体" w:hAnsi="宋体" w:cs="宋体"/>
                <w:b/>
                <w:bCs/>
              </w:rPr>
              <w:t>自评分</w:t>
            </w:r>
          </w:p>
        </w:tc>
        <w:tc>
          <w:tcPr>
            <w:tcW w:w="2600"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指标解释</w:t>
            </w:r>
          </w:p>
        </w:tc>
        <w:tc>
          <w:tcPr>
            <w:tcW w:w="4169"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决</w:t>
            </w:r>
            <w:r>
              <w:rPr>
                <w:rFonts w:ascii="宋体" w:hAnsi="宋体" w:cs="宋体"/>
              </w:rPr>
              <w:t xml:space="preserve">  </w:t>
            </w:r>
            <w:r>
              <w:rPr>
                <w:rFonts w:hint="eastAsia" w:ascii="宋体" w:hAnsi="宋体" w:cs="宋体"/>
              </w:rPr>
              <w:t>策（</w:t>
            </w:r>
            <w:r>
              <w:rPr>
                <w:rFonts w:ascii="宋体" w:hAnsi="宋体" w:cs="宋体"/>
              </w:rPr>
              <w:t>20</w:t>
            </w:r>
            <w:r>
              <w:rPr>
                <w:rFonts w:hint="eastAsia" w:ascii="宋体" w:hAnsi="宋体" w:cs="宋体"/>
              </w:rPr>
              <w:t>分）</w:t>
            </w:r>
          </w:p>
        </w:tc>
        <w:tc>
          <w:tcPr>
            <w:tcW w:w="44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预算支出决策</w:t>
            </w:r>
          </w:p>
          <w:p>
            <w:pPr>
              <w:spacing w:line="240" w:lineRule="exact"/>
              <w:jc w:val="center"/>
              <w:rPr>
                <w:rFonts w:ascii="宋体"/>
              </w:rPr>
            </w:pPr>
            <w:r>
              <w:rPr>
                <w:rFonts w:hint="eastAsia" w:ascii="宋体" w:hAnsi="宋体" w:cs="宋体"/>
              </w:rPr>
              <w:t>（项目立项）（</w:t>
            </w:r>
            <w:r>
              <w:rPr>
                <w:rFonts w:ascii="宋体" w:hAnsi="宋体" w:cs="宋体"/>
              </w:rPr>
              <w:t>8</w:t>
            </w:r>
            <w:r>
              <w:rPr>
                <w:rFonts w:hint="eastAsia" w:ascii="宋体" w:hAnsi="宋体" w:cs="宋体"/>
              </w:rPr>
              <w:t>分）</w:t>
            </w: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预算支出决策（项目立项）依据</w:t>
            </w:r>
          </w:p>
          <w:p>
            <w:pPr>
              <w:spacing w:line="240" w:lineRule="exact"/>
              <w:ind w:left="105" w:leftChars="50" w:right="105" w:rightChars="50"/>
              <w:jc w:val="center"/>
              <w:rPr>
                <w:rFonts w:ascii="宋体"/>
              </w:rPr>
            </w:pPr>
            <w:r>
              <w:rPr>
                <w:rFonts w:hint="eastAsia" w:ascii="宋体" w:hAnsi="宋体" w:cs="宋体"/>
              </w:rPr>
              <w:t>充分性（</w:t>
            </w:r>
            <w:r>
              <w:rPr>
                <w:rFonts w:ascii="宋体" w:hAnsi="宋体" w:cs="宋体"/>
              </w:rPr>
              <w:t>4</w:t>
            </w:r>
            <w:r>
              <w:rPr>
                <w:rFonts w:hint="eastAsia" w:ascii="宋体" w:hAnsi="宋体" w:cs="宋体"/>
              </w:rPr>
              <w:t>分）</w:t>
            </w:r>
          </w:p>
        </w:tc>
        <w:tc>
          <w:tcPr>
            <w:tcW w:w="6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预算支出决策（项目立项）是否符合法律法规、相关政策、发展规划以及部门职责，用以反映和考核决策（立项）的依据情况。</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①决策（立项）是否符合国家相关法律法规、国民经济发展规划和相关政策；</w:t>
            </w:r>
            <w:r>
              <w:rPr>
                <w:rFonts w:ascii="宋体"/>
              </w:rPr>
              <w:br w:type="textWrapping"/>
            </w:r>
            <w:r>
              <w:rPr>
                <w:rFonts w:hint="eastAsia" w:ascii="宋体" w:hAnsi="宋体" w:cs="宋体"/>
              </w:rPr>
              <w:t>②决策（立项）是否符合行业发展规划和政策要求；</w:t>
            </w:r>
            <w:r>
              <w:rPr>
                <w:rFonts w:ascii="宋体"/>
              </w:rPr>
              <w:br w:type="textWrapping"/>
            </w:r>
            <w:r>
              <w:rPr>
                <w:rFonts w:hint="eastAsia" w:ascii="宋体" w:hAnsi="宋体" w:cs="宋体"/>
              </w:rPr>
              <w:t>③决策（立项）是否与部门职责范围相符，属于部门履职所需；</w:t>
            </w:r>
            <w:r>
              <w:rPr>
                <w:rFonts w:ascii="宋体"/>
              </w:rPr>
              <w:br w:type="textWrapping"/>
            </w:r>
            <w:r>
              <w:rPr>
                <w:rFonts w:hint="eastAsia" w:ascii="宋体" w:hAnsi="宋体" w:cs="宋体"/>
              </w:rPr>
              <w:t>④预算支出是否属于公共财政支持范围，是否符合中央、地方事权支出责任划分原则；</w:t>
            </w:r>
          </w:p>
          <w:p>
            <w:pPr>
              <w:spacing w:line="240" w:lineRule="exact"/>
              <w:ind w:left="105" w:leftChars="50" w:right="105" w:rightChars="50"/>
              <w:rPr>
                <w:rFonts w:ascii="宋体"/>
              </w:rPr>
            </w:pPr>
            <w:r>
              <w:rPr>
                <w:rFonts w:hint="eastAsia" w:ascii="宋体" w:hAnsi="宋体" w:cs="宋体"/>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43"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440" w:type="dxa"/>
            <w:vMerge w:val="continue"/>
            <w:tcMar>
              <w:top w:w="10" w:type="dxa"/>
              <w:left w:w="10" w:type="dxa"/>
              <w:bottom w:w="0" w:type="dxa"/>
              <w:right w:w="10" w:type="dxa"/>
            </w:tcMar>
            <w:vAlign w:val="center"/>
          </w:tcPr>
          <w:p>
            <w:pPr>
              <w:spacing w:line="240" w:lineRule="exact"/>
              <w:jc w:val="center"/>
              <w:rPr>
                <w:rFonts w:ascii="宋体"/>
              </w:rPr>
            </w:pP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决策(立项）程序规范性(</w:t>
            </w:r>
            <w:r>
              <w:rPr>
                <w:rFonts w:ascii="宋体" w:hAnsi="宋体" w:cs="宋体"/>
              </w:rPr>
              <w:t>4</w:t>
            </w:r>
            <w:r>
              <w:rPr>
                <w:rFonts w:hint="eastAsia" w:ascii="宋体" w:hAnsi="宋体" w:cs="宋体"/>
              </w:rPr>
              <w:t>分)</w:t>
            </w:r>
          </w:p>
        </w:tc>
        <w:tc>
          <w:tcPr>
            <w:tcW w:w="6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预算支出申请、设立过程是否符合相关要求，用以反映和考核决策（立项）的规范情况。</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Pr>
                <w:rFonts w:ascii="宋体"/>
              </w:rPr>
            </w:pPr>
            <w:r>
              <w:rPr>
                <w:rFonts w:hint="eastAsia" w:ascii="宋体" w:hAnsi="宋体" w:cs="宋体"/>
              </w:rPr>
              <w:t>①预算支出是否按照规定的程序申请设立；</w:t>
            </w:r>
          </w:p>
          <w:p>
            <w:pPr>
              <w:spacing w:line="240" w:lineRule="exact"/>
              <w:ind w:left="105" w:leftChars="50"/>
              <w:rPr>
                <w:rFonts w:ascii="宋体"/>
              </w:rPr>
            </w:pPr>
            <w:r>
              <w:rPr>
                <w:rFonts w:hint="eastAsia" w:ascii="宋体" w:hAnsi="宋体" w:cs="宋体"/>
              </w:rPr>
              <w:t>②审批文件、材料是否符合相关要求；</w:t>
            </w:r>
          </w:p>
          <w:p>
            <w:pPr>
              <w:spacing w:line="240" w:lineRule="exact"/>
              <w:ind w:left="105" w:leftChars="50"/>
              <w:rPr>
                <w:rFonts w:ascii="宋体"/>
              </w:rPr>
            </w:pPr>
            <w:r>
              <w:rPr>
                <w:rFonts w:hint="eastAsia" w:ascii="宋体" w:hAnsi="宋体" w:cs="宋体"/>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2" w:hRule="atLeast"/>
          <w:jc w:val="center"/>
        </w:trPr>
        <w:tc>
          <w:tcPr>
            <w:tcW w:w="543" w:type="dxa"/>
            <w:vMerge w:val="continue"/>
            <w:vAlign w:val="center"/>
          </w:tcPr>
          <w:p>
            <w:pPr>
              <w:spacing w:line="240" w:lineRule="exact"/>
              <w:rPr>
                <w:rFonts w:ascii="宋体"/>
              </w:rPr>
            </w:pPr>
          </w:p>
        </w:tc>
        <w:tc>
          <w:tcPr>
            <w:tcW w:w="440" w:type="dxa"/>
            <w:vMerge w:val="restart"/>
            <w:vAlign w:val="center"/>
          </w:tcPr>
          <w:p>
            <w:pPr>
              <w:spacing w:line="240" w:lineRule="exact"/>
              <w:jc w:val="center"/>
              <w:rPr>
                <w:rFonts w:ascii="宋体"/>
              </w:rPr>
            </w:pPr>
            <w:r>
              <w:rPr>
                <w:rFonts w:hint="eastAsia" w:ascii="宋体" w:hAnsi="宋体" w:cs="宋体"/>
              </w:rPr>
              <w:t>绩效</w:t>
            </w:r>
          </w:p>
          <w:p>
            <w:pPr>
              <w:spacing w:line="240" w:lineRule="exact"/>
              <w:jc w:val="center"/>
              <w:rPr>
                <w:rFonts w:ascii="宋体"/>
              </w:rPr>
            </w:pPr>
            <w:r>
              <w:rPr>
                <w:rFonts w:hint="eastAsia" w:ascii="宋体" w:hAnsi="宋体" w:cs="宋体"/>
              </w:rPr>
              <w:t>目标（</w:t>
            </w:r>
            <w:r>
              <w:rPr>
                <w:rFonts w:ascii="宋体" w:hAnsi="宋体" w:cs="宋体"/>
              </w:rPr>
              <w:t>6</w:t>
            </w:r>
            <w:r>
              <w:rPr>
                <w:rFonts w:hint="eastAsia" w:ascii="宋体" w:hAnsi="宋体" w:cs="宋体"/>
              </w:rPr>
              <w:t>分）</w:t>
            </w: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绩效目标</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6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预算支出所设定的绩效目标是否依据充分，是否符合客观实际，用以反映和考核预算支出绩效目标与预算支出实施的相符情况。</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（如未设定预算绩效目标，也可考核其他工作任务目标）</w:t>
            </w:r>
          </w:p>
          <w:p>
            <w:pPr>
              <w:spacing w:line="240" w:lineRule="exact"/>
              <w:ind w:left="105" w:leftChars="50" w:right="105" w:rightChars="50"/>
              <w:rPr>
                <w:rFonts w:ascii="宋体"/>
              </w:rPr>
            </w:pPr>
            <w:r>
              <w:rPr>
                <w:rFonts w:hint="eastAsia" w:ascii="宋体" w:hAnsi="宋体" w:cs="宋体"/>
              </w:rPr>
              <w:t>①预算支出是否有绩效目标；</w:t>
            </w:r>
          </w:p>
          <w:p>
            <w:pPr>
              <w:spacing w:line="240" w:lineRule="exact"/>
              <w:ind w:left="105" w:leftChars="50" w:right="105" w:rightChars="50"/>
              <w:rPr>
                <w:rFonts w:ascii="宋体"/>
              </w:rPr>
            </w:pPr>
            <w:r>
              <w:rPr>
                <w:rFonts w:hint="eastAsia" w:ascii="宋体" w:hAnsi="宋体" w:cs="宋体"/>
              </w:rPr>
              <w:t>②预算支出绩效目标与实际工作内容是否具有相关性；</w:t>
            </w:r>
          </w:p>
          <w:p>
            <w:pPr>
              <w:spacing w:line="240" w:lineRule="exact"/>
              <w:ind w:left="105" w:leftChars="50" w:right="105" w:rightChars="50"/>
              <w:rPr>
                <w:rFonts w:ascii="宋体"/>
              </w:rPr>
            </w:pPr>
            <w:r>
              <w:rPr>
                <w:rFonts w:hint="eastAsia" w:ascii="宋体" w:hAnsi="宋体" w:cs="宋体"/>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40" w:type="dxa"/>
            <w:vMerge w:val="continue"/>
            <w:vAlign w:val="center"/>
          </w:tcPr>
          <w:p>
            <w:pPr>
              <w:spacing w:line="240" w:lineRule="exact"/>
              <w:jc w:val="center"/>
              <w:rPr>
                <w:rFonts w:ascii="宋体"/>
              </w:rPr>
            </w:pP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绩效指标</w:t>
            </w:r>
          </w:p>
          <w:p>
            <w:pPr>
              <w:spacing w:line="240" w:lineRule="exact"/>
              <w:ind w:left="105" w:leftChars="50" w:right="105" w:rightChars="50"/>
              <w:jc w:val="center"/>
              <w:rPr>
                <w:rFonts w:ascii="宋体"/>
              </w:rPr>
            </w:pPr>
            <w:r>
              <w:rPr>
                <w:rFonts w:hint="eastAsia" w:ascii="宋体" w:hAnsi="宋体" w:cs="宋体"/>
              </w:rPr>
              <w:t>明确性（</w:t>
            </w:r>
            <w:r>
              <w:rPr>
                <w:rFonts w:ascii="宋体" w:hAnsi="宋体" w:cs="宋体"/>
              </w:rPr>
              <w:t>3</w:t>
            </w:r>
            <w:r>
              <w:rPr>
                <w:rFonts w:hint="eastAsia" w:ascii="宋体" w:hAnsi="宋体" w:cs="宋体"/>
              </w:rPr>
              <w:t>分）</w:t>
            </w:r>
          </w:p>
        </w:tc>
        <w:tc>
          <w:tcPr>
            <w:tcW w:w="6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依据绩效目标设定的绩效指标是否清晰、细化、可衡量等，用以反映和考核预算支出绩效目标的明细化情况。</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①是否将预算支出绩效目标细化分解为具体的绩效指标；</w:t>
            </w:r>
            <w:r>
              <w:rPr>
                <w:rFonts w:ascii="宋体"/>
              </w:rPr>
              <w:br w:type="textWrapping"/>
            </w:r>
            <w:r>
              <w:rPr>
                <w:rFonts w:hint="eastAsia" w:ascii="宋体" w:hAnsi="宋体" w:cs="宋体"/>
              </w:rPr>
              <w:t>②是否通过清晰、可衡量的指标值予以体现；</w:t>
            </w:r>
            <w:r>
              <w:rPr>
                <w:rFonts w:ascii="宋体"/>
              </w:rPr>
              <w:br w:type="textWrapping"/>
            </w:r>
            <w:r>
              <w:rPr>
                <w:rFonts w:hint="eastAsia" w:ascii="宋体" w:hAnsi="宋体" w:cs="宋体"/>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543" w:type="dxa"/>
            <w:vMerge w:val="continue"/>
            <w:vAlign w:val="center"/>
          </w:tcPr>
          <w:p>
            <w:pPr>
              <w:spacing w:line="240" w:lineRule="exact"/>
              <w:rPr>
                <w:rFonts w:ascii="宋体"/>
              </w:rPr>
            </w:pPr>
          </w:p>
        </w:tc>
        <w:tc>
          <w:tcPr>
            <w:tcW w:w="440" w:type="dxa"/>
            <w:vMerge w:val="restart"/>
            <w:vAlign w:val="center"/>
          </w:tcPr>
          <w:p>
            <w:pPr>
              <w:spacing w:line="240" w:lineRule="exact"/>
              <w:jc w:val="center"/>
              <w:rPr>
                <w:rFonts w:ascii="宋体"/>
              </w:rPr>
            </w:pPr>
            <w:r>
              <w:rPr>
                <w:rFonts w:hint="eastAsia" w:ascii="宋体" w:hAnsi="宋体" w:cs="宋体"/>
              </w:rPr>
              <w:t>资金</w:t>
            </w:r>
          </w:p>
          <w:p>
            <w:pPr>
              <w:spacing w:line="240" w:lineRule="exact"/>
              <w:jc w:val="center"/>
              <w:rPr>
                <w:rFonts w:ascii="宋体"/>
              </w:rPr>
            </w:pPr>
            <w:r>
              <w:rPr>
                <w:rFonts w:hint="eastAsia" w:ascii="宋体" w:hAnsi="宋体" w:cs="宋体"/>
              </w:rPr>
              <w:t>投入（</w:t>
            </w:r>
            <w:r>
              <w:rPr>
                <w:rFonts w:ascii="宋体" w:hAnsi="宋体" w:cs="宋体"/>
              </w:rPr>
              <w:t>6</w:t>
            </w:r>
            <w:r>
              <w:rPr>
                <w:rFonts w:hint="eastAsia" w:ascii="宋体" w:hAnsi="宋体" w:cs="宋体"/>
              </w:rPr>
              <w:t>分）</w:t>
            </w: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预算编制</w:t>
            </w:r>
          </w:p>
          <w:p>
            <w:pPr>
              <w:spacing w:line="240" w:lineRule="exact"/>
              <w:ind w:left="105" w:leftChars="50" w:right="105" w:rightChars="50"/>
              <w:jc w:val="center"/>
              <w:rPr>
                <w:rFonts w:ascii="宋体"/>
              </w:rPr>
            </w:pPr>
            <w:r>
              <w:rPr>
                <w:rFonts w:hint="eastAsia" w:ascii="宋体" w:hAnsi="宋体" w:cs="宋体"/>
              </w:rPr>
              <w:t>科学性（</w:t>
            </w:r>
            <w:r>
              <w:rPr>
                <w:rFonts w:ascii="宋体" w:hAnsi="宋体" w:cs="宋体"/>
              </w:rPr>
              <w:t>3</w:t>
            </w:r>
            <w:r>
              <w:rPr>
                <w:rFonts w:hint="eastAsia" w:ascii="宋体" w:hAnsi="宋体" w:cs="宋体"/>
              </w:rPr>
              <w:t>分）</w:t>
            </w:r>
          </w:p>
        </w:tc>
        <w:tc>
          <w:tcPr>
            <w:tcW w:w="6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预算编制是否经过科学论证、有明确标准，资金额度与年度目标是否相适应，用以反映和考核预算支出预算编制的科学性、合理性情况。</w:t>
            </w:r>
          </w:p>
        </w:tc>
        <w:tc>
          <w:tcPr>
            <w:tcW w:w="4169" w:type="dxa"/>
            <w:tcMar>
              <w:top w:w="10" w:type="dxa"/>
              <w:left w:w="10" w:type="dxa"/>
              <w:bottom w:w="0" w:type="dxa"/>
              <w:right w:w="10" w:type="dxa"/>
            </w:tcMar>
            <w:vAlign w:val="center"/>
          </w:tcPr>
          <w:p>
            <w:pPr>
              <w:spacing w:line="220" w:lineRule="exact"/>
              <w:ind w:left="105" w:leftChars="50" w:right="105" w:rightChars="50"/>
              <w:rPr>
                <w:rFonts w:ascii="宋体"/>
              </w:rPr>
            </w:pPr>
            <w:r>
              <w:rPr>
                <w:rFonts w:hint="eastAsia" w:ascii="宋体" w:hAnsi="宋体" w:cs="宋体"/>
              </w:rPr>
              <w:t>评价要点：</w:t>
            </w:r>
          </w:p>
          <w:p>
            <w:pPr>
              <w:spacing w:line="220" w:lineRule="exact"/>
              <w:ind w:left="105" w:leftChars="50" w:right="105" w:rightChars="50"/>
              <w:rPr>
                <w:rFonts w:ascii="宋体"/>
              </w:rPr>
            </w:pPr>
            <w:r>
              <w:rPr>
                <w:rFonts w:hint="eastAsia" w:ascii="宋体" w:hAnsi="宋体" w:cs="宋体"/>
              </w:rPr>
              <w:t>①预算编制是否经过科学论证；</w:t>
            </w:r>
          </w:p>
          <w:p>
            <w:pPr>
              <w:spacing w:line="220" w:lineRule="exact"/>
              <w:ind w:left="105" w:leftChars="50" w:right="105" w:rightChars="50"/>
              <w:rPr>
                <w:rFonts w:ascii="宋体"/>
              </w:rPr>
            </w:pPr>
            <w:r>
              <w:rPr>
                <w:rFonts w:hint="eastAsia" w:ascii="宋体" w:hAnsi="宋体" w:cs="宋体"/>
              </w:rPr>
              <w:t>②预算内容与支出内容是否匹配；</w:t>
            </w:r>
          </w:p>
          <w:p>
            <w:pPr>
              <w:spacing w:line="220" w:lineRule="exact"/>
              <w:ind w:left="105" w:leftChars="50" w:right="105" w:rightChars="50"/>
              <w:rPr>
                <w:rFonts w:ascii="宋体"/>
              </w:rPr>
            </w:pPr>
            <w:r>
              <w:rPr>
                <w:rFonts w:hint="eastAsia" w:ascii="宋体" w:hAnsi="宋体" w:cs="宋体"/>
              </w:rPr>
              <w:t>③预算额度测算依据是否充分，是否按照标准编制；</w:t>
            </w:r>
          </w:p>
          <w:p>
            <w:pPr>
              <w:spacing w:line="220" w:lineRule="exact"/>
              <w:ind w:left="105" w:leftChars="50" w:right="105" w:rightChars="50"/>
              <w:rPr>
                <w:rFonts w:ascii="宋体"/>
              </w:rPr>
            </w:pPr>
            <w:r>
              <w:rPr>
                <w:rFonts w:hint="eastAsia" w:ascii="宋体" w:hAnsi="宋体" w:cs="宋体"/>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40" w:type="dxa"/>
            <w:vMerge w:val="continue"/>
            <w:vAlign w:val="center"/>
          </w:tcPr>
          <w:p>
            <w:pPr>
              <w:spacing w:line="240" w:lineRule="exact"/>
              <w:jc w:val="center"/>
              <w:rPr>
                <w:rFonts w:ascii="宋体"/>
              </w:rPr>
            </w:pP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资金分配</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6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预算资金分配是否有测算依据，与补助单位或地方实际是否相适应，用以反映和考核预算支出预算资金分配的科学性、合理性情况。</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right="105" w:rightChars="50" w:firstLine="105" w:firstLineChars="50"/>
              <w:rPr>
                <w:rFonts w:ascii="宋体"/>
              </w:rPr>
            </w:pPr>
            <w:r>
              <w:rPr>
                <w:rFonts w:hint="eastAsia" w:ascii="宋体" w:hAnsi="宋体" w:cs="宋体"/>
              </w:rPr>
              <w:t>①预算资金分配依据是否充分；</w:t>
            </w:r>
          </w:p>
          <w:p>
            <w:pPr>
              <w:spacing w:line="240" w:lineRule="exact"/>
              <w:ind w:left="105" w:leftChars="50" w:right="105" w:rightChars="50"/>
              <w:rPr>
                <w:rFonts w:ascii="宋体"/>
              </w:rPr>
            </w:pPr>
            <w:r>
              <w:rPr>
                <w:rFonts w:hint="eastAsia" w:ascii="宋体" w:hAnsi="宋体" w:cs="宋体"/>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543" w:type="dxa"/>
            <w:vMerge w:val="restart"/>
            <w:vAlign w:val="center"/>
          </w:tcPr>
          <w:p>
            <w:pPr>
              <w:spacing w:line="240" w:lineRule="exact"/>
              <w:jc w:val="center"/>
              <w:rPr>
                <w:rFonts w:ascii="宋体"/>
              </w:rPr>
            </w:pPr>
            <w:r>
              <w:rPr>
                <w:rFonts w:hint="eastAsia" w:ascii="宋体" w:hAnsi="宋体" w:cs="宋体"/>
              </w:rPr>
              <w:t>过</w:t>
            </w:r>
          </w:p>
          <w:p>
            <w:pPr>
              <w:spacing w:line="240" w:lineRule="exact"/>
              <w:jc w:val="center"/>
              <w:rPr>
                <w:rFonts w:ascii="宋体"/>
              </w:rPr>
            </w:pPr>
          </w:p>
          <w:p>
            <w:pPr>
              <w:spacing w:line="240" w:lineRule="exact"/>
              <w:jc w:val="center"/>
              <w:rPr>
                <w:rFonts w:ascii="宋体"/>
              </w:rPr>
            </w:pPr>
          </w:p>
          <w:p>
            <w:pPr>
              <w:spacing w:line="240" w:lineRule="exact"/>
              <w:jc w:val="center"/>
              <w:rPr>
                <w:rFonts w:ascii="宋体"/>
              </w:rPr>
            </w:pPr>
            <w:r>
              <w:rPr>
                <w:rFonts w:hint="eastAsia" w:ascii="宋体" w:hAnsi="宋体" w:cs="宋体"/>
              </w:rPr>
              <w:t>程（</w:t>
            </w:r>
            <w:r>
              <w:rPr>
                <w:rFonts w:ascii="宋体" w:hAnsi="宋体" w:cs="宋体"/>
              </w:rPr>
              <w:t>20</w:t>
            </w:r>
            <w:r>
              <w:rPr>
                <w:rFonts w:hint="eastAsia" w:ascii="宋体" w:hAnsi="宋体" w:cs="宋体"/>
              </w:rPr>
              <w:t>分）</w:t>
            </w:r>
          </w:p>
        </w:tc>
        <w:tc>
          <w:tcPr>
            <w:tcW w:w="44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资金</w:t>
            </w:r>
            <w:r>
              <w:rPr>
                <w:rFonts w:ascii="宋体"/>
              </w:rPr>
              <w:br w:type="textWrapping"/>
            </w:r>
            <w:r>
              <w:rPr>
                <w:rFonts w:hint="eastAsia" w:ascii="宋体" w:hAnsi="宋体" w:cs="宋体"/>
              </w:rPr>
              <w:t>管理（</w:t>
            </w:r>
            <w:r>
              <w:rPr>
                <w:rFonts w:ascii="宋体" w:hAnsi="宋体" w:cs="宋体"/>
              </w:rPr>
              <w:t>12</w:t>
            </w:r>
            <w:r>
              <w:rPr>
                <w:rFonts w:hint="eastAsia" w:ascii="宋体" w:hAnsi="宋体" w:cs="宋体"/>
              </w:rPr>
              <w:t>分）</w:t>
            </w: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w:t>
            </w:r>
          </w:p>
          <w:p>
            <w:pPr>
              <w:spacing w:line="240" w:lineRule="exact"/>
              <w:ind w:left="105" w:leftChars="50" w:right="105" w:rightChars="50"/>
              <w:jc w:val="center"/>
              <w:rPr>
                <w:rFonts w:ascii="宋体"/>
              </w:rPr>
            </w:pPr>
            <w:r>
              <w:rPr>
                <w:rFonts w:hint="eastAsia" w:ascii="宋体" w:hAnsi="宋体" w:cs="宋体"/>
              </w:rPr>
              <w:t>到位率（</w:t>
            </w:r>
            <w:r>
              <w:rPr>
                <w:rFonts w:ascii="宋体" w:hAnsi="宋体" w:cs="宋体"/>
              </w:rPr>
              <w:t>4</w:t>
            </w:r>
            <w:r>
              <w:rPr>
                <w:rFonts w:hint="eastAsia" w:ascii="宋体" w:hAnsi="宋体" w:cs="宋体"/>
              </w:rPr>
              <w:t>分）</w:t>
            </w:r>
          </w:p>
        </w:tc>
        <w:tc>
          <w:tcPr>
            <w:tcW w:w="6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实际到位资金与预算资金的比率，用以反映和考核资金落实情况对预算支出实施的总体保障程度。</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资金到位率</w:t>
            </w:r>
            <w:r>
              <w:rPr>
                <w:rFonts w:ascii="宋体" w:hAnsi="宋体" w:cs="宋体"/>
              </w:rPr>
              <w:t>=</w:t>
            </w:r>
            <w:r>
              <w:rPr>
                <w:rFonts w:hint="eastAsia" w:ascii="宋体" w:hAnsi="宋体" w:cs="宋体"/>
              </w:rPr>
              <w:t>（实际到位资金</w:t>
            </w:r>
            <w:r>
              <w:rPr>
                <w:rFonts w:ascii="宋体" w:hAnsi="宋体" w:cs="宋体"/>
              </w:rPr>
              <w:t>/</w:t>
            </w:r>
            <w:r>
              <w:rPr>
                <w:rFonts w:hint="eastAsia" w:ascii="宋体" w:hAnsi="宋体" w:cs="宋体"/>
              </w:rPr>
              <w:t>预算资金）×</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实际到位资金：一定时期（本年度或预算支出期）内落实到具体预算支出的资金。</w:t>
            </w:r>
            <w:r>
              <w:rPr>
                <w:rFonts w:ascii="宋体"/>
              </w:rPr>
              <w:br w:type="textWrapping"/>
            </w:r>
            <w:r>
              <w:rPr>
                <w:rFonts w:hint="eastAsia" w:ascii="宋体" w:hAnsi="宋体" w:cs="宋体"/>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543" w:type="dxa"/>
            <w:vMerge w:val="continue"/>
            <w:vAlign w:val="center"/>
          </w:tcPr>
          <w:p>
            <w:pPr>
              <w:spacing w:line="240" w:lineRule="exact"/>
              <w:jc w:val="center"/>
              <w:rPr>
                <w:rFonts w:ascii="宋体"/>
              </w:rPr>
            </w:pPr>
          </w:p>
        </w:tc>
        <w:tc>
          <w:tcPr>
            <w:tcW w:w="440" w:type="dxa"/>
            <w:vMerge w:val="continue"/>
            <w:tcMar>
              <w:top w:w="10" w:type="dxa"/>
              <w:left w:w="10" w:type="dxa"/>
              <w:bottom w:w="0" w:type="dxa"/>
              <w:right w:w="10" w:type="dxa"/>
            </w:tcMar>
            <w:vAlign w:val="center"/>
          </w:tcPr>
          <w:p>
            <w:pPr>
              <w:spacing w:line="240" w:lineRule="exact"/>
              <w:jc w:val="center"/>
              <w:rPr>
                <w:rFonts w:ascii="宋体"/>
              </w:rPr>
            </w:pP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w:t>
            </w:r>
          </w:p>
          <w:p>
            <w:pPr>
              <w:spacing w:line="240" w:lineRule="exact"/>
              <w:ind w:left="105" w:leftChars="50" w:right="105" w:rightChars="50"/>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6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预算资金是否按照计划执行，用以反映或考核预算支出预算执行情况。</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预算执行率</w:t>
            </w:r>
            <w:r>
              <w:rPr>
                <w:rFonts w:ascii="宋体" w:hAnsi="宋体" w:cs="宋体"/>
              </w:rPr>
              <w:t>=</w:t>
            </w:r>
            <w:r>
              <w:rPr>
                <w:rFonts w:hint="eastAsia" w:ascii="宋体" w:hAnsi="宋体" w:cs="宋体"/>
              </w:rPr>
              <w:t>（实际支出资金</w:t>
            </w:r>
            <w:r>
              <w:rPr>
                <w:rFonts w:ascii="宋体" w:hAnsi="宋体" w:cs="宋体"/>
              </w:rPr>
              <w:t>/</w:t>
            </w:r>
            <w:r>
              <w:rPr>
                <w:rFonts w:hint="eastAsia" w:ascii="宋体" w:hAnsi="宋体" w:cs="宋体"/>
              </w:rPr>
              <w:t>实际到位资金）×</w:t>
            </w:r>
            <w:r>
              <w:rPr>
                <w:rFonts w:ascii="宋体" w:hAnsi="宋体" w:cs="宋体"/>
              </w:rPr>
              <w:t>100%</w:t>
            </w:r>
            <w:r>
              <w:rPr>
                <w:rFonts w:hint="eastAsia" w:ascii="宋体" w:hAnsi="宋体" w:cs="宋体"/>
              </w:rPr>
              <w:t>。</w:t>
            </w:r>
          </w:p>
          <w:p>
            <w:pPr>
              <w:spacing w:line="240" w:lineRule="exact"/>
              <w:ind w:left="105" w:leftChars="50" w:right="105" w:rightChars="50"/>
              <w:rPr>
                <w:rFonts w:ascii="宋体"/>
              </w:rPr>
            </w:pPr>
            <w:r>
              <w:rPr>
                <w:rFonts w:hint="eastAsia" w:ascii="宋体" w:hAnsi="宋体" w:cs="宋体"/>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jc w:val="center"/>
              <w:rPr>
                <w:rFonts w:ascii="宋体"/>
              </w:rPr>
            </w:pPr>
          </w:p>
        </w:tc>
        <w:tc>
          <w:tcPr>
            <w:tcW w:w="440" w:type="dxa"/>
            <w:vMerge w:val="continue"/>
            <w:vAlign w:val="center"/>
          </w:tcPr>
          <w:p>
            <w:pPr>
              <w:spacing w:line="240" w:lineRule="exact"/>
              <w:rPr>
                <w:rFonts w:ascii="宋体"/>
              </w:rPr>
            </w:pP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资金使用</w:t>
            </w:r>
          </w:p>
          <w:p>
            <w:pPr>
              <w:spacing w:line="240" w:lineRule="exact"/>
              <w:ind w:left="105" w:leftChars="50" w:right="105" w:rightChars="50"/>
              <w:jc w:val="center"/>
              <w:rPr>
                <w:rFonts w:ascii="宋体"/>
              </w:rPr>
            </w:pPr>
            <w:r>
              <w:rPr>
                <w:rFonts w:hint="eastAsia" w:ascii="宋体" w:hAnsi="宋体" w:cs="宋体"/>
              </w:rPr>
              <w:t>合规性（</w:t>
            </w:r>
            <w:r>
              <w:rPr>
                <w:rFonts w:ascii="宋体" w:hAnsi="宋体" w:cs="宋体"/>
              </w:rPr>
              <w:t>4</w:t>
            </w:r>
            <w:r>
              <w:rPr>
                <w:rFonts w:hint="eastAsia" w:ascii="宋体" w:hAnsi="宋体" w:cs="宋体"/>
              </w:rPr>
              <w:t>分）</w:t>
            </w:r>
          </w:p>
        </w:tc>
        <w:tc>
          <w:tcPr>
            <w:tcW w:w="6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预算资金使用是否符合相关的财务管理制度规定，用以反映和考核预算资金的规范运行情况。</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①是否符合国家财经法规和财务管理制度以及有关专项资金管理办法的规定；</w:t>
            </w:r>
          </w:p>
          <w:p>
            <w:pPr>
              <w:spacing w:line="240" w:lineRule="exact"/>
              <w:ind w:right="105" w:rightChars="50" w:firstLine="105" w:firstLineChars="50"/>
              <w:rPr>
                <w:rFonts w:ascii="宋体"/>
              </w:rPr>
            </w:pPr>
            <w:r>
              <w:rPr>
                <w:rFonts w:hint="eastAsia" w:ascii="宋体" w:hAnsi="宋体" w:cs="宋体"/>
              </w:rPr>
              <w:t>②资金的拨付是否有完整的审批程序和手续；</w:t>
            </w:r>
          </w:p>
          <w:p>
            <w:pPr>
              <w:spacing w:line="240" w:lineRule="exact"/>
              <w:ind w:right="105" w:rightChars="50" w:firstLine="105" w:firstLineChars="50"/>
              <w:rPr>
                <w:rFonts w:ascii="宋体"/>
              </w:rPr>
            </w:pPr>
            <w:r>
              <w:rPr>
                <w:rFonts w:hint="eastAsia" w:ascii="宋体" w:hAnsi="宋体" w:cs="宋体"/>
              </w:rPr>
              <w:t>③是否符合预算支出预算批复或合同规定的用途；</w:t>
            </w:r>
          </w:p>
          <w:p>
            <w:pPr>
              <w:spacing w:line="240" w:lineRule="exact"/>
              <w:ind w:left="105" w:leftChars="50" w:right="105" w:rightChars="50"/>
              <w:rPr>
                <w:rFonts w:ascii="宋体"/>
              </w:rPr>
            </w:pPr>
            <w:r>
              <w:rPr>
                <w:rFonts w:hint="eastAsia" w:ascii="宋体" w:hAnsi="宋体" w:cs="宋体"/>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44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组织</w:t>
            </w:r>
          </w:p>
          <w:p>
            <w:pPr>
              <w:spacing w:line="240" w:lineRule="exact"/>
              <w:jc w:val="center"/>
              <w:rPr>
                <w:rFonts w:ascii="宋体"/>
              </w:rPr>
            </w:pPr>
            <w:r>
              <w:rPr>
                <w:rFonts w:hint="eastAsia" w:ascii="宋体" w:hAnsi="宋体" w:cs="宋体"/>
              </w:rPr>
              <w:t>实施（</w:t>
            </w:r>
            <w:r>
              <w:rPr>
                <w:rFonts w:ascii="宋体" w:hAnsi="宋体" w:cs="宋体"/>
              </w:rPr>
              <w:t>8</w:t>
            </w:r>
            <w:r>
              <w:rPr>
                <w:rFonts w:hint="eastAsia" w:ascii="宋体" w:hAnsi="宋体" w:cs="宋体"/>
              </w:rPr>
              <w:t>分）</w:t>
            </w: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管理制度</w:t>
            </w:r>
          </w:p>
          <w:p>
            <w:pPr>
              <w:spacing w:line="240" w:lineRule="exact"/>
              <w:ind w:left="105" w:leftChars="50" w:right="105" w:rightChars="50"/>
              <w:jc w:val="center"/>
              <w:rPr>
                <w:rFonts w:ascii="宋体"/>
              </w:rPr>
            </w:pPr>
            <w:r>
              <w:rPr>
                <w:rFonts w:hint="eastAsia" w:ascii="宋体" w:hAnsi="宋体" w:cs="宋体"/>
              </w:rPr>
              <w:t>健全性（</w:t>
            </w:r>
            <w:r>
              <w:rPr>
                <w:rFonts w:ascii="宋体" w:hAnsi="宋体" w:cs="宋体"/>
              </w:rPr>
              <w:t>4</w:t>
            </w:r>
            <w:r>
              <w:rPr>
                <w:rFonts w:hint="eastAsia" w:ascii="宋体" w:hAnsi="宋体" w:cs="宋体"/>
              </w:rPr>
              <w:t>分）</w:t>
            </w:r>
          </w:p>
        </w:tc>
        <w:tc>
          <w:tcPr>
            <w:tcW w:w="6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预算支出实施单位的财务和业务管理制度是否健全，用以反映和考核财务和业务管理制度对预算支出顺利实施的保障情况。</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①是否已制定或具有相应的业务管理制度；</w:t>
            </w:r>
            <w:r>
              <w:rPr>
                <w:rFonts w:ascii="宋体"/>
              </w:rPr>
              <w:br w:type="textWrapping"/>
            </w:r>
            <w:r>
              <w:rPr>
                <w:rFonts w:hint="eastAsia" w:ascii="宋体" w:hAnsi="宋体" w:cs="宋体"/>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40" w:type="dxa"/>
            <w:vMerge w:val="continue"/>
            <w:vAlign w:val="center"/>
          </w:tcPr>
          <w:p>
            <w:pPr>
              <w:spacing w:line="240" w:lineRule="exact"/>
              <w:rPr>
                <w:rFonts w:ascii="宋体"/>
              </w:rPr>
            </w:pP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制度执行</w:t>
            </w:r>
          </w:p>
          <w:p>
            <w:pPr>
              <w:spacing w:line="240" w:lineRule="exact"/>
              <w:ind w:left="105" w:leftChars="50" w:right="105" w:rightChars="50"/>
              <w:jc w:val="center"/>
              <w:rPr>
                <w:rFonts w:ascii="宋体"/>
              </w:rPr>
            </w:pPr>
            <w:r>
              <w:rPr>
                <w:rFonts w:hint="eastAsia" w:ascii="宋体" w:hAnsi="宋体" w:cs="宋体"/>
              </w:rPr>
              <w:t>有效性（</w:t>
            </w:r>
            <w:r>
              <w:rPr>
                <w:rFonts w:ascii="宋体" w:hAnsi="宋体" w:cs="宋体"/>
              </w:rPr>
              <w:t>4</w:t>
            </w:r>
            <w:r>
              <w:rPr>
                <w:rFonts w:hint="eastAsia" w:ascii="宋体" w:hAnsi="宋体" w:cs="宋体"/>
              </w:rPr>
              <w:t>分）</w:t>
            </w:r>
          </w:p>
        </w:tc>
        <w:tc>
          <w:tcPr>
            <w:tcW w:w="6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预算支出实施是否符合相关业务管理规定，用以反映和考核业务管理制度的有效执行情况。</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①是否遵守相关法律法规和相关管理规定；</w:t>
            </w:r>
            <w:r>
              <w:rPr>
                <w:rFonts w:ascii="宋体"/>
              </w:rPr>
              <w:br w:type="textWrapping"/>
            </w:r>
            <w:r>
              <w:rPr>
                <w:rFonts w:hint="eastAsia" w:ascii="宋体" w:hAnsi="宋体" w:cs="宋体"/>
              </w:rPr>
              <w:t>②预算支出调整及支出调整手续是否完备；</w:t>
            </w:r>
            <w:r>
              <w:rPr>
                <w:rFonts w:ascii="宋体"/>
              </w:rPr>
              <w:br w:type="textWrapping"/>
            </w:r>
            <w:r>
              <w:rPr>
                <w:rFonts w:hint="eastAsia" w:ascii="宋体" w:hAnsi="宋体" w:cs="宋体"/>
              </w:rPr>
              <w:t>③预算支出合同书、验收报告、技术鉴定等资料是否齐全并及时归档；</w:t>
            </w:r>
            <w:r>
              <w:rPr>
                <w:rFonts w:ascii="宋体"/>
              </w:rPr>
              <w:br w:type="textWrapping"/>
            </w:r>
            <w:r>
              <w:rPr>
                <w:rFonts w:hint="eastAsia" w:ascii="宋体" w:hAnsi="宋体" w:cs="宋体"/>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43"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440"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数量（</w:t>
            </w:r>
            <w:r>
              <w:rPr>
                <w:rFonts w:ascii="宋体" w:hAnsi="宋体" w:cs="宋体"/>
              </w:rPr>
              <w:t>10</w:t>
            </w:r>
            <w:r>
              <w:rPr>
                <w:rFonts w:hint="eastAsia" w:ascii="宋体" w:hAnsi="宋体" w:cs="宋体"/>
              </w:rPr>
              <w:t>分）</w:t>
            </w: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实际</w:t>
            </w:r>
          </w:p>
          <w:p>
            <w:pPr>
              <w:spacing w:line="240" w:lineRule="exact"/>
              <w:ind w:left="105" w:leftChars="50" w:right="105" w:rightChars="50"/>
              <w:jc w:val="center"/>
              <w:rPr>
                <w:rFonts w:ascii="宋体"/>
              </w:rPr>
            </w:pPr>
            <w:r>
              <w:rPr>
                <w:rFonts w:hint="eastAsia" w:ascii="宋体" w:hAnsi="宋体" w:cs="宋体"/>
              </w:rPr>
              <w:t>完成率（</w:t>
            </w:r>
            <w:r>
              <w:rPr>
                <w:rFonts w:ascii="宋体" w:hAnsi="宋体" w:cs="宋体"/>
              </w:rPr>
              <w:t>10</w:t>
            </w:r>
            <w:r>
              <w:rPr>
                <w:rFonts w:hint="eastAsia" w:ascii="宋体" w:hAnsi="宋体" w:cs="宋体"/>
              </w:rPr>
              <w:t>分）</w:t>
            </w:r>
          </w:p>
        </w:tc>
        <w:tc>
          <w:tcPr>
            <w:tcW w:w="6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9.5</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预算支出实施的实际产出数与计划产出数的比率，用以反映和考核预算支出产出数量目标的实现程度。</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实际完成率</w:t>
            </w:r>
            <w:r>
              <w:rPr>
                <w:rFonts w:ascii="宋体" w:hAnsi="宋体" w:cs="宋体"/>
              </w:rPr>
              <w:t>=</w:t>
            </w:r>
            <w:r>
              <w:rPr>
                <w:rFonts w:hint="eastAsia" w:ascii="宋体" w:hAnsi="宋体" w:cs="宋体"/>
              </w:rPr>
              <w:t>（实际产出数</w:t>
            </w:r>
            <w:r>
              <w:rPr>
                <w:rFonts w:ascii="宋体" w:hAnsi="宋体" w:cs="宋体"/>
              </w:rPr>
              <w:t>/</w:t>
            </w:r>
            <w:r>
              <w:rPr>
                <w:rFonts w:hint="eastAsia" w:ascii="宋体" w:hAnsi="宋体" w:cs="宋体"/>
              </w:rPr>
              <w:t>计划产出数）×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实际产出数：一定时期（本年度或预算支出期）内预算支出实际产出的产品或提供的服务数量。</w:t>
            </w:r>
            <w:r>
              <w:rPr>
                <w:rFonts w:ascii="宋体"/>
              </w:rPr>
              <w:br w:type="textWrapping"/>
            </w:r>
            <w:r>
              <w:rPr>
                <w:rFonts w:hint="eastAsia" w:ascii="宋体" w:hAnsi="宋体" w:cs="宋体"/>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543"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440"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质量（</w:t>
            </w:r>
            <w:r>
              <w:rPr>
                <w:rFonts w:ascii="宋体" w:hAnsi="宋体" w:cs="宋体"/>
              </w:rPr>
              <w:t>10</w:t>
            </w:r>
            <w:r>
              <w:rPr>
                <w:rFonts w:hint="eastAsia" w:ascii="宋体" w:hAnsi="宋体" w:cs="宋体"/>
              </w:rPr>
              <w:t>分）</w:t>
            </w: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质量</w:t>
            </w:r>
          </w:p>
          <w:p>
            <w:pPr>
              <w:spacing w:line="240" w:lineRule="exact"/>
              <w:ind w:left="105" w:leftChars="50" w:right="105" w:rightChars="50"/>
              <w:jc w:val="center"/>
              <w:rPr>
                <w:rFonts w:ascii="宋体"/>
              </w:rPr>
            </w:pPr>
            <w:r>
              <w:rPr>
                <w:rFonts w:hint="eastAsia" w:ascii="宋体" w:hAnsi="宋体" w:cs="宋体"/>
              </w:rPr>
              <w:t>达标率（</w:t>
            </w:r>
            <w:r>
              <w:rPr>
                <w:rFonts w:ascii="宋体" w:hAnsi="宋体" w:cs="宋体"/>
              </w:rPr>
              <w:t>10</w:t>
            </w:r>
            <w:r>
              <w:rPr>
                <w:rFonts w:hint="eastAsia" w:ascii="宋体" w:hAnsi="宋体" w:cs="宋体"/>
              </w:rPr>
              <w:t>分）</w:t>
            </w:r>
          </w:p>
        </w:tc>
        <w:tc>
          <w:tcPr>
            <w:tcW w:w="6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10</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预算支出完成的质量达标产出数与实际产出数的比率，用以反映和考核预算支出产出质量目标的实现程度。</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质量达标率</w:t>
            </w:r>
            <w:r>
              <w:rPr>
                <w:rFonts w:ascii="宋体" w:hAnsi="宋体" w:cs="宋体"/>
              </w:rPr>
              <w:t>=</w:t>
            </w:r>
            <w:r>
              <w:rPr>
                <w:rFonts w:hint="eastAsia" w:ascii="宋体" w:hAnsi="宋体" w:cs="宋体"/>
              </w:rPr>
              <w:t>（质量达标产出数</w:t>
            </w:r>
            <w:r>
              <w:rPr>
                <w:rFonts w:ascii="宋体" w:hAnsi="宋体" w:cs="宋体"/>
              </w:rPr>
              <w:t>/</w:t>
            </w:r>
            <w:r>
              <w:rPr>
                <w:rFonts w:hint="eastAsia" w:ascii="宋体" w:hAnsi="宋体" w:cs="宋体"/>
              </w:rPr>
              <w:t>实际产出数）×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543" w:type="dxa"/>
            <w:vMerge w:val="restart"/>
            <w:vAlign w:val="center"/>
          </w:tcPr>
          <w:p>
            <w:pPr>
              <w:spacing w:line="240" w:lineRule="exact"/>
              <w:ind w:left="113"/>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440" w:type="dxa"/>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时效（</w:t>
            </w:r>
            <w:r>
              <w:rPr>
                <w:rFonts w:ascii="宋体" w:hAnsi="宋体" w:cs="宋体"/>
              </w:rPr>
              <w:t>10</w:t>
            </w:r>
            <w:r>
              <w:rPr>
                <w:rFonts w:hint="eastAsia" w:ascii="宋体" w:hAnsi="宋体" w:cs="宋体"/>
              </w:rPr>
              <w:t>分）</w:t>
            </w: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完成</w:t>
            </w:r>
          </w:p>
          <w:p>
            <w:pPr>
              <w:spacing w:line="240" w:lineRule="exact"/>
              <w:ind w:left="105" w:leftChars="50" w:right="105" w:rightChars="50"/>
              <w:jc w:val="center"/>
              <w:rPr>
                <w:rFonts w:ascii="宋体"/>
              </w:rPr>
            </w:pPr>
            <w:r>
              <w:rPr>
                <w:rFonts w:hint="eastAsia" w:ascii="宋体" w:hAnsi="宋体" w:cs="宋体"/>
              </w:rPr>
              <w:t>及时性（</w:t>
            </w:r>
            <w:r>
              <w:rPr>
                <w:rFonts w:ascii="宋体" w:hAnsi="宋体" w:cs="宋体"/>
              </w:rPr>
              <w:t>10</w:t>
            </w:r>
            <w:r>
              <w:rPr>
                <w:rFonts w:hint="eastAsia" w:ascii="宋体" w:hAnsi="宋体" w:cs="宋体"/>
              </w:rPr>
              <w:t>分）</w:t>
            </w:r>
          </w:p>
        </w:tc>
        <w:tc>
          <w:tcPr>
            <w:tcW w:w="6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10</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预算支出实际完成时间与计划完成时间的比较，用以反映和考核预算支出产出时效目标的实现程度。</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实际完成时间：预算支出实施单位完成该预算支出实际所耗用的时间。</w:t>
            </w:r>
            <w:r>
              <w:rPr>
                <w:rFonts w:ascii="宋体"/>
              </w:rPr>
              <w:br w:type="textWrapping"/>
            </w:r>
            <w:r>
              <w:rPr>
                <w:rFonts w:hint="eastAsia" w:ascii="宋体" w:hAnsi="宋体" w:cs="宋体"/>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ind w:left="113"/>
              <w:rPr>
                <w:rFonts w:ascii="宋体"/>
              </w:rPr>
            </w:pPr>
          </w:p>
        </w:tc>
        <w:tc>
          <w:tcPr>
            <w:tcW w:w="440" w:type="dxa"/>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成本（</w:t>
            </w:r>
            <w:r>
              <w:rPr>
                <w:rFonts w:ascii="宋体" w:hAnsi="宋体" w:cs="宋体"/>
              </w:rPr>
              <w:t>10</w:t>
            </w:r>
            <w:r>
              <w:rPr>
                <w:rFonts w:hint="eastAsia" w:ascii="宋体" w:hAnsi="宋体" w:cs="宋体"/>
              </w:rPr>
              <w:t>分）</w:t>
            </w: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成本</w:t>
            </w:r>
          </w:p>
          <w:p>
            <w:pPr>
              <w:spacing w:line="240" w:lineRule="exact"/>
              <w:ind w:left="105" w:leftChars="50" w:right="105" w:rightChars="50"/>
              <w:jc w:val="center"/>
              <w:rPr>
                <w:rFonts w:ascii="宋体"/>
              </w:rPr>
            </w:pPr>
            <w:r>
              <w:rPr>
                <w:rFonts w:hint="eastAsia" w:ascii="宋体" w:hAnsi="宋体" w:cs="宋体"/>
              </w:rPr>
              <w:t>节约率（</w:t>
            </w:r>
            <w:r>
              <w:rPr>
                <w:rFonts w:ascii="宋体" w:hAnsi="宋体" w:cs="宋体"/>
              </w:rPr>
              <w:t>10</w:t>
            </w:r>
            <w:r>
              <w:rPr>
                <w:rFonts w:hint="eastAsia" w:ascii="宋体" w:hAnsi="宋体" w:cs="宋体"/>
              </w:rPr>
              <w:t>分）</w:t>
            </w:r>
          </w:p>
        </w:tc>
        <w:tc>
          <w:tcPr>
            <w:tcW w:w="6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10</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完成预算支出计划工作目标的实际节约成本与计划成本的比率，用以反映和考核预算支出的成本节约程度。</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成本节约率</w:t>
            </w:r>
            <w:r>
              <w:rPr>
                <w:rFonts w:ascii="宋体" w:hAnsi="宋体" w:cs="宋体"/>
              </w:rPr>
              <w:t>=[</w:t>
            </w:r>
            <w:r>
              <w:rPr>
                <w:rFonts w:hint="eastAsia" w:ascii="宋体" w:hAnsi="宋体" w:cs="宋体"/>
              </w:rPr>
              <w:t>（计划成本</w:t>
            </w:r>
            <w:r>
              <w:rPr>
                <w:rFonts w:ascii="宋体" w:cs="宋体"/>
              </w:rPr>
              <w:t>-</w:t>
            </w:r>
            <w:r>
              <w:rPr>
                <w:rFonts w:hint="eastAsia" w:ascii="宋体" w:hAnsi="宋体" w:cs="宋体"/>
              </w:rPr>
              <w:t>实际成本）</w:t>
            </w:r>
            <w:r>
              <w:rPr>
                <w:rFonts w:ascii="宋体" w:hAnsi="宋体" w:cs="宋体"/>
              </w:rPr>
              <w:t>/</w:t>
            </w:r>
            <w:r>
              <w:rPr>
                <w:rFonts w:hint="eastAsia" w:ascii="宋体" w:hAnsi="宋体" w:cs="宋体"/>
              </w:rPr>
              <w:t>计划成本</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实际成本：预算支出实施单位如期、保质、保量完成既定工作目标实际所耗费的支出。</w:t>
            </w:r>
            <w:r>
              <w:rPr>
                <w:rFonts w:ascii="宋体"/>
              </w:rPr>
              <w:br w:type="textWrapping"/>
            </w:r>
            <w:r>
              <w:rPr>
                <w:rFonts w:hint="eastAsia" w:ascii="宋体" w:hAnsi="宋体" w:cs="宋体"/>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益（</w:t>
            </w:r>
            <w:r>
              <w:rPr>
                <w:rFonts w:ascii="宋体" w:hAnsi="宋体" w:cs="宋体"/>
              </w:rPr>
              <w:t>20</w:t>
            </w:r>
            <w:r>
              <w:rPr>
                <w:rFonts w:hint="eastAsia" w:ascii="宋体" w:hAnsi="宋体" w:cs="宋体"/>
              </w:rPr>
              <w:t>分）</w:t>
            </w:r>
          </w:p>
        </w:tc>
        <w:tc>
          <w:tcPr>
            <w:tcW w:w="44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w:t>
            </w:r>
            <w:r>
              <w:rPr>
                <w:rFonts w:ascii="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实施效益（</w:t>
            </w:r>
            <w:r>
              <w:rPr>
                <w:rFonts w:ascii="宋体" w:hAnsi="宋体" w:cs="宋体"/>
              </w:rPr>
              <w:t>10</w:t>
            </w:r>
            <w:r>
              <w:rPr>
                <w:rFonts w:hint="eastAsia" w:ascii="宋体" w:hAnsi="宋体" w:cs="宋体"/>
              </w:rPr>
              <w:t>分）</w:t>
            </w:r>
          </w:p>
        </w:tc>
        <w:tc>
          <w:tcPr>
            <w:tcW w:w="6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10</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预算支出实施所产生的效益。</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40" w:type="dxa"/>
            <w:vMerge w:val="continue"/>
            <w:vAlign w:val="center"/>
          </w:tcPr>
          <w:p>
            <w:pPr>
              <w:spacing w:line="240" w:lineRule="exact"/>
              <w:rPr>
                <w:rFonts w:ascii="宋体"/>
              </w:rPr>
            </w:pP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社会公众</w:t>
            </w:r>
          </w:p>
          <w:p>
            <w:pPr>
              <w:spacing w:line="240" w:lineRule="exact"/>
              <w:ind w:left="105" w:leftChars="50" w:right="105" w:rightChars="50"/>
              <w:jc w:val="center"/>
              <w:rPr>
                <w:rFonts w:ascii="宋体"/>
              </w:rPr>
            </w:pPr>
            <w:r>
              <w:rPr>
                <w:rFonts w:hint="eastAsia" w:ascii="宋体" w:hAnsi="宋体" w:cs="宋体"/>
              </w:rPr>
              <w:t>或服务（</w:t>
            </w:r>
            <w:r>
              <w:rPr>
                <w:rFonts w:ascii="宋体" w:hAnsi="宋体" w:cs="宋体"/>
              </w:rPr>
              <w:t>10</w:t>
            </w:r>
            <w:r>
              <w:rPr>
                <w:rFonts w:hint="eastAsia" w:ascii="宋体" w:hAnsi="宋体" w:cs="宋体"/>
              </w:rPr>
              <w:t>分）对</w:t>
            </w:r>
          </w:p>
          <w:p>
            <w:pPr>
              <w:spacing w:line="240" w:lineRule="exact"/>
              <w:ind w:left="105" w:leftChars="50" w:right="105" w:rightChars="50"/>
              <w:jc w:val="center"/>
              <w:rPr>
                <w:rFonts w:ascii="宋体"/>
              </w:rPr>
            </w:pPr>
            <w:r>
              <w:rPr>
                <w:rFonts w:hint="eastAsia" w:ascii="宋体" w:hAnsi="宋体" w:cs="宋体"/>
              </w:rPr>
              <w:t>象满意度</w:t>
            </w:r>
          </w:p>
        </w:tc>
        <w:tc>
          <w:tcPr>
            <w:tcW w:w="6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10</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社会公众或服务对象对预算支出实施效果的满意程度。</w:t>
            </w: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Align w:val="center"/>
          </w:tcPr>
          <w:p>
            <w:pPr>
              <w:spacing w:line="240" w:lineRule="exact"/>
              <w:rPr>
                <w:rFonts w:ascii="宋体"/>
              </w:rPr>
            </w:pPr>
            <w:r>
              <w:rPr>
                <w:rFonts w:hint="eastAsia" w:ascii="宋体" w:hAnsi="宋体" w:cs="宋体"/>
              </w:rPr>
              <w:t>总分</w:t>
            </w:r>
          </w:p>
        </w:tc>
        <w:tc>
          <w:tcPr>
            <w:tcW w:w="440" w:type="dxa"/>
            <w:vAlign w:val="center"/>
          </w:tcPr>
          <w:p>
            <w:pPr>
              <w:spacing w:line="240" w:lineRule="exact"/>
              <w:rPr>
                <w:rFonts w:ascii="宋体"/>
              </w:rPr>
            </w:pPr>
          </w:p>
        </w:tc>
        <w:tc>
          <w:tcPr>
            <w:tcW w:w="798" w:type="dxa"/>
            <w:tcMar>
              <w:top w:w="10" w:type="dxa"/>
              <w:left w:w="10" w:type="dxa"/>
              <w:bottom w:w="0" w:type="dxa"/>
              <w:right w:w="10" w:type="dxa"/>
            </w:tcMar>
            <w:vAlign w:val="center"/>
          </w:tcPr>
          <w:p>
            <w:pPr>
              <w:spacing w:line="240" w:lineRule="exact"/>
              <w:ind w:left="105" w:leftChars="50" w:right="105" w:rightChars="50"/>
              <w:jc w:val="center"/>
              <w:rPr>
                <w:rFonts w:ascii="宋体"/>
              </w:rPr>
            </w:pPr>
          </w:p>
        </w:tc>
        <w:tc>
          <w:tcPr>
            <w:tcW w:w="6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99.5</w:t>
            </w:r>
          </w:p>
        </w:tc>
        <w:tc>
          <w:tcPr>
            <w:tcW w:w="2600" w:type="dxa"/>
            <w:tcMar>
              <w:top w:w="10" w:type="dxa"/>
              <w:left w:w="10" w:type="dxa"/>
              <w:bottom w:w="0" w:type="dxa"/>
              <w:right w:w="10" w:type="dxa"/>
            </w:tcMar>
            <w:vAlign w:val="center"/>
          </w:tcPr>
          <w:p>
            <w:pPr>
              <w:spacing w:line="240" w:lineRule="exact"/>
              <w:ind w:left="105" w:leftChars="50" w:right="105" w:rightChars="50"/>
              <w:rPr>
                <w:rFonts w:ascii="宋体"/>
              </w:rPr>
            </w:pPr>
          </w:p>
        </w:tc>
        <w:tc>
          <w:tcPr>
            <w:tcW w:w="4169" w:type="dxa"/>
            <w:tcMar>
              <w:top w:w="10" w:type="dxa"/>
              <w:left w:w="10" w:type="dxa"/>
              <w:bottom w:w="0" w:type="dxa"/>
              <w:right w:w="10" w:type="dxa"/>
            </w:tcMar>
            <w:vAlign w:val="center"/>
          </w:tcPr>
          <w:p>
            <w:pPr>
              <w:spacing w:line="240" w:lineRule="exact"/>
              <w:ind w:left="105" w:leftChars="50" w:right="105" w:rightChars="50"/>
              <w:rPr>
                <w:rFonts w:ascii="宋体"/>
              </w:rPr>
            </w:pPr>
          </w:p>
        </w:tc>
      </w:tr>
    </w:tbl>
    <w:p>
      <w:pPr>
        <w:pStyle w:val="2"/>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8"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40E15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2023-06-27T03:12:15Z</dcterms:created>
  <dc:creator>admin-3</dc:creator>
  <cp:lastModifiedBy>admin-3</cp:lastModifiedBy>
  <dcterms:modified xsi:type="dcterms:W3CDTF">2023-06-27T03:12:48Z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F49A00430DC148919337B567C6F787E8_12</vt:lpwstr>
  </property>
</Properties>
</file>