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bookmarkStart w:id="0" w:name="_GoBack"/>
      <w:bookmarkEnd w:id="0"/>
      <w:r>
        <w:rPr>
          <w:rFonts w:hint="eastAsia" w:ascii="黑体" w:hAnsi="黑体" w:eastAsia="黑体" w:cs="黑体"/>
          <w:sz w:val="36"/>
          <w:szCs w:val="36"/>
          <w:lang w:val="en-US" w:eastAsia="zh-CN"/>
        </w:rPr>
        <w:t>益阳市</w:t>
      </w:r>
      <w:r>
        <w:rPr>
          <w:rFonts w:hint="eastAsia" w:ascii="黑体" w:hAnsi="黑体" w:eastAsia="黑体" w:cs="黑体"/>
          <w:sz w:val="36"/>
          <w:szCs w:val="36"/>
        </w:rPr>
        <w:t>赫山区农机事务中心</w:t>
      </w:r>
      <w:r>
        <w:rPr>
          <w:rFonts w:hint="eastAsia" w:ascii="黑体" w:hAnsi="黑体" w:eastAsia="黑体" w:cs="黑体"/>
          <w:sz w:val="36"/>
          <w:szCs w:val="36"/>
          <w:lang w:val="en-US" w:eastAsia="zh-CN"/>
        </w:rPr>
        <w:t>2021年度</w:t>
      </w:r>
      <w:r>
        <w:rPr>
          <w:rFonts w:hint="eastAsia" w:ascii="黑体" w:hAnsi="黑体" w:eastAsia="黑体" w:cs="黑体"/>
          <w:sz w:val="36"/>
          <w:szCs w:val="36"/>
        </w:rPr>
        <w:t>农机合作社建设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0"/>
          <w:szCs w:val="30"/>
        </w:rPr>
      </w:pPr>
      <w:r>
        <w:rPr>
          <w:rFonts w:hint="eastAsia" w:ascii="黑体" w:hAnsi="黑体" w:eastAsia="黑体" w:cs="黑体"/>
          <w:sz w:val="36"/>
          <w:szCs w:val="36"/>
        </w:rPr>
        <w:t>项目支出绩效评价报告</w:t>
      </w:r>
    </w:p>
    <w:p>
      <w:pPr>
        <w:keepNext w:val="0"/>
        <w:keepLines w:val="0"/>
        <w:pageBreakBefore w:val="0"/>
        <w:widowControl w:val="0"/>
        <w:tabs>
          <w:tab w:val="left" w:pos="3435"/>
        </w:tabs>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ab/>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一、预算支出基本情况</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（一）预算支出概况。</w:t>
      </w:r>
      <w:r>
        <w:rPr>
          <w:rFonts w:hint="eastAsia" w:ascii="仿宋" w:hAnsi="仿宋" w:eastAsia="仿宋" w:cs="仿宋"/>
          <w:sz w:val="30"/>
          <w:szCs w:val="30"/>
          <w:lang w:val="en-US" w:eastAsia="zh-CN"/>
        </w:rPr>
        <w:t>省级下拨260万元。实际拨付合作社260万元。其中：建设省现代农机合作社2家（赫山区顺应农机专业合作社、赫山区岳好农机专业合作社），每家扶持15万元；建设省现代农机合作示范社1家（赫山区跃农机专业合作社），扶持30万元；建设全程机械化综合农事服务中心2家（2020年建设赫山区惠民农机专业合作社、2021年赫山区恒茂农机专业合作社），扶持每家100万元。</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（二）预算资金使用管理情况。</w:t>
      </w:r>
      <w:r>
        <w:rPr>
          <w:rFonts w:hint="eastAsia" w:ascii="仿宋" w:hAnsi="仿宋" w:eastAsia="仿宋" w:cs="仿宋"/>
          <w:sz w:val="30"/>
          <w:szCs w:val="30"/>
          <w:lang w:val="en-US" w:eastAsia="zh-CN"/>
        </w:rPr>
        <w:t>湖南省农业农村厅、湖南省财政厅《关于印发〈湖南省2020-2022年现代农机合作社建设实施方案〉的通知》（湘农联〔2020〕6号）文件精神办理。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（三）预算支出绩效目标完成程度。</w:t>
      </w:r>
      <w:r>
        <w:rPr>
          <w:rFonts w:hint="eastAsia" w:ascii="仿宋" w:hAnsi="仿宋" w:eastAsia="仿宋" w:cs="仿宋"/>
          <w:sz w:val="30"/>
          <w:szCs w:val="30"/>
          <w:lang w:eastAsia="zh-CN"/>
        </w:rPr>
        <w:t>全部按</w:t>
      </w:r>
      <w:r>
        <w:rPr>
          <w:rFonts w:hint="eastAsia" w:ascii="仿宋" w:hAnsi="仿宋" w:eastAsia="仿宋" w:cs="仿宋"/>
          <w:sz w:val="30"/>
          <w:szCs w:val="30"/>
          <w:lang w:val="en-US" w:eastAsia="zh-CN"/>
        </w:rPr>
        <w:t>湘农联〔2020〕6号和各合作社申报文件内容完成</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按《益阳市赫山区财政局关于做好2021年度预算绩效自评工作的通知》（益赫财绩〔2022〕1号）要求开展。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预算支出主要绩效及评价结论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建设标准均达到湖南省农业农村厅、湖南省财政厅《关于印发〈湖南省2020-2022年现代农机合作社建设实施方案〉的通知》（</w:t>
      </w:r>
      <w:r>
        <w:rPr>
          <w:rFonts w:hint="eastAsia" w:ascii="仿宋" w:hAnsi="仿宋" w:eastAsia="仿宋" w:cs="仿宋"/>
          <w:color w:val="000000"/>
          <w:kern w:val="2"/>
          <w:sz w:val="30"/>
          <w:szCs w:val="30"/>
          <w:lang w:eastAsia="zh-CN" w:bidi="ar-SA"/>
        </w:rPr>
        <w:t>湘农联〔2020〕6号）文件要求。</w:t>
      </w:r>
      <w:r>
        <w:rPr>
          <w:rFonts w:hint="eastAsia" w:ascii="仿宋" w:hAnsi="仿宋" w:eastAsia="仿宋" w:cs="仿宋"/>
          <w:sz w:val="30"/>
          <w:szCs w:val="30"/>
          <w:lang w:val="en-US" w:eastAsia="zh-CN"/>
        </w:rPr>
        <w:t>各合作社申报文件内容均全部完成，按实施方案通过各级评估。基本达到预期建设目标，自评分为97分。其中：</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02" w:firstLineChars="200"/>
        <w:jc w:val="both"/>
        <w:textAlignment w:val="auto"/>
        <w:rPr>
          <w:rFonts w:hint="eastAsia" w:ascii="仿宋" w:hAnsi="仿宋" w:eastAsia="仿宋" w:cs="仿宋"/>
          <w:kern w:val="2"/>
          <w:sz w:val="30"/>
          <w:szCs w:val="30"/>
          <w:lang w:eastAsia="zh-CN" w:bidi="ar-SA"/>
        </w:rPr>
      </w:pPr>
      <w:r>
        <w:rPr>
          <w:rFonts w:hint="eastAsia" w:ascii="仿宋" w:hAnsi="仿宋" w:eastAsia="仿宋" w:cs="仿宋"/>
          <w:b/>
          <w:bCs/>
          <w:kern w:val="2"/>
          <w:sz w:val="30"/>
          <w:szCs w:val="30"/>
          <w:lang w:eastAsia="zh-CN" w:bidi="ar-SA"/>
        </w:rPr>
        <w:t>（</w:t>
      </w:r>
      <w:r>
        <w:rPr>
          <w:rFonts w:hint="eastAsia" w:ascii="仿宋" w:hAnsi="仿宋" w:eastAsia="仿宋" w:cs="仿宋"/>
          <w:b/>
          <w:bCs/>
          <w:kern w:val="2"/>
          <w:sz w:val="30"/>
          <w:szCs w:val="30"/>
          <w:lang w:val="en-US" w:eastAsia="zh-CN" w:bidi="ar-SA"/>
        </w:rPr>
        <w:t>一）</w:t>
      </w:r>
      <w:r>
        <w:rPr>
          <w:rFonts w:hint="eastAsia" w:ascii="仿宋" w:hAnsi="仿宋" w:eastAsia="仿宋" w:cs="仿宋"/>
          <w:b/>
          <w:bCs/>
          <w:kern w:val="2"/>
          <w:sz w:val="30"/>
          <w:szCs w:val="30"/>
          <w:lang w:eastAsia="zh-CN" w:bidi="ar-SA"/>
        </w:rPr>
        <w:t>现代农机合作社：</w:t>
      </w:r>
      <w:r>
        <w:rPr>
          <w:rFonts w:hint="eastAsia" w:ascii="仿宋" w:hAnsi="仿宋" w:eastAsia="仿宋" w:cs="仿宋"/>
          <w:kern w:val="2"/>
          <w:sz w:val="30"/>
          <w:szCs w:val="30"/>
          <w:lang w:eastAsia="zh-CN" w:bidi="ar-SA"/>
        </w:rPr>
        <w:t>均新购粮食生产农机具100万元以上，满足耕种收、植保、转运和烘干等环节机械化作业需求；经营土地规模在500亩以上，经营土地范围内机插机抛率不低于50%；有固定经营场所。农机停放场地在800㎡以上；已创建平安农机示范社。</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02" w:firstLineChars="200"/>
        <w:jc w:val="both"/>
        <w:textAlignment w:val="auto"/>
        <w:rPr>
          <w:rFonts w:hint="eastAsia" w:ascii="仿宋" w:hAnsi="仿宋" w:eastAsia="仿宋" w:cs="仿宋"/>
          <w:kern w:val="2"/>
          <w:sz w:val="30"/>
          <w:szCs w:val="30"/>
          <w:lang w:eastAsia="zh-CN" w:bidi="ar-SA"/>
        </w:rPr>
      </w:pPr>
      <w:r>
        <w:rPr>
          <w:rFonts w:hint="eastAsia" w:ascii="仿宋" w:hAnsi="仿宋" w:eastAsia="仿宋" w:cs="仿宋"/>
          <w:b/>
          <w:bCs/>
          <w:kern w:val="2"/>
          <w:sz w:val="30"/>
          <w:szCs w:val="30"/>
          <w:lang w:eastAsia="zh-CN" w:bidi="ar-SA"/>
        </w:rPr>
        <w:t>（</w:t>
      </w:r>
      <w:r>
        <w:rPr>
          <w:rFonts w:hint="eastAsia" w:ascii="仿宋" w:hAnsi="仿宋" w:eastAsia="仿宋" w:cs="仿宋"/>
          <w:b/>
          <w:bCs/>
          <w:kern w:val="2"/>
          <w:sz w:val="30"/>
          <w:szCs w:val="30"/>
          <w:lang w:val="en-US" w:eastAsia="zh-CN" w:bidi="ar-SA"/>
        </w:rPr>
        <w:t>二）</w:t>
      </w:r>
      <w:r>
        <w:rPr>
          <w:rFonts w:hint="eastAsia" w:ascii="仿宋" w:hAnsi="仿宋" w:eastAsia="仿宋" w:cs="仿宋"/>
          <w:b/>
          <w:bCs/>
          <w:kern w:val="2"/>
          <w:sz w:val="30"/>
          <w:szCs w:val="30"/>
          <w:lang w:eastAsia="zh-CN" w:bidi="ar-SA"/>
        </w:rPr>
        <w:t>现代农机合作社示范社：</w:t>
      </w:r>
      <w:r>
        <w:rPr>
          <w:rFonts w:hint="eastAsia" w:ascii="仿宋" w:hAnsi="仿宋" w:eastAsia="仿宋" w:cs="仿宋"/>
          <w:kern w:val="2"/>
          <w:sz w:val="30"/>
          <w:szCs w:val="30"/>
          <w:lang w:eastAsia="zh-CN" w:bidi="ar-SA"/>
        </w:rPr>
        <w:t>以粮油为主业的农机保有量原值200万元以上，配备大马力拖拉机、联合收割机、机械化育秧设施、高速插秧（抛秧）机、烘干及初加工设备等机具于20台套以上；相对集中经营土地2000亩以上；经营土地范围内水稻机插机抛率在60%以上，秸秆处理机械化率在80%以上，高效植保和谷物烘干机械化率达到100%；有固定经营场所和手续完善的机库棚、维修间等设施。维修间（含配件库）50㎡以上；有较紧密的合作机制，直接或间接带动100户以上农户；有较强的盈利能力，年营业额达到200万元以上。</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02" w:firstLineChars="200"/>
        <w:jc w:val="both"/>
        <w:textAlignment w:val="auto"/>
        <w:rPr>
          <w:rFonts w:hint="eastAsia" w:ascii="仿宋" w:hAnsi="仿宋" w:eastAsia="仿宋" w:cs="仿宋"/>
          <w:kern w:val="2"/>
          <w:sz w:val="30"/>
          <w:szCs w:val="30"/>
          <w:lang w:eastAsia="zh-CN" w:bidi="ar-SA"/>
        </w:rPr>
      </w:pPr>
      <w:r>
        <w:rPr>
          <w:rFonts w:hint="eastAsia" w:ascii="仿宋" w:hAnsi="仿宋" w:eastAsia="仿宋" w:cs="仿宋"/>
          <w:b/>
          <w:bCs/>
          <w:kern w:val="2"/>
          <w:sz w:val="30"/>
          <w:szCs w:val="30"/>
          <w:lang w:eastAsia="zh-CN" w:bidi="ar-SA"/>
        </w:rPr>
        <w:t>（</w:t>
      </w:r>
      <w:r>
        <w:rPr>
          <w:rFonts w:hint="eastAsia" w:ascii="仿宋" w:hAnsi="仿宋" w:eastAsia="仿宋" w:cs="仿宋"/>
          <w:b/>
          <w:bCs/>
          <w:kern w:val="2"/>
          <w:sz w:val="30"/>
          <w:szCs w:val="30"/>
          <w:lang w:val="en-US" w:eastAsia="zh-CN" w:bidi="ar-SA"/>
        </w:rPr>
        <w:t>三）</w:t>
      </w:r>
      <w:r>
        <w:rPr>
          <w:rFonts w:hint="eastAsia" w:ascii="仿宋" w:hAnsi="仿宋" w:eastAsia="仿宋" w:cs="仿宋"/>
          <w:b/>
          <w:bCs/>
          <w:kern w:val="2"/>
          <w:sz w:val="30"/>
          <w:szCs w:val="30"/>
          <w:lang w:eastAsia="zh-CN" w:bidi="ar-SA"/>
        </w:rPr>
        <w:t>全程机械化综合农事服务中心：</w:t>
      </w:r>
      <w:r>
        <w:rPr>
          <w:rFonts w:hint="eastAsia" w:ascii="仿宋" w:hAnsi="仿宋" w:eastAsia="仿宋" w:cs="仿宋"/>
          <w:kern w:val="2"/>
          <w:sz w:val="30"/>
          <w:szCs w:val="30"/>
          <w:lang w:eastAsia="zh-CN" w:bidi="ar-SA"/>
        </w:rPr>
        <w:t>均为现代农机合作社示范社且正常运行两年以上，具备为农业生产主体提供全程服务的能力和农资服务的资质；农机保有量原值400万元以上，当年新购农机购置补贴产品总额不低于100万元。配备大马力拖拉机、联合收割机、机械化育秧设施、高速插秧（抛秧）机、烘干及初加工设备等高端机具40台套以上；相对集中经营土地8000亩以上；经营土地范围内水稻机插机抛率在70%以上，秸秆处理机械化率在90%以上，高效植保和谷物烘干机械化率达到100%；有固定经营场所和手续完善的机库棚等设施。其中农机停放场地、机库棚和临时仓储用房1200 ㎡以上，培训教室不少于40㎡以上；维修间（含配件库）不少于100㎡，配备农机维修人员及必要的维修工具，可从事常用农业机械的局部性换件修理、一般性故障排除及整机维护等维修服务；拖拉机、插秧机（抛秧机）、收割机、秸秆处理机械等主要机具安装信息化监测终端，对作业情况进行实时监控；有紧密的合作机制，社会带动作用突出，直接或间接带动200户以上农户；有较强的盈利能力，农机作业、农资统购、农产品销售等年营业额达到1000万元，成员收入明显高于县域内非成员农户平均收入；当年社内成员及工作人员实行全员培训，且为周边农户提供技术培训和信息咨询服务均达50人次以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预算支出决策、执行过程、支出产出情况、效益情况等，均达到湘农联〔2020〕6号和各合作社申报文件要求。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eastAsia="zh-CN"/>
        </w:rPr>
        <w:t>赫山区惠民农机专业合作社在2020年建设全程机械化综合农事服务中心，奖扶资金在2021年到位。</w:t>
      </w:r>
    </w:p>
    <w:p>
      <w:pPr>
        <w:numPr>
          <w:ilvl w:val="0"/>
          <w:numId w:val="0"/>
        </w:numPr>
        <w:spacing w:line="480" w:lineRule="exact"/>
        <w:ind w:leftChars="200"/>
        <w:rPr>
          <w:rFonts w:hint="eastAsia" w:eastAsia="黑体" w:cs="黑体"/>
          <w:sz w:val="32"/>
          <w:szCs w:val="32"/>
        </w:rPr>
      </w:pPr>
    </w:p>
    <w:p>
      <w:pPr>
        <w:numPr>
          <w:ilvl w:val="0"/>
          <w:numId w:val="0"/>
        </w:numPr>
        <w:ind w:left="0" w:leftChars="0" w:firstLine="640" w:firstLineChars="200"/>
        <w:rPr>
          <w:rFonts w:hint="default" w:ascii="仿宋_GB2312" w:hAnsi="仿宋_GB2312" w:eastAsia="仿宋_GB2312" w:cs="仿宋_GB2312"/>
          <w:sz w:val="32"/>
          <w:szCs w:val="32"/>
          <w:lang w:val="en-US" w:eastAsia="zh-CN"/>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line="600" w:lineRule="exact"/>
        <w:rPr>
          <w:rFonts w:hint="eastAsia" w:eastAsia="黑体" w:cs="黑体"/>
          <w:sz w:val="32"/>
          <w:szCs w:val="32"/>
        </w:rPr>
      </w:pPr>
    </w:p>
    <w:p>
      <w:pPr>
        <w:spacing w:afterLines="50" w:line="400" w:lineRule="exact"/>
        <w:jc w:val="center"/>
        <w:rPr>
          <w:rFonts w:hint="eastAsia" w:ascii="黑体" w:hAnsi="黑体" w:eastAsia="黑体" w:cs="黑体"/>
          <w:sz w:val="30"/>
          <w:szCs w:val="30"/>
        </w:rPr>
      </w:pPr>
      <w:r>
        <w:rPr>
          <w:rFonts w:hint="eastAsia" w:ascii="黑体" w:hAnsi="黑体" w:eastAsia="黑体" w:cs="黑体"/>
          <w:sz w:val="30"/>
          <w:szCs w:val="30"/>
        </w:rPr>
        <w:t>2021年度项目支出绩效自评指标计分表</w:t>
      </w:r>
    </w:p>
    <w:p>
      <w:pPr>
        <w:spacing w:afterLines="50" w:line="400" w:lineRule="exact"/>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rPr>
        <w:t>2021年农机合作社建设</w:t>
      </w:r>
      <w:r>
        <w:rPr>
          <w:rFonts w:hint="eastAsia" w:ascii="黑体" w:hAnsi="黑体" w:eastAsia="黑体" w:cs="黑体"/>
          <w:sz w:val="30"/>
          <w:szCs w:val="30"/>
          <w:lang w:eastAsia="zh-CN"/>
        </w:rPr>
        <w:t>）</w:t>
      </w:r>
    </w:p>
    <w:tbl>
      <w:tblPr>
        <w:tblStyle w:val="2"/>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454"/>
        <w:gridCol w:w="834"/>
        <w:gridCol w:w="540"/>
        <w:gridCol w:w="262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95"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247"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454"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294" w:type="pct"/>
          </w:tcPr>
          <w:p>
            <w:pPr>
              <w:spacing w:line="240" w:lineRule="exact"/>
              <w:jc w:val="center"/>
              <w:rPr>
                <w:rFonts w:ascii="宋体"/>
                <w:b/>
                <w:bCs/>
              </w:rPr>
            </w:pPr>
            <w:r>
              <w:rPr>
                <w:rFonts w:hint="eastAsia" w:ascii="宋体" w:hAnsi="宋体" w:cs="宋体"/>
                <w:b/>
                <w:bCs/>
              </w:rPr>
              <w:t>自评分</w:t>
            </w:r>
          </w:p>
        </w:tc>
        <w:tc>
          <w:tcPr>
            <w:tcW w:w="1428"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2282"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vMerge w:val="continue"/>
            <w:tcMar>
              <w:top w:w="10" w:type="dxa"/>
              <w:left w:w="10" w:type="dxa"/>
              <w:bottom w:w="0" w:type="dxa"/>
              <w:right w:w="10" w:type="dxa"/>
            </w:tcMar>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295" w:type="pct"/>
            <w:vMerge w:val="continue"/>
            <w:vAlign w:val="center"/>
          </w:tcPr>
          <w:p>
            <w:pPr>
              <w:spacing w:line="240" w:lineRule="exact"/>
              <w:rPr>
                <w:rFonts w:ascii="宋体"/>
              </w:rPr>
            </w:pPr>
          </w:p>
        </w:tc>
        <w:tc>
          <w:tcPr>
            <w:tcW w:w="247" w:type="pct"/>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295" w:type="pct"/>
            <w:vMerge w:val="continue"/>
            <w:vAlign w:val="center"/>
          </w:tcPr>
          <w:p>
            <w:pPr>
              <w:spacing w:line="240" w:lineRule="exact"/>
              <w:rPr>
                <w:rFonts w:ascii="宋体"/>
              </w:rPr>
            </w:pPr>
          </w:p>
        </w:tc>
        <w:tc>
          <w:tcPr>
            <w:tcW w:w="247" w:type="pct"/>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2282" w:type="pct"/>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295" w:type="pct"/>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295" w:type="pct"/>
            <w:vMerge w:val="continue"/>
            <w:vAlign w:val="center"/>
          </w:tcPr>
          <w:p>
            <w:pPr>
              <w:spacing w:line="240" w:lineRule="exact"/>
              <w:jc w:val="center"/>
              <w:rPr>
                <w:rFonts w:ascii="宋体"/>
              </w:rPr>
            </w:pPr>
          </w:p>
        </w:tc>
        <w:tc>
          <w:tcPr>
            <w:tcW w:w="247" w:type="pct"/>
            <w:vMerge w:val="continue"/>
            <w:tcMar>
              <w:top w:w="10" w:type="dxa"/>
              <w:left w:w="10" w:type="dxa"/>
              <w:bottom w:w="0" w:type="dxa"/>
              <w:right w:w="10" w:type="dxa"/>
            </w:tcMar>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jc w:val="center"/>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294" w:type="pct"/>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47"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295" w:type="pct"/>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47"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ind w:left="113"/>
              <w:rPr>
                <w:rFonts w:ascii="宋体"/>
              </w:rPr>
            </w:pPr>
          </w:p>
        </w:tc>
        <w:tc>
          <w:tcPr>
            <w:tcW w:w="247"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Align w:val="center"/>
          </w:tcPr>
          <w:p>
            <w:pPr>
              <w:spacing w:line="240" w:lineRule="exact"/>
              <w:rPr>
                <w:rFonts w:ascii="宋体"/>
              </w:rPr>
            </w:pPr>
            <w:r>
              <w:rPr>
                <w:rFonts w:hint="eastAsia" w:ascii="宋体" w:hAnsi="宋体" w:cs="宋体"/>
              </w:rPr>
              <w:t>总分</w:t>
            </w:r>
          </w:p>
        </w:tc>
        <w:tc>
          <w:tcPr>
            <w:tcW w:w="247" w:type="pct"/>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294" w:type="pct"/>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97</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p>
        </w:tc>
      </w:tr>
    </w:tbl>
    <w:p>
      <w:pPr>
        <w:ind w:firstLine="640" w:firstLineChars="200"/>
        <w:jc w:val="left"/>
        <w:rPr>
          <w:rFonts w:cs="黑体" w:asciiTheme="minorEastAsia" w:hAnsiTheme="minorEastAsia"/>
          <w:color w:val="000000"/>
          <w:kern w:val="0"/>
          <w:sz w:val="32"/>
          <w:szCs w:val="32"/>
        </w:rPr>
      </w:pPr>
    </w:p>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7D73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2023-06-20T10:05:32Z</dcterms:created>
  <dc:creator>admin-3</dc:creator>
  <cp:lastModifiedBy>admin-3</cp:lastModifiedBy>
  <dcterms:modified xsi:type="dcterms:W3CDTF">2023-06-20T10:05:48Z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1F93D027180B4830B8D2427439C678E3_12</vt:lpwstr>
  </property>
</Properties>
</file>