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color w:val="000000"/>
          <w:kern w:val="0"/>
          <w:sz w:val="36"/>
          <w:szCs w:val="36"/>
        </w:rPr>
      </w:pPr>
    </w:p>
    <w:p>
      <w:pPr>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color w:val="000000"/>
          <w:kern w:val="0"/>
          <w:sz w:val="36"/>
          <w:szCs w:val="36"/>
        </w:rPr>
      </w:pPr>
      <w:bookmarkStart w:id="0" w:name="_GoBack"/>
      <w:bookmarkEnd w:id="0"/>
      <w:r>
        <w:rPr>
          <w:rFonts w:hint="eastAsia" w:ascii="黑体" w:hAnsi="黑体" w:eastAsia="黑体" w:cs="黑体"/>
          <w:b w:val="0"/>
          <w:bCs/>
          <w:color w:val="000000"/>
          <w:kern w:val="0"/>
          <w:sz w:val="36"/>
          <w:szCs w:val="36"/>
        </w:rPr>
        <w:t>益阳市赫山区妇女联合会2021年度部门整体</w:t>
      </w:r>
    </w:p>
    <w:p>
      <w:pPr>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color w:val="000000"/>
          <w:kern w:val="0"/>
          <w:sz w:val="36"/>
          <w:szCs w:val="36"/>
          <w:lang w:val="en-US" w:eastAsia="zh-CN"/>
        </w:rPr>
      </w:pPr>
      <w:r>
        <w:rPr>
          <w:rFonts w:hint="eastAsia" w:ascii="黑体" w:hAnsi="黑体" w:eastAsia="黑体" w:cs="黑体"/>
          <w:b w:val="0"/>
          <w:bCs/>
          <w:color w:val="000000"/>
          <w:kern w:val="0"/>
          <w:sz w:val="36"/>
          <w:szCs w:val="36"/>
        </w:rPr>
        <w:t>支出绩效评价报告</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益赫财绩〔2022〕1号《益阳市赫山区财政局关于做好2021年度预算绩效自评工作的通知》文件精神，我会从预算配置、预算执行、预算管理、职责履行、履职效益等五方面入手，对照《部门整体支出绩效评价指标表》，认真负责、客观公正地开展2021年度部门整体支出绩效自评工作，现将相关情况报告如下：</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一、部门基本情况</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（一）部门职能</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1．指导全区各级妇联组织依据《中华全国妇女联合会章程》和妇女代表大会的决定、决议，开展妇女儿童工作。联系团体会员，并对其妇女工作进行指导。</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2．调查研究全区妇女儿童情况和问题，及时向区委、区政府报告并提出建议。</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3．团结动员妇女投身改革开放和社会主义经济建设、政治建设、文化建设、社会建设和生态文明建设，注重发挥妇女在社会生活和家庭生活中独特作用。组织开展各类家庭文明创建活动。 </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维护妇女儿童合法权益，积极开展普法宣传和教育，认真做好群众来信来电来访及法律咨询工作，倾听妇女意见，反映妇女诉求，向各级国家机关提出有关建议，要求并协助有关部门或单位查处侵害妇女儿童权益的行为，为受侵害的妇女儿童提供帮助。</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5．指导全区各级妇联的宣传舆论工作。教育、引导广大妇女，增强自尊、自信、自立、自强精神，全面提高素质，促进妇女人才成长。</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代表妇女参与国家和社会事务的民主决策、民主管理、民主监督，促进妇女参政议政。参与有关妇女儿童法律、法规、规章的制定，参与社会治理和公共服务。贯彻实施国务院颁发的《中国妇女发展纲要》《中国儿童发展纲要》，协助区人民政府制定《赫山区妇女儿童发展规划》，并组织实施。</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7．联系和引导女性社会组织，加强与社会各界的协作，推动全社会为妇女儿童和家庭服务。</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8．承办区委、区政府交办的其他事项。    </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（二）机构设置</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区妇联是群众（人民）团体机关，为正科级。区妇联机关内设2个正股级部室：办公室（加挂组宣部、家庭和儿童工作部）、权益部（加挂发展部）。</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（三）人员编制情况</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区妇联行政编制5名，现有在职在编干部5人。</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二、一般公共预算支出情况</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基本支出</w:t>
      </w:r>
      <w:r>
        <w:rPr>
          <w:rFonts w:hint="eastAsia" w:ascii="仿宋" w:hAnsi="仿宋" w:eastAsia="仿宋" w:cs="仿宋"/>
          <w:b/>
          <w:bCs/>
          <w:sz w:val="30"/>
          <w:szCs w:val="30"/>
          <w:lang w:val="en-US" w:eastAsia="zh-CN"/>
        </w:rPr>
        <w:t>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jc w:val="left"/>
        <w:textAlignment w:val="auto"/>
        <w:rPr>
          <w:rFonts w:hint="eastAsia"/>
        </w:rPr>
      </w:pPr>
      <w:r>
        <w:rPr>
          <w:rFonts w:hint="eastAsia" w:ascii="仿宋" w:hAnsi="仿宋" w:eastAsia="仿宋" w:cs="仿宋"/>
          <w:i w:val="0"/>
          <w:caps w:val="0"/>
          <w:color w:val="333333"/>
          <w:spacing w:val="0"/>
          <w:kern w:val="0"/>
          <w:sz w:val="30"/>
          <w:szCs w:val="30"/>
          <w:shd w:val="clear" w:fill="FFFFFF"/>
          <w:lang w:val="en-US" w:eastAsia="zh-CN" w:bidi="ar"/>
        </w:rPr>
        <w:t>基本支出是指为保障单位机构正常运转、完成日常工作任务而发生的各项支出，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96.12</w:t>
      </w:r>
      <w:r>
        <w:rPr>
          <w:rFonts w:hint="eastAsia" w:ascii="仿宋" w:hAnsi="仿宋" w:eastAsia="仿宋" w:cs="仿宋"/>
          <w:sz w:val="30"/>
          <w:szCs w:val="30"/>
        </w:rPr>
        <w:t>万元，</w:t>
      </w:r>
      <w:r>
        <w:rPr>
          <w:rFonts w:hint="eastAsia" w:ascii="仿宋" w:hAnsi="仿宋" w:eastAsia="仿宋" w:cs="仿宋"/>
          <w:i w:val="0"/>
          <w:caps w:val="0"/>
          <w:color w:val="333333"/>
          <w:spacing w:val="0"/>
          <w:kern w:val="0"/>
          <w:sz w:val="30"/>
          <w:szCs w:val="30"/>
          <w:shd w:val="clear" w:fill="FFFFFF"/>
          <w:lang w:val="en-US" w:eastAsia="zh-CN" w:bidi="ar"/>
        </w:rPr>
        <w:t>较上年减少22.83万元，减少18.75%，其中人员经费支出77.17万元，占基本支出的 80.29%，较上年增加18.34 %，主要是由于原因:人员工资增加；公用经费支出支出18.95万元,占基本支出的19.71%,。</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2021年项目支出120.18万元，较上年减少31.49万元，减少20.76%，主要用于送温暖三下乡项目支出7.94万元，省家庭教育现场会支出8.17万元，妇女两癌项目支出73.54万元，其他妇女儿童关爱项目支出30.53万元。</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三、政府性基金预算支出情况</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2021年本单位无政府性基金预算</w:t>
      </w:r>
      <w:r>
        <w:rPr>
          <w:rFonts w:hint="eastAsia" w:ascii="仿宋" w:hAnsi="仿宋" w:eastAsia="仿宋" w:cs="仿宋"/>
          <w:sz w:val="30"/>
          <w:szCs w:val="30"/>
          <w:lang w:eastAsia="zh-CN"/>
        </w:rPr>
        <w:t>收</w:t>
      </w:r>
      <w:r>
        <w:rPr>
          <w:rFonts w:hint="eastAsia" w:ascii="仿宋" w:hAnsi="仿宋" w:eastAsia="仿宋" w:cs="仿宋"/>
          <w:sz w:val="30"/>
          <w:szCs w:val="30"/>
        </w:rPr>
        <w:t>支</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四、国有资本经营预算支出情况</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2021年本单位无国有资本经营预算支出</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五、社会保险基金预算支出情况</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2021年本单位无社会保险</w:t>
      </w:r>
      <w:r>
        <w:rPr>
          <w:rFonts w:hint="eastAsia" w:ascii="仿宋" w:hAnsi="仿宋" w:eastAsia="仿宋" w:cs="仿宋"/>
          <w:sz w:val="30"/>
          <w:szCs w:val="30"/>
          <w:lang w:eastAsia="zh-CN"/>
        </w:rPr>
        <w:t>基金</w:t>
      </w:r>
      <w:r>
        <w:rPr>
          <w:rFonts w:hint="eastAsia" w:ascii="仿宋" w:hAnsi="仿宋" w:eastAsia="仿宋" w:cs="仿宋"/>
          <w:sz w:val="30"/>
          <w:szCs w:val="30"/>
        </w:rPr>
        <w:t>预算支出。</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六、部门整体支出绩效情况</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（一）预算绩效目标情况</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2021年一般公共预算拨款收入119.47万元，具体安排情况如下：</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基本支出：2021年一般公共预算支出为96.12万元，是指为保障单位机构正常运转、完成日常工作任务而发生的各项支出，包括用于基本工资、津贴补贴等人员经费以及办公费、印刷费、水电费、办公设备购置等日常公用经费。其中一般公共服务支出83.12万元，社会保障和就业支出5.1万元，卫生和健康支出4.25万元，住房保障支出3.65万元。</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项目支出：2021年一般公共预算支出120.18万元，妇女两癌项目73.54万元；省</w:t>
      </w:r>
      <w:r>
        <w:rPr>
          <w:rFonts w:hint="eastAsia" w:ascii="仿宋" w:hAnsi="仿宋" w:eastAsia="仿宋" w:cs="仿宋"/>
          <w:sz w:val="30"/>
          <w:szCs w:val="30"/>
          <w:lang w:eastAsia="zh-CN"/>
        </w:rPr>
        <w:t>级妇女儿童事业发展及</w:t>
      </w:r>
      <w:r>
        <w:rPr>
          <w:rFonts w:hint="eastAsia" w:ascii="仿宋" w:hAnsi="仿宋" w:eastAsia="仿宋" w:cs="仿宋"/>
          <w:sz w:val="30"/>
          <w:szCs w:val="30"/>
        </w:rPr>
        <w:t>家庭教育现场会8.17万元；送温暖三下乡项目7.94万元；其他妇女儿童关爱项目30.53万元。</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（二）部门整体支出绩效目标完成情况</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预决算公开：根据区财政局的统一部署及相关要求，我会已在赫山信息网站上进行了预（决）算公开。</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存量资金管理：我会已实行国库集中支付管理。</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资产管理：机关制度明确了资产管理，建立了固定资产台账，指定专人管理，及时登记，科学使用。固定资产的调出、处置、报废、报损严格执行国家有关规定的审批程序办理。</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“三公”经费控制：2021年，我会“三公”经费支出0.25万元，其中：无公务用车运行维护费，公务接待费0.25万元，无出国出境费。</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内部控制制度建设：我会制定了《机关管理制度》《财务管理制度》《政府采购制度》等一系列内部控制制度，相关制度合法合规、完整，并得到有效执行。</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绩效目标完成情况：2021年赫山区妇联紧紧围绕区委区政府工作大局，把握开启现代化新赫山建设目标要求，找准定位、履职尽责，在思想引领、服务大局、家庭建设、民生实事、维护权益、创新方法等方面取得明显成效。赫山区妇联获评2021年度湖南省妇联舆论宣传阵地建设先进单位，区妇联党组书记、主席丁丽红荣获湖南省“两癌”免费检查重点民生实事项目先进个人。</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（三）部门整体支出实施情况分析</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我会在部门整体支出中，严格按照年初预算安排，坚持“无预算，不支出；有预算，严格按预算支出”的原则，以及“细化预算和提前编制预算”原则，严格遵守资金管理制度，强化监督，专款专用，确保各项资金及时到位，无截留、挪用等现象。健全和完善管理制度，加强基本支出管理。严格审批程序，严格执行国家规定的开支范围及开支标准，量入为出，坚持联审会签制度。严格报账程序，实行国库集中支付制度，严格完善相关资料手续、审核审批程序，保证了各项资金使用的合理合规，充分发挥了各项资金的使用效益。 </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（四）绩效评价工作情况</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1.绩效评价目的</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本次绩效评价的目的是为了全面分析和综合评价我会本级财政预算资金的使用管理情况，为切实提高财政资金使用效益，强化预算支出的责任和效率提供参考依据。</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2.绩效评价工作过程</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（1）前期准备。按照绩效自评工作要求，成立以副主席王玲为组长的绩效评价工作小组，对相关的国家法律法规进行了认真学习，掌握政策，根据部门整体收支情况制定了部门整体支出绩效评价实施方案。</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（2）组织实施。采用核查法核查2021年同级财政预算批复执行及部门整体支出情况，着重核查了“三公”经费及资产管理、内部控制制度等情况。</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（3）分析评价。对评价过程中收集资料进行归纳，汇总分析，依据设定的部门整体支出绩效评价指标体系进行了评分，形成了综合性书面报告。</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（五）主要绩效及评价结论</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经济性分析</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（1）本年预算配置控制较好。财政供养人员控制在预算编制以内，编制内在职人员控制率为100%；“三公”经费支出总额小，低于年初预算。</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（2）预算执行方面。支出总额控制在预算总额以内，所有支出严格依照相关财务管理规定执行，特别重视量财办事、量力而行，严格控制标准、注重节约，少花钱办好事，各项支出都在合理范围内。</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（3）预算管理方面。我会制定了切实有效的内部管理制度和经费支出控制方案，有较强的内控风险管理意识、各项经费支出得到了有效控制。</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2．效率性分析</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2021年，在区委</w:t>
      </w:r>
      <w:r>
        <w:rPr>
          <w:rFonts w:hint="eastAsia" w:ascii="仿宋" w:hAnsi="仿宋" w:eastAsia="仿宋" w:cs="仿宋"/>
          <w:sz w:val="30"/>
          <w:szCs w:val="30"/>
          <w:lang w:eastAsia="zh-CN"/>
        </w:rPr>
        <w:t>区政府</w:t>
      </w:r>
      <w:r>
        <w:rPr>
          <w:rFonts w:hint="eastAsia" w:ascii="仿宋" w:hAnsi="仿宋" w:eastAsia="仿宋" w:cs="仿宋"/>
          <w:sz w:val="30"/>
          <w:szCs w:val="30"/>
        </w:rPr>
        <w:t>和市妇联的领导下，赫山区妇联立足职能，勇于担当作为，积极推进妇联各项工作。</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3．效益性分析</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2021年赫山区妇联紧紧围绕区委区政府工作大局，把握开启现代化新赫山建设目标要求，找准定位、履职尽责，在思想引领、服务大局、家庭建设、民生实事、维护权益、创新方法等方面取得明显成效。</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4．评价结论</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一是预算执行到位。严格执行《预算法》和各项财经纪律，机关管理制度健全，财务管理规范，预算编制合理； 二是资金监管到位。</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七、存在的问题及原因分析</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预算编制不够明确和细化，预算编制的合理性需要提高。因部分工作是年中或年末根据省市相关要求开展，未纳入年初预算，另外还有部分不可预见经费的追加，无法纳入预算，导致预算执行存在偏差。</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八、下一步改进措施</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（一）提高认识，突出重点</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1．提高对预算绩效管理的认识，充分理解财政绩效评价指标体系，注重绩效目标、评价指标的关联性，依据部门职责和年度工作重点，更加科学合理地确定部门绩效目标和评价目标。</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强化全过程预算绩效管理理念，强化部门项目选择与部门职责的相关性。按财政管理要求进一步建立完善项目库和内部项目选择机制，完善项目管理制度，实施项目加强领导重视，合理设定绩效目标，强化管理措施，科学编制预算,认真组织绩效考评。</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（二）强化管理，规范行为</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1．强化部门预算约束，细化预算编制，严格预算执行，合理制定项目方案和计划，减少预算执行中的项目预算调整和结余，平衡好预算执行进度，提高财政资金使用效率和效益。</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2．加强预算项目事前、事中、事后管控，做到事前有评估、事中有监控、事后有评价，并且按预期绩效目标完成程度考核项目实施效果。</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（三）科学考核，注重实效</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1．建立科学合理的项目预算效果考核机制，依据预设的绩效数量、质量指标全面衡量预算实施效果，既重“绩”，更重“效”。</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2．注重服务对象满意度调查工作，根据部门职责明确服务对象、确定调查范围，采取适当方式全面收集服务对象满意度资料，反映部门服务效果。</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3．注重考核的全面性和客观性，对预设指标之外的项目效果同样纳入考核评价报告。</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之，部门整体绩效考评是一项系统性、全局性的工作，需要领导重视，全员参与，科学考核，注重实效。只有这样，才能不断增强绩效考评的客观性和科学性，切实促进财政资金科学管理和实际绩效水平不断提高。</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九、其他需要说明的情况</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科学合理编制预算，严格执行预算。要按照《预算法》及其实施条例的相关规定，参考上一年的预算执行情况和年度的收支预测、部门重点工作等科学编制预算，避免年中大幅追加以及超预算。同时严格预算执行，提高资金使用效率。                               </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                             </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line="600" w:lineRule="exact"/>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2"/>
        <w:tblW w:w="53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79"/>
        <w:gridCol w:w="710"/>
        <w:gridCol w:w="945"/>
        <w:gridCol w:w="710"/>
        <w:gridCol w:w="2982"/>
        <w:gridCol w:w="3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6"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499"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5"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2</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3</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6"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5</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5</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5</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3</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2</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2</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6"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2</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2</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2</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2</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4</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6"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2</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1</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1</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1</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6"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2</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vAlign w:val="top"/>
          </w:tcPr>
          <w:p>
            <w:pPr>
              <w:tabs>
                <w:tab w:val="left" w:pos="761"/>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2</w:t>
            </w:r>
          </w:p>
        </w:tc>
        <w:tc>
          <w:tcPr>
            <w:tcW w:w="1575"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1</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8</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6"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4</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8</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10</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5</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5</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cs="宋体"/>
                <w:lang w:val="en-US"/>
              </w:rPr>
            </w:pPr>
            <w:r>
              <w:rPr>
                <w:rFonts w:hint="default" w:ascii="宋体" w:cs="宋体"/>
                <w:lang w:val="en-US"/>
              </w:rPr>
              <w:t>5</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6" w:type="pct"/>
            <w:noWrap w:val="0"/>
            <w:vAlign w:val="center"/>
          </w:tcPr>
          <w:p>
            <w:pPr>
              <w:spacing w:line="240" w:lineRule="exact"/>
              <w:rPr>
                <w:rFonts w:ascii="宋体" w:cs="宋体"/>
              </w:rPr>
            </w:pPr>
            <w:r>
              <w:rPr>
                <w:rFonts w:hint="eastAsia" w:ascii="宋体" w:hAnsi="宋体" w:cs="宋体"/>
              </w:rPr>
              <w:t>总分</w:t>
            </w:r>
          </w:p>
        </w:tc>
        <w:tc>
          <w:tcPr>
            <w:tcW w:w="375" w:type="pct"/>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p>
        </w:tc>
        <w:tc>
          <w:tcPr>
            <w:tcW w:w="375" w:type="pct"/>
            <w:noWrap w:val="0"/>
            <w:vAlign w:val="top"/>
          </w:tcPr>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99</w:t>
            </w:r>
          </w:p>
        </w:tc>
        <w:tc>
          <w:tcPr>
            <w:tcW w:w="1575"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ind w:firstLine="643" w:firstLineChars="200"/>
        <w:jc w:val="center"/>
        <w:rPr>
          <w:rFonts w:hint="eastAsia" w:cs="黑体" w:asciiTheme="minorEastAsia" w:hAnsiTheme="minorEastAsia"/>
          <w:b/>
          <w:color w:val="000000"/>
          <w:kern w:val="0"/>
          <w:sz w:val="32"/>
          <w:szCs w:val="32"/>
        </w:rPr>
      </w:pPr>
    </w:p>
    <w:p>
      <w:pPr>
        <w:ind w:firstLine="640" w:firstLineChars="200"/>
        <w:jc w:val="left"/>
        <w:rPr>
          <w:rFonts w:cs="黑体" w:asciiTheme="minorEastAsia" w:hAnsiTheme="minorEastAsia"/>
          <w:color w:val="000000"/>
          <w:kern w:val="0"/>
          <w:sz w:val="32"/>
          <w:szCs w:val="32"/>
        </w:rPr>
      </w:pPr>
    </w:p>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6DC45"/>
    <w:multiLevelType w:val="singleLevel"/>
    <w:tmpl w:val="12D6DC4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49607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2023-06-19T10:45:15Z</dcterms:created>
  <dc:creator>admin-3</dc:creator>
  <cp:lastModifiedBy>admin-3</cp:lastModifiedBy>
  <dcterms:modified xsi:type="dcterms:W3CDTF">2023-06-19T10:45:56Z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4F0E7296488044FCBAF5781D1F9DE531_12</vt:lpwstr>
  </property>
</Properties>
</file>