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333333"/>
          <w:spacing w:val="0"/>
          <w:sz w:val="36"/>
          <w:szCs w:val="36"/>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333333"/>
          <w:spacing w:val="0"/>
          <w:sz w:val="36"/>
          <w:szCs w:val="36"/>
          <w:shd w:val="clear" w:fill="FFFFFF"/>
        </w:rPr>
      </w:pPr>
      <w:r>
        <w:rPr>
          <w:rFonts w:hint="eastAsia" w:ascii="黑体" w:hAnsi="黑体" w:eastAsia="黑体" w:cs="黑体"/>
          <w:b w:val="0"/>
          <w:bCs w:val="0"/>
          <w:i w:val="0"/>
          <w:iCs w:val="0"/>
          <w:caps w:val="0"/>
          <w:color w:val="333333"/>
          <w:spacing w:val="0"/>
          <w:sz w:val="36"/>
          <w:szCs w:val="36"/>
          <w:shd w:val="clear" w:fill="FFFFFF"/>
        </w:rPr>
        <w:t>益阳市赫山区志溪河水利工程事务中心2021年度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jc w:val="center"/>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黑体" w:hAnsi="黑体" w:eastAsia="黑体" w:cs="黑体"/>
          <w:b w:val="0"/>
          <w:bCs w:val="0"/>
          <w:i w:val="0"/>
          <w:iCs w:val="0"/>
          <w:caps w:val="0"/>
          <w:color w:val="333333"/>
          <w:spacing w:val="0"/>
          <w:sz w:val="36"/>
          <w:szCs w:val="36"/>
          <w:shd w:val="clear" w:fill="FFFFFF"/>
        </w:rPr>
        <w:t>部门整体支出绩效评价报告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2022年5月，我单位根据区财政局下发的关于“做好2021年度预算绩效自评工作的通知”(益赫财绩[2022]1号)要求，成立了专门的绩效自评工作小组，真实、客观地对我单位2021年度部门整体支出进行了绩效自评，我单位是从2021年度纳入财政一级预算，现将2021年度部门整体支出绩效评价情况报告如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00" w:firstLineChars="200"/>
        <w:jc w:val="left"/>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kern w:val="0"/>
          <w:sz w:val="30"/>
          <w:szCs w:val="30"/>
          <w:shd w:val="clear" w:fill="FFFFFF"/>
          <w:lang w:val="en-US" w:eastAsia="zh-CN" w:bidi="ar"/>
        </w:rPr>
        <w:t>一、部门基本情况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fill="FFFFFF"/>
          <w:lang w:val="en-US" w:eastAsia="zh-CN" w:bidi="ar"/>
        </w:rPr>
        <w:t>（一）主要职能 </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负责所辖水闸、电站、河道的管理及水资源开发和利用。</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负责志溪河灌区的供水调度，制定志溪河防汛抗灾调度方案并组织实施，保障水利枢纽工程和灌区干渠的运行安全。</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负责志溪河灌区配套改造、新建等工程项目的评估、立项；会同有关部门组织工程建设项目招标；协助有关单位搞好工程项目的勘测设计、质量监理和竣工验收工作。</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4.负责管理志溪河水利工程和灌区国有资产，保护水利工程设施的完整，依法制止和查处破坏水利工程设施设备的行为，承担节水灌溉技术的推广工作。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i w:val="0"/>
          <w:iCs w:val="0"/>
          <w:caps w:val="0"/>
          <w:color w:val="333333"/>
          <w:spacing w:val="0"/>
          <w:kern w:val="0"/>
          <w:sz w:val="30"/>
          <w:szCs w:val="30"/>
          <w:shd w:val="clear" w:fill="FFFFFF"/>
          <w:lang w:val="en-US" w:eastAsia="zh-CN" w:bidi="ar"/>
        </w:rPr>
      </w:pPr>
      <w:r>
        <w:rPr>
          <w:rFonts w:hint="eastAsia" w:ascii="仿宋" w:hAnsi="仿宋" w:eastAsia="仿宋" w:cs="仿宋"/>
          <w:b/>
          <w:bCs/>
          <w:i w:val="0"/>
          <w:iCs w:val="0"/>
          <w:caps w:val="0"/>
          <w:color w:val="333333"/>
          <w:spacing w:val="0"/>
          <w:kern w:val="0"/>
          <w:sz w:val="30"/>
          <w:szCs w:val="30"/>
          <w:shd w:val="clear" w:fill="FFFFFF"/>
          <w:lang w:val="en-US" w:eastAsia="zh-CN" w:bidi="ar"/>
        </w:rPr>
        <w:t>（二）机构设置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益阳市志溪河水利工程事务中心为益阳市赫山区水利局所属副科级公益一类事业单位，</w:t>
      </w:r>
      <w:r>
        <w:rPr>
          <w:rFonts w:hint="eastAsia" w:ascii="仿宋" w:hAnsi="仿宋" w:eastAsia="仿宋" w:cs="仿宋"/>
          <w:sz w:val="30"/>
          <w:szCs w:val="30"/>
          <w:lang w:val="en-US" w:eastAsia="zh-CN"/>
        </w:rPr>
        <w:t>2021年度</w:t>
      </w:r>
      <w:r>
        <w:rPr>
          <w:rFonts w:hint="eastAsia" w:ascii="仿宋" w:hAnsi="仿宋" w:eastAsia="仿宋" w:cs="仿宋"/>
          <w:sz w:val="30"/>
          <w:szCs w:val="30"/>
          <w:lang w:eastAsia="zh-CN"/>
        </w:rPr>
        <w:t>全额拨款事业编制</w:t>
      </w:r>
      <w:r>
        <w:rPr>
          <w:rFonts w:hint="eastAsia" w:ascii="仿宋" w:hAnsi="仿宋" w:eastAsia="仿宋" w:cs="仿宋"/>
          <w:sz w:val="30"/>
          <w:szCs w:val="30"/>
          <w:lang w:val="en-US" w:eastAsia="zh-CN"/>
        </w:rPr>
        <w:t>4人，自收自支事业编制27人，其他人员2人，设主任1名，副主任2名。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right="0" w:firstLine="600" w:firstLineChars="200"/>
        <w:jc w:val="left"/>
        <w:textAlignment w:val="auto"/>
        <w:rPr>
          <w:rFonts w:hint="eastAsia" w:ascii="黑体" w:hAnsi="黑体" w:eastAsia="黑体" w:cs="黑体"/>
          <w:i w:val="0"/>
          <w:iCs w:val="0"/>
          <w:caps w:val="0"/>
          <w:color w:val="333333"/>
          <w:spacing w:val="0"/>
          <w:kern w:val="0"/>
          <w:sz w:val="30"/>
          <w:szCs w:val="30"/>
          <w:shd w:val="clear" w:fill="FFFFFF"/>
          <w:lang w:val="en-US" w:eastAsia="zh-CN" w:bidi="ar"/>
        </w:rPr>
      </w:pPr>
      <w:r>
        <w:rPr>
          <w:rFonts w:hint="eastAsia" w:ascii="黑体" w:hAnsi="黑体" w:eastAsia="黑体" w:cs="黑体"/>
          <w:i w:val="0"/>
          <w:iCs w:val="0"/>
          <w:caps w:val="0"/>
          <w:color w:val="333333"/>
          <w:spacing w:val="0"/>
          <w:kern w:val="0"/>
          <w:sz w:val="30"/>
          <w:szCs w:val="30"/>
          <w:shd w:val="clear" w:fill="FFFFFF"/>
          <w:lang w:val="en-US" w:eastAsia="zh-CN" w:bidi="ar"/>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w:t>
      </w: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auto"/>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支出为</w:t>
      </w:r>
      <w:r>
        <w:rPr>
          <w:rFonts w:hint="eastAsia" w:ascii="仿宋" w:hAnsi="仿宋" w:eastAsia="仿宋" w:cs="仿宋"/>
          <w:color w:val="auto"/>
          <w:sz w:val="30"/>
          <w:szCs w:val="30"/>
          <w:lang w:val="en-US" w:eastAsia="zh-CN"/>
        </w:rPr>
        <w:t>114.04</w:t>
      </w:r>
      <w:r>
        <w:rPr>
          <w:rFonts w:hint="eastAsia" w:ascii="仿宋" w:hAnsi="仿宋" w:eastAsia="仿宋" w:cs="仿宋"/>
          <w:color w:val="auto"/>
          <w:sz w:val="30"/>
          <w:szCs w:val="30"/>
        </w:rPr>
        <w:t>万元，</w:t>
      </w:r>
      <w:r>
        <w:rPr>
          <w:rFonts w:hint="eastAsia" w:ascii="仿宋" w:hAnsi="仿宋" w:eastAsia="仿宋" w:cs="仿宋"/>
          <w:i w:val="0"/>
          <w:caps w:val="0"/>
          <w:color w:val="auto"/>
          <w:spacing w:val="0"/>
          <w:kern w:val="0"/>
          <w:sz w:val="30"/>
          <w:szCs w:val="30"/>
          <w:shd w:val="clear" w:fill="FFFFFF"/>
          <w:lang w:val="en-US" w:eastAsia="zh-CN" w:bidi="ar"/>
        </w:rPr>
        <w:t>其中人员经费支出111.33万元，占基本支出的97.62%；公用经费支出2.71万元,占基本支出的2.38%。</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仿宋" w:hAnsi="仿宋" w:eastAsia="仿宋" w:cs="仿宋"/>
          <w:i w:val="0"/>
          <w:iCs w:val="0"/>
          <w:caps w:val="0"/>
          <w:color w:val="000000"/>
          <w:spacing w:val="0"/>
          <w:sz w:val="30"/>
          <w:szCs w:val="30"/>
          <w:shd w:val="clear" w:fill="FFFFFF"/>
          <w:lang w:val="en-US" w:eastAsia="zh-CN"/>
        </w:rPr>
      </w:pPr>
      <w:r>
        <w:rPr>
          <w:rFonts w:hint="eastAsia" w:ascii="仿宋" w:hAnsi="仿宋" w:eastAsia="仿宋" w:cs="仿宋"/>
          <w:i w:val="0"/>
          <w:iCs w:val="0"/>
          <w:caps w:val="0"/>
          <w:color w:val="000000"/>
          <w:spacing w:val="0"/>
          <w:sz w:val="30"/>
          <w:szCs w:val="30"/>
          <w:shd w:val="clear" w:fill="FFFFFF"/>
          <w:lang w:eastAsia="zh-CN"/>
        </w:rPr>
        <w:t>我单位</w:t>
      </w:r>
      <w:r>
        <w:rPr>
          <w:rFonts w:hint="eastAsia" w:ascii="仿宋" w:hAnsi="仿宋" w:eastAsia="仿宋" w:cs="仿宋"/>
          <w:i w:val="0"/>
          <w:iCs w:val="0"/>
          <w:caps w:val="0"/>
          <w:color w:val="000000"/>
          <w:spacing w:val="0"/>
          <w:sz w:val="30"/>
          <w:szCs w:val="30"/>
          <w:shd w:val="clear" w:fill="FFFFFF"/>
        </w:rPr>
        <w:t>严格按照《财务管理制度》等各项内部控制制度执行财务管理，资金使用按照会审程序办理，资金支出执行区财政国库集中支付制度,会计核算严格按照政府会计准则执行，确保了资金支出的规范化、合理化、制度化。全年预算资金按规定管理使用，较好的完成了全年预算目标任务。</w:t>
      </w:r>
      <w:r>
        <w:rPr>
          <w:rFonts w:hint="eastAsia" w:ascii="仿宋" w:hAnsi="仿宋" w:eastAsia="仿宋" w:cs="仿宋"/>
          <w:i w:val="0"/>
          <w:iCs w:val="0"/>
          <w:caps w:val="0"/>
          <w:color w:val="000000"/>
          <w:spacing w:val="0"/>
          <w:sz w:val="30"/>
          <w:szCs w:val="30"/>
          <w:shd w:val="clear" w:fill="FFFFFF"/>
          <w:lang w:val="en-US" w:eastAsia="zh-CN"/>
        </w:rPr>
        <w:t xml:space="preserve"> </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kern w:val="0"/>
          <w:sz w:val="30"/>
          <w:szCs w:val="30"/>
          <w:shd w:val="clear" w:fill="FFFFFF"/>
          <w:lang w:val="en-US" w:eastAsia="zh-CN" w:bidi="ar"/>
        </w:rPr>
        <w:t>三、政府性基金预算支出情况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本单位无政府性基金预算支出</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黑体" w:hAnsi="黑体" w:eastAsia="黑体" w:cs="黑体"/>
          <w:i w:val="0"/>
          <w:iCs w:val="0"/>
          <w:caps w:val="0"/>
          <w:color w:val="333333"/>
          <w:spacing w:val="0"/>
          <w:kern w:val="0"/>
          <w:sz w:val="30"/>
          <w:szCs w:val="30"/>
          <w:shd w:val="clear" w:fill="FFFFFF"/>
          <w:lang w:val="en-US" w:eastAsia="zh-CN" w:bidi="ar"/>
        </w:rPr>
      </w:pPr>
      <w:r>
        <w:rPr>
          <w:rFonts w:hint="eastAsia" w:ascii="黑体" w:hAnsi="黑体" w:eastAsia="黑体" w:cs="黑体"/>
          <w:i w:val="0"/>
          <w:iCs w:val="0"/>
          <w:caps w:val="0"/>
          <w:color w:val="333333"/>
          <w:spacing w:val="0"/>
          <w:kern w:val="0"/>
          <w:sz w:val="30"/>
          <w:szCs w:val="30"/>
          <w:shd w:val="clear" w:fill="FFFFFF"/>
          <w:lang w:val="en-US" w:eastAsia="zh-CN" w:bidi="ar"/>
        </w:rPr>
        <w:t>四、国有资本经营预算支出情况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本单位无国有资本经营预算支出</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黑体" w:hAnsi="黑体" w:eastAsia="黑体" w:cs="黑体"/>
          <w:i w:val="0"/>
          <w:iCs w:val="0"/>
          <w:caps w:val="0"/>
          <w:color w:val="333333"/>
          <w:spacing w:val="0"/>
          <w:kern w:val="0"/>
          <w:sz w:val="30"/>
          <w:szCs w:val="30"/>
          <w:shd w:val="clear" w:fill="FFFFFF"/>
          <w:lang w:val="en-US" w:eastAsia="zh-CN" w:bidi="ar"/>
        </w:rPr>
      </w:pPr>
      <w:r>
        <w:rPr>
          <w:rFonts w:hint="eastAsia" w:ascii="黑体" w:hAnsi="黑体" w:eastAsia="黑体" w:cs="黑体"/>
          <w:i w:val="0"/>
          <w:iCs w:val="0"/>
          <w:caps w:val="0"/>
          <w:color w:val="333333"/>
          <w:spacing w:val="0"/>
          <w:kern w:val="0"/>
          <w:sz w:val="30"/>
          <w:szCs w:val="30"/>
          <w:shd w:val="clear" w:fill="FFFFFF"/>
          <w:lang w:val="en-US" w:eastAsia="zh-CN" w:bidi="ar"/>
        </w:rPr>
        <w:t>五、社会保险基金预算支出情况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本单位的社会保险基金预算支出纳入了工资福利支出，无其他相关支出。</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黑体" w:hAnsi="黑体" w:eastAsia="黑体" w:cs="黑体"/>
          <w:i w:val="0"/>
          <w:iCs w:val="0"/>
          <w:caps w:val="0"/>
          <w:color w:val="333333"/>
          <w:spacing w:val="0"/>
          <w:kern w:val="0"/>
          <w:sz w:val="30"/>
          <w:szCs w:val="30"/>
          <w:shd w:val="clear" w:fill="FFFFFF"/>
          <w:lang w:val="en-US" w:eastAsia="zh-CN" w:bidi="ar"/>
        </w:rPr>
      </w:pPr>
      <w:r>
        <w:rPr>
          <w:rFonts w:hint="eastAsia" w:ascii="黑体" w:hAnsi="黑体" w:eastAsia="黑体" w:cs="黑体"/>
          <w:i w:val="0"/>
          <w:iCs w:val="0"/>
          <w:caps w:val="0"/>
          <w:color w:val="333333"/>
          <w:spacing w:val="0"/>
          <w:kern w:val="0"/>
          <w:sz w:val="30"/>
          <w:szCs w:val="30"/>
          <w:shd w:val="clear" w:fill="FFFFFF"/>
          <w:lang w:val="en-US" w:eastAsia="zh-CN" w:bidi="ar"/>
        </w:rPr>
        <w:t>六、部门整体支出绩效情况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在上级业务主管部门的领导下，本单位2021年所有支出严格按照国家财经法规、预算资金管理办法、财务管理制度的规定，遵循先预算、再审批、后支出的原则，保证资金的合理使用。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本单位的整体支出绩效情况如下：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一是保障了单位有效运转。干部职工待遇严格按政策文件进行，严格按照厉行节约的要求，量入为出，合理配置，提高保障能力。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二是强化了资产管理。严格按照行政事业单位资产管理系统进行登记、核销和管理，做到账账、账证、账实相符，基本无闲置浪费现象。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三是严格控制了“三公”经费。“三公”经费支出按照年初预算执行。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四是加强了预决算管理。建立健全了单位《财务管理制度》内部管理制度，按照区财政统一部署公开了部门预决算，建立单位评价监督机制，对预决算管理中发现的问题及时整改。</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五是完成了年度工作任务。全面进行了水闸日常维修维护确保水闸安全运行。共开展维修深孔门2处，修复防护栏360米；维修水闸闸门14张；保养水闸启闭设施4处等。小水电生态流量监测工作顺利完成年度任务，迎检省、市、区检查4次。电站日常维护工作开展良好，全体干职工及时维修保养水轮机及各发电设备，使设备达到最佳运行状态。本单位干职工上下一心，科学调度，及时排查处险，扎实做好了防汛抗旱各项工作。根据天气、雨情、水情精准研判，统筹调度10处水闸对志溪河水位进行科学控制，确保了沿线5个乡镇街道的防洪保安和灌溉用水。落实安全生产工作，始终坚守安全底线，确保了全年无1例安全生产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我单位能够按照国家的法律法规加强预算管理，不断完善内控制度，财务管理和会计基础工作日益完善，取得了较好的预算执行效果。</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黑体" w:hAnsi="黑体" w:eastAsia="黑体" w:cs="黑体"/>
          <w:i w:val="0"/>
          <w:iCs w:val="0"/>
          <w:caps w:val="0"/>
          <w:color w:val="333333"/>
          <w:spacing w:val="0"/>
          <w:kern w:val="0"/>
          <w:sz w:val="30"/>
          <w:szCs w:val="30"/>
          <w:shd w:val="clear" w:fill="FFFFFF"/>
          <w:lang w:val="en-US" w:eastAsia="zh-CN" w:bidi="ar"/>
        </w:rPr>
      </w:pPr>
      <w:r>
        <w:rPr>
          <w:rFonts w:hint="eastAsia" w:ascii="黑体" w:hAnsi="黑体" w:eastAsia="黑体" w:cs="黑体"/>
          <w:i w:val="0"/>
          <w:iCs w:val="0"/>
          <w:caps w:val="0"/>
          <w:color w:val="333333"/>
          <w:spacing w:val="0"/>
          <w:kern w:val="0"/>
          <w:sz w:val="30"/>
          <w:szCs w:val="30"/>
          <w:shd w:val="clear" w:fill="FFFFFF"/>
          <w:lang w:val="en-US" w:eastAsia="zh-CN" w:bidi="ar"/>
        </w:rPr>
        <w:t>七、存在的主要问题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由于我单位自收自支人员较多，经费缺口较大，建议增加部分人员经费。</w:t>
      </w:r>
    </w:p>
    <w:p>
      <w:pPr>
        <w:keepNext w:val="0"/>
        <w:keepLines w:val="0"/>
        <w:pageBreakBefore w:val="0"/>
        <w:widowControl/>
        <w:suppressLineNumbers w:val="0"/>
        <w:kinsoku/>
        <w:wordWrap/>
        <w:overflowPunct/>
        <w:topLinePunct w:val="0"/>
        <w:bidi w:val="0"/>
        <w:snapToGrid/>
        <w:spacing w:line="600" w:lineRule="exact"/>
        <w:ind w:firstLine="600" w:firstLineChars="200"/>
        <w:jc w:val="left"/>
        <w:textAlignment w:val="auto"/>
        <w:rPr>
          <w:rFonts w:hint="eastAsia" w:ascii="黑体" w:hAnsi="黑体" w:eastAsia="黑体" w:cs="黑体"/>
          <w:i w:val="0"/>
          <w:iCs w:val="0"/>
          <w:caps w:val="0"/>
          <w:color w:val="333333"/>
          <w:spacing w:val="0"/>
          <w:kern w:val="0"/>
          <w:sz w:val="30"/>
          <w:szCs w:val="30"/>
          <w:shd w:val="clear" w:fill="FFFFFF"/>
          <w:lang w:val="en-US" w:eastAsia="zh-CN" w:bidi="ar"/>
        </w:rPr>
      </w:pPr>
      <w:r>
        <w:rPr>
          <w:rFonts w:hint="eastAsia" w:ascii="黑体" w:hAnsi="黑体" w:eastAsia="黑体" w:cs="黑体"/>
          <w:i w:val="0"/>
          <w:iCs w:val="0"/>
          <w:caps w:val="0"/>
          <w:color w:val="333333"/>
          <w:spacing w:val="0"/>
          <w:kern w:val="0"/>
          <w:sz w:val="30"/>
          <w:szCs w:val="30"/>
          <w:shd w:val="clear" w:fill="FFFFFF"/>
          <w:lang w:val="en-US" w:eastAsia="zh-CN" w:bidi="ar"/>
        </w:rPr>
        <w:t>八、下一步改进措施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进一步加强财务人员的业务能力水平，充实扩大财务力量。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附件：2021年度部门整体支出绩效自评指标计分表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jc w:val="both"/>
        <w:textAlignment w:val="auto"/>
        <w:rPr>
          <w:rFonts w:hint="eastAsia" w:ascii="仿宋" w:hAnsi="仿宋" w:eastAsia="仿宋" w:cs="仿宋"/>
          <w:sz w:val="30"/>
          <w:szCs w:val="30"/>
        </w:rPr>
      </w:pPr>
      <w:bookmarkStart w:id="0" w:name="_GoBack"/>
      <w:bookmarkEnd w:id="0"/>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黑体" w:hAnsi="黑体" w:eastAsia="黑体" w:cs="黑体"/>
          <w:sz w:val="36"/>
          <w:szCs w:val="36"/>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hint="eastAsia" w:ascii="宋体" w:hAnsi="宋体" w:eastAsia="宋体" w:cs="宋体"/>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bidi w:val="0"/>
              <w:rPr>
                <w:rFonts w:ascii="Times New Roman" w:hAnsi="Times New Roman" w:eastAsia="宋体" w:cs="Times New Roman"/>
                <w:kern w:val="2"/>
                <w:sz w:val="21"/>
                <w:szCs w:val="24"/>
                <w:lang w:val="en-US" w:eastAsia="zh-CN" w:bidi="ar-SA"/>
              </w:rPr>
            </w:pPr>
          </w:p>
          <w:p>
            <w:pPr>
              <w:bidi w:val="0"/>
              <w:ind w:firstLine="210" w:firstLineChars="100"/>
              <w:jc w:val="left"/>
              <w:rPr>
                <w:rFonts w:hint="default"/>
                <w:lang w:val="en-US" w:eastAsia="zh-CN"/>
              </w:rPr>
            </w:pPr>
            <w:r>
              <w:rPr>
                <w:rFonts w:hint="eastAsia"/>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right="105" w:rightChars="50"/>
              <w:rPr>
                <w:rFonts w:hint="eastAsia" w:ascii="宋体" w:cs="宋体"/>
                <w:lang w:val="en-US" w:eastAsia="zh-CN"/>
              </w:rPr>
            </w:pPr>
            <w:r>
              <w:rPr>
                <w:rFonts w:hint="eastAsia" w:ascii="宋体" w:cs="宋体"/>
                <w:lang w:val="en-US" w:eastAsia="zh-CN"/>
              </w:rPr>
              <w:t xml:space="preserve">  </w:t>
            </w:r>
          </w:p>
          <w:p>
            <w:pPr>
              <w:tabs>
                <w:tab w:val="left" w:pos="2604"/>
              </w:tabs>
              <w:spacing w:line="240" w:lineRule="exact"/>
              <w:ind w:right="105" w:rightChars="50"/>
              <w:rPr>
                <w:rFonts w:hint="eastAsia" w:ascii="宋体" w:cs="宋体"/>
                <w:lang w:val="en-US" w:eastAsia="zh-CN"/>
              </w:rPr>
            </w:pPr>
          </w:p>
          <w:p>
            <w:pPr>
              <w:tabs>
                <w:tab w:val="left" w:pos="2604"/>
              </w:tabs>
              <w:spacing w:line="240" w:lineRule="exact"/>
              <w:ind w:right="105" w:rightChars="50"/>
              <w:rPr>
                <w:rFonts w:hint="eastAsia" w:ascii="宋体" w:cs="宋体"/>
                <w:lang w:val="en-US" w:eastAsia="zh-CN"/>
              </w:rPr>
            </w:pPr>
          </w:p>
          <w:p>
            <w:pPr>
              <w:tabs>
                <w:tab w:val="left" w:pos="2604"/>
              </w:tabs>
              <w:spacing w:line="240" w:lineRule="exact"/>
              <w:ind w:right="105" w:rightChars="50"/>
              <w:rPr>
                <w:rFonts w:hint="eastAsia" w:ascii="宋体" w:cs="宋体"/>
                <w:lang w:val="en-US" w:eastAsia="zh-CN"/>
              </w:rPr>
            </w:pPr>
          </w:p>
          <w:p>
            <w:pPr>
              <w:tabs>
                <w:tab w:val="left" w:pos="2604"/>
              </w:tabs>
              <w:spacing w:line="240" w:lineRule="exact"/>
              <w:ind w:right="105" w:rightChars="50"/>
              <w:rPr>
                <w:rFonts w:hint="default" w:ascii="宋体" w:cs="宋体"/>
                <w:lang w:val="en-US" w:eastAsia="zh-CN"/>
              </w:rPr>
            </w:pPr>
            <w:r>
              <w:rPr>
                <w:rFonts w:hint="eastAsia" w:ascii="宋体" w:cs="宋体"/>
                <w:lang w:val="en-US" w:eastAsia="zh-CN"/>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bidi w:val="0"/>
              <w:jc w:val="left"/>
              <w:rPr>
                <w:rFonts w:hint="default"/>
                <w:lang w:val="en-US" w:eastAsia="zh-CN"/>
              </w:rPr>
            </w:pPr>
          </w:p>
          <w:p>
            <w:pPr>
              <w:bidi w:val="0"/>
              <w:jc w:val="left"/>
              <w:rPr>
                <w:rFonts w:hint="default"/>
                <w:lang w:val="en-US" w:eastAsia="zh-CN"/>
              </w:rPr>
            </w:pPr>
            <w:r>
              <w:rPr>
                <w:rFonts w:hint="eastAsia"/>
                <w:lang w:val="en-US" w:eastAsia="zh-CN"/>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 xml:space="preserve">2    </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6</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0"/>
        <w:jc w:val="left"/>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EA510C"/>
    <w:multiLevelType w:val="singleLevel"/>
    <w:tmpl w:val="66EA51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F2F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2023-06-27T08:04:25Z</dcterms:created>
  <dc:creator>admin-3</dc:creator>
  <cp:lastModifiedBy>admin-3</cp:lastModifiedBy>
  <dcterms:modified xsi:type="dcterms:W3CDTF">2023-06-27T08:04:59Z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261FF7E2B0464F40AD97C25B0130F270_12</vt:lpwstr>
  </property>
</Properties>
</file>