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202</w:t>
      </w:r>
      <w:r>
        <w:rPr>
          <w:rFonts w:hint="eastAsia" w:ascii="方正小标宋_GBK" w:hAnsi="方正小标宋_GBK" w:eastAsia="方正小标宋_GBK" w:cs="方正小标宋_GBK"/>
          <w:sz w:val="84"/>
          <w:szCs w:val="84"/>
          <w:lang w:val="en-US" w:eastAsia="zh-CN"/>
        </w:rPr>
        <w:t>2</w:t>
      </w:r>
      <w:r>
        <w:rPr>
          <w:rFonts w:hint="eastAsia" w:ascii="方正小标宋_GBK" w:hAnsi="方正小标宋_GBK" w:eastAsia="方正小标宋_GBK" w:cs="方正小标宋_GBK"/>
          <w:sz w:val="84"/>
          <w:szCs w:val="84"/>
        </w:rPr>
        <w:t>年度</w:t>
      </w: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益阳市赫山区科学技术局</w:t>
      </w:r>
      <w:r>
        <w:rPr>
          <w:rFonts w:hint="eastAsia" w:ascii="方正小标宋_GBK" w:hAnsi="方正小标宋_GBK" w:eastAsia="方正小标宋_GBK" w:cs="方正小标宋_GBK"/>
          <w:sz w:val="84"/>
          <w:szCs w:val="84"/>
        </w:rPr>
        <w:t>部门决算</w:t>
      </w:r>
    </w:p>
    <w:p>
      <w:pPr>
        <w:pStyle w:val="10"/>
        <w:jc w:val="center"/>
        <w:rPr>
          <w:rFonts w:hint="eastAsia" w:ascii="方正小标宋_GBK" w:hAnsi="方正小标宋_GBK" w:eastAsia="方正小标宋_GBK" w:cs="方正小标宋_GBK"/>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32"/>
          <w:szCs w:val="32"/>
        </w:rPr>
      </w:pPr>
    </w:p>
    <w:p>
      <w:pPr>
        <w:pStyle w:val="10"/>
        <w:jc w:val="center"/>
        <w:rPr>
          <w:sz w:val="32"/>
          <w:szCs w:val="32"/>
        </w:rPr>
      </w:pPr>
    </w:p>
    <w:p>
      <w:pPr>
        <w:pStyle w:val="10"/>
        <w:jc w:val="center"/>
        <w:rPr>
          <w:sz w:val="32"/>
          <w:szCs w:val="32"/>
        </w:rPr>
      </w:pPr>
    </w:p>
    <w:p>
      <w:pPr>
        <w:pStyle w:val="10"/>
        <w:spacing w:line="500" w:lineRule="exact"/>
        <w:jc w:val="center"/>
        <w:rPr>
          <w:b/>
          <w:sz w:val="36"/>
          <w:szCs w:val="28"/>
        </w:rPr>
      </w:pPr>
      <w:r>
        <w:rPr>
          <w:rFonts w:hint="eastAsia"/>
          <w:b/>
          <w:sz w:val="36"/>
          <w:szCs w:val="28"/>
        </w:rPr>
        <w:t>目录</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益阳市赫山区科学技术局</w:t>
      </w:r>
      <w:r>
        <w:rPr>
          <w:rFonts w:hint="eastAsia" w:ascii="黑体" w:hAnsi="黑体" w:eastAsia="黑体" w:cs="黑体"/>
          <w:b w:val="0"/>
          <w:bCs/>
          <w:sz w:val="28"/>
          <w:szCs w:val="28"/>
        </w:rPr>
        <w:t>概况</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益阳市赫山区科学技术局</w:t>
      </w:r>
      <w:r>
        <w:rPr>
          <w:rFonts w:hint="eastAsia" w:ascii="黑体" w:hAnsi="黑体" w:eastAsia="黑体" w:cs="黑体"/>
          <w:b w:val="0"/>
          <w:bCs/>
          <w:sz w:val="28"/>
          <w:szCs w:val="28"/>
        </w:rPr>
        <w:t>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益阳市赫山区科学技术局</w:t>
      </w:r>
      <w:r>
        <w:rPr>
          <w:rFonts w:hint="eastAsia" w:ascii="黑体" w:hAnsi="黑体" w:eastAsia="黑体" w:cs="黑体"/>
          <w:b w:val="0"/>
          <w:bCs/>
          <w:sz w:val="28"/>
          <w:szCs w:val="28"/>
        </w:rPr>
        <w:t>决算情况说明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0"/>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0"/>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 xml:space="preserve">第一部分 </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益阳市赫山区科学技术局</w:t>
      </w:r>
      <w:r>
        <w:rPr>
          <w:rFonts w:hint="eastAsia" w:ascii="方正小标宋_GBK" w:hAnsi="方正小标宋_GBK" w:eastAsia="方正小标宋_GBK" w:cs="方正小标宋_GBK"/>
          <w:sz w:val="84"/>
          <w:szCs w:val="84"/>
        </w:rPr>
        <w:t>概况</w:t>
      </w:r>
    </w:p>
    <w:p>
      <w:pPr>
        <w:jc w:val="center"/>
        <w:rPr>
          <w:rFonts w:hint="eastAsia" w:ascii="方正小标宋_GBK" w:hAnsi="方正小标宋_GBK" w:eastAsia="方正小标宋_GBK" w:cs="方正小标宋_GBK"/>
          <w:sz w:val="72"/>
          <w:szCs w:val="72"/>
        </w:rPr>
      </w:pPr>
    </w:p>
    <w:p>
      <w:pPr>
        <w:jc w:val="center"/>
        <w:rPr>
          <w:rFonts w:hint="eastAsia" w:ascii="方正小标宋_GBK" w:hAnsi="方正小标宋_GBK" w:eastAsia="方正小标宋_GBK" w:cs="方正小标宋_GBK"/>
          <w:sz w:val="72"/>
          <w:szCs w:val="72"/>
        </w:rPr>
      </w:pPr>
    </w:p>
    <w:p>
      <w:pPr>
        <w:pStyle w:val="2"/>
        <w:rPr>
          <w:rFonts w:hint="eastAsia"/>
        </w:rPr>
      </w:pPr>
    </w:p>
    <w:p>
      <w:pPr>
        <w:jc w:val="center"/>
        <w:rPr>
          <w:sz w:val="72"/>
          <w:szCs w:val="72"/>
        </w:rPr>
      </w:pPr>
    </w:p>
    <w:p>
      <w:pPr>
        <w:pStyle w:val="11"/>
        <w:numPr>
          <w:ilvl w:val="0"/>
          <w:numId w:val="1"/>
        </w:numPr>
        <w:ind w:firstLineChars="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部门职责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1、贯彻创新驱动发展战略和创新引领开放崛起战略，拟定全区科技发展、引进国外及国内智力规划和政策并组织实施；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2、统筹推进全区创新体系建设和科技体制改革，会同有关部门健全技术创新激励机制；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3、牵头建立统一的区级科技项目管理平台和科研项目资金协调、评估、监管机制；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4、协调区级基础研究和应用基础研究，研究提出重大任务并监督实施；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5、编制区级科技项目计划并监督实施，统筹关键共性技术、前沿引领技术、现代工程技术、颠覆性技术研发和创新，牵头组织重大技术攻关和成果应用示范；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6、组织拟订高新技术发展及产业化、科技促进农业农村和社会发展的规划、政策和措施；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7、牵头区级技术转移体系，拟订科技成果转移转化和促进产学研结合的相关政策措施并监督实施；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8、统筹区域科技创新体系建设，指导区域创新发展、科技资源合理布局和协同创新能力建设，推动科技园区建设；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9、负责科技监督评价体系建设和相关科技评估管理，指导科技评价体制改革，统筹科研诚信建设；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10、拟订科技对外交往和创新能力开发合作的规划、政策和措施，组织开展国际和区域科技合作与科技人才交流；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11、负责引进国外和国内智力工作；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12、会同有关部门拟定科技人才队伍建设规划和政策，建立健全科技人才评价和激励机制，组织实施科技人才计划，推动高端科技创新人才队伍建设；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13、负责科学技术奖的推荐工作；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14、完成区委、区政府交办的其他任务。</w:t>
      </w:r>
    </w:p>
    <w:p>
      <w:pPr>
        <w:widowControl/>
        <w:spacing w:line="600" w:lineRule="exact"/>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二、机构设置及决算单位构成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(一)内设机构设置。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益阳市赫山区科技局单位共设三个内设机构，分别为：办公室、计划技术与成果股、农社发展与人才股。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（二）决算单位构成。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益阳市赫山区科技局2022年部门决算汇总公开单位构成只包含局机关本级决算。</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rPr>
        <w:t>第二部分</w:t>
      </w:r>
    </w:p>
    <w:p>
      <w:pPr>
        <w:pStyle w:val="10"/>
        <w:jc w:val="center"/>
        <w:rPr>
          <w:rFonts w:hint="eastAsia" w:ascii="方正小标宋_GBK" w:hAnsi="方正小标宋_GBK" w:eastAsia="方正小标宋_GBK" w:cs="方正小标宋_GBK"/>
          <w:sz w:val="84"/>
          <w:szCs w:val="84"/>
        </w:rPr>
      </w:pPr>
    </w:p>
    <w:p>
      <w:pPr>
        <w:pStyle w:val="10"/>
        <w:jc w:val="center"/>
        <w:rPr>
          <w:rFonts w:hint="eastAsia" w:ascii="方正小标宋_GBK" w:hAnsi="方正小标宋_GBK" w:eastAsia="方正小标宋_GBK" w:cs="方正小标宋_GBK"/>
          <w:sz w:val="84"/>
          <w:szCs w:val="84"/>
        </w:rPr>
      </w:pPr>
      <w:r>
        <w:rPr>
          <w:rFonts w:hint="eastAsia" w:ascii="方正小标宋_GBK" w:hAnsi="方正小标宋_GBK" w:eastAsia="方正小标宋_GBK" w:cs="方正小标宋_GBK"/>
          <w:sz w:val="84"/>
          <w:szCs w:val="84"/>
          <w:lang w:val="en-US" w:eastAsia="zh-CN"/>
        </w:rPr>
        <w:t>益阳市赫山区科学技术局</w:t>
      </w:r>
      <w:r>
        <w:rPr>
          <w:rFonts w:hint="eastAsia" w:ascii="方正小标宋_GBK" w:hAnsi="方正小标宋_GBK" w:eastAsia="方正小标宋_GBK" w:cs="方正小标宋_GBK"/>
          <w:sz w:val="84"/>
          <w:szCs w:val="84"/>
        </w:rPr>
        <w:t>决算表</w:t>
      </w:r>
    </w:p>
    <w:p>
      <w:pPr>
        <w:jc w:val="center"/>
        <w:rPr>
          <w:sz w:val="72"/>
          <w:szCs w:val="72"/>
        </w:rPr>
      </w:pPr>
    </w:p>
    <w:p>
      <w:pPr>
        <w:jc w:val="center"/>
        <w:rPr>
          <w:sz w:val="72"/>
          <w:szCs w:val="72"/>
        </w:rPr>
      </w:pPr>
    </w:p>
    <w:p>
      <w:pPr>
        <w:pStyle w:val="2"/>
        <w:rPr>
          <w:sz w:val="72"/>
          <w:szCs w:val="72"/>
        </w:rPr>
      </w:pPr>
    </w:p>
    <w:p>
      <w:pPr>
        <w:rPr>
          <w:sz w:val="72"/>
          <w:szCs w:val="72"/>
        </w:rPr>
      </w:pPr>
    </w:p>
    <w:p>
      <w:pPr>
        <w:pStyle w:val="2"/>
        <w:rPr>
          <w:sz w:val="72"/>
          <w:szCs w:val="72"/>
        </w:rPr>
      </w:pPr>
    </w:p>
    <w:p/>
    <w:p>
      <w:pPr>
        <w:jc w:val="both"/>
        <w:rPr>
          <w:sz w:val="22"/>
          <w:szCs w:val="22"/>
        </w:rPr>
      </w:pPr>
    </w:p>
    <w:p>
      <w:pPr>
        <w:pStyle w:val="2"/>
        <w:rPr>
          <w:sz w:val="22"/>
          <w:szCs w:val="22"/>
        </w:rPr>
      </w:pPr>
    </w:p>
    <w:tbl>
      <w:tblPr>
        <w:tblStyle w:val="6"/>
        <w:tblW w:w="1084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607"/>
        <w:gridCol w:w="713"/>
        <w:gridCol w:w="943"/>
        <w:gridCol w:w="3081"/>
        <w:gridCol w:w="859"/>
        <w:gridCol w:w="1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84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607"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607"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4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8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63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6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5577"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13"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9"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6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081"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37"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60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1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308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840" w:type="dxa"/>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jc w:val="both"/>
        <w:rPr>
          <w:sz w:val="22"/>
          <w:szCs w:val="22"/>
        </w:rPr>
      </w:pPr>
    </w:p>
    <w:p>
      <w:pPr>
        <w:jc w:val="both"/>
        <w:rPr>
          <w:sz w:val="22"/>
          <w:szCs w:val="22"/>
        </w:rPr>
      </w:pPr>
    </w:p>
    <w:tbl>
      <w:tblPr>
        <w:tblStyle w:val="6"/>
        <w:tblW w:w="1106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2"/>
        <w:gridCol w:w="693"/>
        <w:gridCol w:w="240"/>
        <w:gridCol w:w="2198"/>
        <w:gridCol w:w="476"/>
        <w:gridCol w:w="460"/>
        <w:gridCol w:w="476"/>
        <w:gridCol w:w="475"/>
        <w:gridCol w:w="476"/>
        <w:gridCol w:w="293"/>
        <w:gridCol w:w="476"/>
        <w:gridCol w:w="298"/>
        <w:gridCol w:w="476"/>
        <w:gridCol w:w="277"/>
        <w:gridCol w:w="476"/>
        <w:gridCol w:w="451"/>
        <w:gridCol w:w="813"/>
        <w:gridCol w:w="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84" w:hRule="atLeast"/>
        </w:trPr>
        <w:tc>
          <w:tcPr>
            <w:tcW w:w="10586" w:type="dxa"/>
            <w:gridSpan w:val="1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53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7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36"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1"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69"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7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264" w:hRule="atLeast"/>
        </w:trPr>
        <w:tc>
          <w:tcPr>
            <w:tcW w:w="7319" w:type="dxa"/>
            <w:gridSpan w:val="10"/>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774"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5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40" w:type="dxa"/>
            <w:gridSpan w:val="3"/>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466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36"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951"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769"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774"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75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927"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81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131" w:type="dxa"/>
            <w:gridSpan w:val="3"/>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9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1" w:type="dxa"/>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131" w:type="dxa"/>
            <w:gridSpan w:val="3"/>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36"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1"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69"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74"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5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27"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466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36"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1"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69"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74"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53"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27" w:type="dxa"/>
            <w:gridSpan w:val="2"/>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81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466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165.14</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165.14</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bookmarkStart w:id="0" w:name="_GoBack"/>
            <w:bookmarkEnd w:id="0"/>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6" w:type="dxa"/>
          <w:trHeight w:val="308" w:hRule="atLeast"/>
        </w:trPr>
        <w:tc>
          <w:tcPr>
            <w:tcW w:w="1532"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3131" w:type="dxa"/>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76" w:type="dxa"/>
          <w:trHeight w:val="308" w:hRule="atLeast"/>
        </w:trPr>
        <w:tc>
          <w:tcPr>
            <w:tcW w:w="4663"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936"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951"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769"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74"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75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27"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81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0586"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476" w:type="dxa"/>
          <w:trHeight w:val="308" w:hRule="atLeast"/>
        </w:trPr>
        <w:tc>
          <w:tcPr>
            <w:tcW w:w="10586" w:type="dxa"/>
            <w:gridSpan w:val="1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r>
    </w:tbl>
    <w:p>
      <w:pPr>
        <w:jc w:val="both"/>
        <w:rPr>
          <w:sz w:val="22"/>
          <w:szCs w:val="2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p>
    <w:tbl>
      <w:tblPr>
        <w:tblStyle w:val="6"/>
        <w:tblW w:w="107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29"/>
        <w:gridCol w:w="328"/>
        <w:gridCol w:w="329"/>
        <w:gridCol w:w="3676"/>
        <w:gridCol w:w="1124"/>
        <w:gridCol w:w="1124"/>
        <w:gridCol w:w="1124"/>
        <w:gridCol w:w="993"/>
        <w:gridCol w:w="993"/>
        <w:gridCol w:w="10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1076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1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0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97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0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62"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96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962"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0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3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10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0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178.34</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393.67</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393.67</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165.14</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行政事业单位医疗</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361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1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10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pStyle w:val="10"/>
        <w:rPr>
          <w:sz w:val="22"/>
          <w:szCs w:val="22"/>
        </w:rPr>
      </w:pPr>
    </w:p>
    <w:p>
      <w:pPr>
        <w:pStyle w:val="10"/>
        <w:rPr>
          <w:sz w:val="72"/>
          <w:szCs w:val="72"/>
        </w:rPr>
      </w:pPr>
    </w:p>
    <w:p>
      <w:pPr>
        <w:pStyle w:val="10"/>
        <w:rPr>
          <w:sz w:val="72"/>
          <w:szCs w:val="72"/>
        </w:rPr>
      </w:pPr>
    </w:p>
    <w:p>
      <w:pPr>
        <w:pStyle w:val="10"/>
        <w:rPr>
          <w:sz w:val="72"/>
          <w:szCs w:val="72"/>
        </w:rPr>
      </w:pPr>
    </w:p>
    <w:p>
      <w:pPr>
        <w:pStyle w:val="10"/>
        <w:rPr>
          <w:sz w:val="72"/>
          <w:szCs w:val="72"/>
        </w:rPr>
      </w:pPr>
    </w:p>
    <w:p>
      <w:pPr>
        <w:pStyle w:val="10"/>
        <w:rPr>
          <w:sz w:val="72"/>
          <w:szCs w:val="72"/>
        </w:rPr>
      </w:pPr>
    </w:p>
    <w:tbl>
      <w:tblPr>
        <w:tblStyle w:val="6"/>
        <w:tblW w:w="1058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1"/>
        <w:gridCol w:w="606"/>
        <w:gridCol w:w="960"/>
        <w:gridCol w:w="1278"/>
        <w:gridCol w:w="720"/>
        <w:gridCol w:w="978"/>
        <w:gridCol w:w="1266"/>
        <w:gridCol w:w="1512"/>
        <w:gridCol w:w="15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84" w:hRule="atLeast"/>
        </w:trPr>
        <w:tc>
          <w:tcPr>
            <w:tcW w:w="10586"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1741"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60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6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585"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72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6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037"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07"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7279"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741"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0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27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7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97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6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15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15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741"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7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7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26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06"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6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720" w:type="dxa"/>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9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26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5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52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96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9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9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278"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9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6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741"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0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27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72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2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572.01</w:t>
            </w:r>
          </w:p>
        </w:tc>
        <w:tc>
          <w:tcPr>
            <w:tcW w:w="15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5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061"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1525"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10"/>
        <w:rPr>
          <w:sz w:val="22"/>
          <w:szCs w:val="22"/>
        </w:rPr>
      </w:pPr>
    </w:p>
    <w:tbl>
      <w:tblPr>
        <w:tblStyle w:val="6"/>
        <w:tblW w:w="981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29"/>
        <w:gridCol w:w="329"/>
        <w:gridCol w:w="329"/>
        <w:gridCol w:w="3958"/>
        <w:gridCol w:w="1356"/>
        <w:gridCol w:w="1704"/>
        <w:gridCol w:w="18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814"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2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5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4945" w:type="dxa"/>
            <w:gridSpan w:val="4"/>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135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13"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4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869"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3958"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70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58"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5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4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5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7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4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572.01</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178.34</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393.67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545.53</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科学技术管理事务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165.14</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151.86</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2060199</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其他科学技术管理事务支出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科技条件与服务</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2060599</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其他科技条件与服务支出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科技奖励</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12.11</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14.37</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9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70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18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14"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pStyle w:val="10"/>
        <w:jc w:val="both"/>
        <w:rPr>
          <w:sz w:val="22"/>
          <w:szCs w:val="2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22"/>
          <w:szCs w:val="22"/>
        </w:rPr>
      </w:pPr>
    </w:p>
    <w:tbl>
      <w:tblPr>
        <w:tblStyle w:val="6"/>
        <w:tblW w:w="1058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25"/>
        <w:gridCol w:w="1584"/>
        <w:gridCol w:w="884"/>
        <w:gridCol w:w="844"/>
        <w:gridCol w:w="1507"/>
        <w:gridCol w:w="893"/>
        <w:gridCol w:w="804"/>
        <w:gridCol w:w="2136"/>
        <w:gridCol w:w="10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586"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925"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15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07"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744" w:type="dxa"/>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89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0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145"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9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7193"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58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8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4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507"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93"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804"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213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0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8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4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07"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93"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04"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136"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124.23</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50.76</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60.26</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15.42</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0.82</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11.79</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8.96</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14.37</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4.55</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3.15</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50.76</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80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213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2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8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150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804"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2136"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100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509"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88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127.58</w:t>
            </w:r>
          </w:p>
        </w:tc>
        <w:tc>
          <w:tcPr>
            <w:tcW w:w="6184" w:type="dxa"/>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10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50.76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586" w:type="dxa"/>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1022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36"/>
        <w:gridCol w:w="236"/>
        <w:gridCol w:w="644"/>
        <w:gridCol w:w="1709"/>
        <w:gridCol w:w="1448"/>
        <w:gridCol w:w="1342"/>
        <w:gridCol w:w="842"/>
        <w:gridCol w:w="1296"/>
        <w:gridCol w:w="1164"/>
        <w:gridCol w:w="1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0225"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3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3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70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615" w:type="dxa"/>
            <w:gridSpan w:val="6"/>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84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2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72"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2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4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4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30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30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709"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2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16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09"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4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4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2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6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0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2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4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3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4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29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30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25"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116"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709"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84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29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6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3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225"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9913"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016"/>
        <w:gridCol w:w="222"/>
        <w:gridCol w:w="222"/>
        <w:gridCol w:w="1461"/>
        <w:gridCol w:w="1428"/>
        <w:gridCol w:w="1584"/>
        <w:gridCol w:w="19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91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0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6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2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56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30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3333" w:type="dxa"/>
            <w:gridSpan w:val="4"/>
            <w:tcBorders>
              <w:top w:val="nil"/>
              <w:left w:val="nil"/>
              <w:bottom w:val="nil"/>
              <w:right w:val="nil"/>
            </w:tcBorders>
            <w:shd w:val="clear" w:color="auto" w:fill="auto"/>
            <w:noWrap/>
            <w:vAlign w:val="bottom"/>
          </w:tcPr>
          <w:p>
            <w:pPr>
              <w:jc w:val="left"/>
              <w:rPr>
                <w:rFonts w:hint="default" w:ascii="Arial" w:hAnsi="Arial" w:cs="Arial"/>
                <w:i w:val="0"/>
                <w:iCs w:val="0"/>
                <w:color w:val="000000"/>
                <w:sz w:val="20"/>
                <w:szCs w:val="20"/>
                <w:u w:val="none"/>
              </w:rPr>
            </w:pPr>
          </w:p>
        </w:tc>
        <w:tc>
          <w:tcPr>
            <w:tcW w:w="3564" w:type="dxa"/>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21"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992"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46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8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9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61"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4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84"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9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2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8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98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921"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460"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61"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42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58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9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13"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pStyle w:val="10"/>
        <w:jc w:val="both"/>
        <w:rPr>
          <w:rFonts w:hint="eastAsia" w:ascii="方正小标宋_GBK" w:hAnsi="方正小标宋_GBK" w:eastAsia="方正小标宋_GBK" w:cs="方正小标宋_GBK"/>
          <w:sz w:val="22"/>
          <w:szCs w:val="22"/>
        </w:rPr>
      </w:pPr>
    </w:p>
    <w:p>
      <w:pPr>
        <w:pStyle w:val="10"/>
        <w:jc w:val="both"/>
        <w:rPr>
          <w:rFonts w:hint="eastAsia" w:ascii="方正小标宋_GBK" w:hAnsi="方正小标宋_GBK" w:eastAsia="方正小标宋_GBK" w:cs="方正小标宋_GBK"/>
          <w:sz w:val="22"/>
          <w:szCs w:val="22"/>
        </w:rPr>
      </w:pPr>
    </w:p>
    <w:tbl>
      <w:tblPr>
        <w:tblStyle w:val="6"/>
        <w:tblW w:w="107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87"/>
        <w:gridCol w:w="1076"/>
        <w:gridCol w:w="656"/>
        <w:gridCol w:w="996"/>
        <w:gridCol w:w="1138"/>
        <w:gridCol w:w="710"/>
        <w:gridCol w:w="656"/>
        <w:gridCol w:w="1088"/>
        <w:gridCol w:w="664"/>
        <w:gridCol w:w="1111"/>
        <w:gridCol w:w="1111"/>
        <w:gridCol w:w="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1070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0" w:type="auto"/>
            <w:gridSpan w:val="5"/>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部门：益阳市赫山区科学技术局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5289"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411"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68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7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1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71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63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886"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80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6" w:hRule="atLeast"/>
        </w:trPr>
        <w:tc>
          <w:tcPr>
            <w:tcW w:w="68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7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9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71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3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80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68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07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6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1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6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0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66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11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80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1070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pStyle w:val="10"/>
        <w:jc w:val="both"/>
        <w:rPr>
          <w:rFonts w:hint="eastAsia" w:ascii="方正小标宋_GBK" w:hAnsi="方正小标宋_GBK" w:eastAsia="方正小标宋_GBK" w:cs="方正小标宋_GBK"/>
          <w:sz w:val="22"/>
          <w:szCs w:val="22"/>
        </w:rPr>
      </w:pPr>
    </w:p>
    <w:p>
      <w:pPr>
        <w:jc w:val="left"/>
        <w:rPr>
          <w:rFonts w:asciiTheme="minorEastAsia" w:hAnsiTheme="minorEastAsia"/>
          <w:sz w:val="32"/>
          <w:szCs w:val="32"/>
        </w:rPr>
        <w:sectPr>
          <w:pgSz w:w="11906" w:h="16838"/>
          <w:pgMar w:top="720" w:right="720" w:bottom="720" w:left="663" w:header="851" w:footer="992" w:gutter="0"/>
          <w:paperSrc/>
          <w:cols w:space="0" w:num="1"/>
          <w:rtlGutter w:val="0"/>
          <w:docGrid w:type="lines" w:linePitch="312" w:charSpace="0"/>
        </w:sectPr>
      </w:pPr>
    </w:p>
    <w:p>
      <w:pPr>
        <w:pStyle w:val="10"/>
        <w:rPr>
          <w:sz w:val="72"/>
          <w:szCs w:val="72"/>
        </w:rPr>
      </w:pPr>
    </w:p>
    <w:p>
      <w:pPr>
        <w:pStyle w:val="10"/>
        <w:jc w:val="center"/>
        <w:rPr>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t>第三部分</w:t>
      </w:r>
    </w:p>
    <w:p>
      <w:pPr>
        <w:pStyle w:val="10"/>
        <w:jc w:val="center"/>
        <w:rPr>
          <w:rFonts w:hint="eastAsia" w:ascii="方正小标宋_GBK" w:hAnsi="方正小标宋_GBK" w:eastAsia="方正小标宋_GBK" w:cs="方正小标宋_GBK"/>
          <w:sz w:val="84"/>
          <w:szCs w:val="84"/>
          <w:lang w:val="en-US" w:eastAsia="zh-CN"/>
        </w:rPr>
      </w:pPr>
    </w:p>
    <w:p>
      <w:pPr>
        <w:pStyle w:val="10"/>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t>益阳市赫山区科学技术局决算情况说明</w:t>
      </w:r>
    </w:p>
    <w:p>
      <w:pPr>
        <w:pStyle w:val="10"/>
        <w:jc w:val="center"/>
        <w:rPr>
          <w:rFonts w:hint="eastAsia" w:ascii="方正小标宋_GBK" w:hAnsi="方正小标宋_GBK" w:eastAsia="方正小标宋_GBK" w:cs="方正小标宋_GBK"/>
          <w:sz w:val="84"/>
          <w:szCs w:val="84"/>
          <w:lang w:val="en-US" w:eastAsia="zh-CN"/>
        </w:rPr>
      </w:pPr>
      <w:r>
        <w:rPr>
          <w:rFonts w:hint="eastAsia" w:ascii="方正小标宋_GBK" w:hAnsi="方正小标宋_GBK" w:eastAsia="方正小标宋_GBK" w:cs="方正小标宋_GBK"/>
          <w:sz w:val="84"/>
          <w:szCs w:val="84"/>
          <w:lang w:val="en-US" w:eastAsia="zh-CN"/>
        </w:rPr>
        <w:br w:type="page"/>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w:t>
      </w:r>
      <w:r>
        <w:rPr>
          <w:rFonts w:hint="eastAsia" w:ascii="Times New Roman" w:hAnsi="Times New Roman" w:eastAsia="仿宋_GB2312"/>
          <w:sz w:val="32"/>
          <w:szCs w:val="32"/>
          <w:lang w:val="en-US" w:eastAsia="zh-CN"/>
        </w:rPr>
        <w:t>1144.02</w:t>
      </w:r>
      <w:r>
        <w:rPr>
          <w:rFonts w:hint="eastAsia" w:ascii="Times New Roman" w:hAnsi="Times New Roman" w:eastAsia="仿宋_GB2312"/>
          <w:sz w:val="32"/>
          <w:szCs w:val="32"/>
        </w:rPr>
        <w:t>万元。与上年相比，减少</w:t>
      </w:r>
      <w:r>
        <w:rPr>
          <w:rFonts w:hint="eastAsia" w:ascii="Times New Roman" w:hAnsi="Times New Roman" w:eastAsia="仿宋_GB2312"/>
          <w:sz w:val="32"/>
          <w:szCs w:val="32"/>
          <w:lang w:val="en-US" w:eastAsia="zh-CN"/>
        </w:rPr>
        <w:t>241.52</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17.43</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人员经费支出减少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万元，其中：财政拨款收入</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val="en-US" w:eastAsia="zh-CN"/>
        </w:rPr>
        <w:t>178.34</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31.18</w:t>
      </w:r>
      <w:r>
        <w:rPr>
          <w:rFonts w:hint="eastAsia" w:ascii="Times New Roman" w:hAnsi="Times New Roman" w:eastAsia="仿宋_GB2312"/>
          <w:sz w:val="32"/>
          <w:szCs w:val="32"/>
        </w:rPr>
        <w:t>%；项目支出</w:t>
      </w:r>
      <w:r>
        <w:rPr>
          <w:rFonts w:hint="eastAsia" w:ascii="Times New Roman" w:hAnsi="Times New Roman" w:eastAsia="仿宋_GB2312"/>
          <w:sz w:val="32"/>
          <w:szCs w:val="32"/>
          <w:lang w:val="en-US" w:eastAsia="zh-CN"/>
        </w:rPr>
        <w:t>393.67</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68.82</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0"/>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w:t>
      </w:r>
      <w:r>
        <w:rPr>
          <w:rFonts w:hint="eastAsia" w:ascii="Times New Roman" w:hAnsi="Times New Roman" w:eastAsia="仿宋_GB2312"/>
          <w:sz w:val="32"/>
          <w:szCs w:val="32"/>
          <w:lang w:val="en-US" w:eastAsia="zh-CN"/>
        </w:rPr>
        <w:t>1144.02</w:t>
      </w:r>
      <w:r>
        <w:rPr>
          <w:rFonts w:hint="eastAsia" w:ascii="Times New Roman" w:hAnsi="Times New Roman" w:eastAsia="仿宋_GB2312"/>
          <w:sz w:val="32"/>
          <w:szCs w:val="32"/>
        </w:rPr>
        <w:t>万元，与上年相比，</w:t>
      </w:r>
      <w:r>
        <w:rPr>
          <w:rFonts w:hint="eastAsia" w:ascii="Times New Roman" w:hAnsi="Times New Roman" w:eastAsia="仿宋_GB2312"/>
          <w:sz w:val="32"/>
          <w:szCs w:val="32"/>
          <w:lang w:val="en-US" w:eastAsia="zh-CN"/>
        </w:rPr>
        <w:t>减少125.78</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下降9.91</w:t>
      </w:r>
      <w:r>
        <w:rPr>
          <w:rFonts w:hint="eastAsia" w:ascii="Times New Roman" w:hAnsi="Times New Roman" w:eastAsia="仿宋_GB2312"/>
          <w:sz w:val="32"/>
          <w:szCs w:val="32"/>
        </w:rPr>
        <w:t>%，主要是</w:t>
      </w:r>
      <w:r>
        <w:rPr>
          <w:rFonts w:hint="eastAsia" w:ascii="Times New Roman" w:hAnsi="Times New Roman" w:eastAsia="仿宋_GB2312"/>
          <w:sz w:val="32"/>
          <w:szCs w:val="32"/>
          <w:lang w:val="en-US" w:eastAsia="zh-CN"/>
        </w:rPr>
        <w:t>因为人员经费支出减少。</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万元，占本年支出合计的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%，与上年相比，财政拨款支出</w:t>
      </w:r>
      <w:r>
        <w:rPr>
          <w:rFonts w:hint="eastAsia" w:ascii="Times New Roman" w:hAnsi="Times New Roman" w:eastAsia="仿宋_GB2312"/>
          <w:sz w:val="32"/>
          <w:szCs w:val="32"/>
          <w:lang w:val="en-US" w:eastAsia="zh-CN"/>
        </w:rPr>
        <w:t>减少62.89</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下降9.91</w:t>
      </w:r>
      <w:r>
        <w:rPr>
          <w:rFonts w:hint="eastAsia" w:ascii="Times New Roman" w:hAnsi="Times New Roman" w:eastAsia="仿宋_GB2312"/>
          <w:sz w:val="32"/>
          <w:szCs w:val="32"/>
        </w:rPr>
        <w:t>%，主要是</w:t>
      </w:r>
      <w:r>
        <w:rPr>
          <w:rFonts w:hint="eastAsia" w:ascii="Times New Roman" w:hAnsi="Times New Roman" w:eastAsia="仿宋_GB2312"/>
          <w:sz w:val="32"/>
          <w:szCs w:val="32"/>
          <w:lang w:val="en-US" w:eastAsia="zh-CN"/>
        </w:rPr>
        <w:t>因为人员支出经费减少</w:t>
      </w:r>
    </w:p>
    <w:p>
      <w:pPr>
        <w:pStyle w:val="10"/>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万元，主要用于以下方面：</w:t>
      </w:r>
      <w:r>
        <w:rPr>
          <w:rFonts w:hint="eastAsia" w:ascii="Times New Roman" w:hAnsi="Times New Roman" w:eastAsia="仿宋_GB2312"/>
          <w:sz w:val="32"/>
          <w:szCs w:val="32"/>
          <w:lang w:val="en-US" w:eastAsia="zh-CN"/>
        </w:rPr>
        <w:t>科学技术支出545.53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95.37</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社会保障和就业</w:t>
      </w:r>
      <w:r>
        <w:rPr>
          <w:rFonts w:hint="eastAsia" w:ascii="Times New Roman" w:hAnsi="Times New Roman" w:eastAsia="仿宋_GB2312"/>
          <w:sz w:val="32"/>
          <w:szCs w:val="32"/>
        </w:rPr>
        <w:t>支出</w:t>
      </w:r>
      <w:r>
        <w:rPr>
          <w:rFonts w:hint="eastAsia" w:ascii="Times New Roman" w:hAnsi="Times New Roman" w:eastAsia="仿宋_GB2312"/>
          <w:sz w:val="32"/>
          <w:szCs w:val="32"/>
          <w:lang w:val="en-US" w:eastAsia="zh-CN"/>
        </w:rPr>
        <w:t>12.11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2.12</w:t>
      </w:r>
      <w:r>
        <w:rPr>
          <w:rFonts w:hint="eastAsia" w:ascii="Times New Roman" w:hAnsi="Times New Roman" w:eastAsia="仿宋_GB2312"/>
          <w:sz w:val="32"/>
          <w:szCs w:val="32"/>
        </w:rPr>
        <w:t>%;</w:t>
      </w:r>
      <w:r>
        <w:rPr>
          <w:rFonts w:hint="eastAsia" w:ascii="Times New Roman" w:hAnsi="Times New Roman" w:eastAsia="仿宋_GB2312"/>
          <w:sz w:val="32"/>
          <w:szCs w:val="32"/>
          <w:lang w:val="en-US" w:eastAsia="zh-CN"/>
        </w:rPr>
        <w:t>卫生健康支出14.37万元，占2.51%。</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143.09</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572.01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4373.17</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1、</w:t>
      </w:r>
      <w:r>
        <w:rPr>
          <w:rFonts w:hint="eastAsia" w:ascii="Times New Roman" w:hAnsi="Times New Roman" w:eastAsia="仿宋_GB2312"/>
          <w:sz w:val="32"/>
          <w:szCs w:val="32"/>
          <w:lang w:val="en-US" w:eastAsia="zh-CN"/>
        </w:rPr>
        <w:t>科学技术支出</w:t>
      </w:r>
      <w:r>
        <w:rPr>
          <w:rFonts w:hint="eastAsia" w:ascii="Times New Roman" w:hAnsi="Times New Roman" w:eastAsia="仿宋_GB2312"/>
          <w:sz w:val="32"/>
          <w:szCs w:val="32"/>
        </w:rPr>
        <w:t>（类）</w:t>
      </w:r>
      <w:r>
        <w:rPr>
          <w:rFonts w:hint="eastAsia" w:ascii="Times New Roman" w:hAnsi="Times New Roman" w:eastAsia="仿宋_GB2312"/>
          <w:sz w:val="32"/>
          <w:szCs w:val="32"/>
          <w:lang w:val="en-US" w:eastAsia="zh-CN"/>
        </w:rPr>
        <w:t>科学技术管理事务</w:t>
      </w:r>
      <w:r>
        <w:rPr>
          <w:rFonts w:hint="eastAsia" w:ascii="Times New Roman" w:hAnsi="Times New Roman" w:eastAsia="仿宋_GB2312"/>
          <w:sz w:val="32"/>
          <w:szCs w:val="32"/>
        </w:rPr>
        <w:t>（款）</w:t>
      </w:r>
      <w:r>
        <w:rPr>
          <w:rFonts w:hint="eastAsia" w:ascii="Times New Roman" w:hAnsi="Times New Roman" w:eastAsia="仿宋_GB2312"/>
          <w:sz w:val="32"/>
          <w:szCs w:val="32"/>
          <w:lang w:val="en-US" w:eastAsia="zh-CN"/>
        </w:rPr>
        <w:t>行政运行支出</w:t>
      </w:r>
      <w:r>
        <w:rPr>
          <w:rFonts w:hint="eastAsia" w:ascii="Times New Roman" w:hAnsi="Times New Roman" w:eastAsia="仿宋_GB2312"/>
          <w:sz w:val="32"/>
          <w:szCs w:val="32"/>
        </w:rPr>
        <w:t>（项）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119.76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545.53</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455.52</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val="en-US" w:eastAsia="zh-CN"/>
        </w:rPr>
        <w:t>追加了2021年度第六、九批创新型省份建设专项资金项目支出210.00万元，科技创新奖励项目支出165.00万元，2020年度科技创新科技行政主管部门奖励经费5.00万元等；</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2、社会保障和就业支出（类）行政事业单位养老支出（款）机关事业单位基本养老保险缴费支出（项）。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8.96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12.11</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135.16</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大于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val="en-US" w:eastAsia="zh-CN"/>
        </w:rPr>
        <w:t>的主要原因是增加了死亡抚恤金3.15万元。</w:t>
      </w:r>
    </w:p>
    <w:p>
      <w:pPr>
        <w:pStyle w:val="10"/>
        <w:keepNext w:val="0"/>
        <w:keepLines w:val="0"/>
        <w:pageBreakBefore w:val="0"/>
        <w:widowControl w:val="0"/>
        <w:numPr>
          <w:ilvl w:val="0"/>
          <w:numId w:val="2"/>
        </w:numPr>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卫生健康支出（类）行政事业单位医疗（款）行政单位医疗（项）。</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14.37</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14.37</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年初预算数</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178.34</w:t>
      </w:r>
      <w:r>
        <w:rPr>
          <w:rFonts w:hint="eastAsia" w:ascii="Times New Roman" w:hAnsi="Times New Roman" w:eastAsia="仿宋_GB2312"/>
          <w:sz w:val="32"/>
          <w:szCs w:val="32"/>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val="en-US"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lang w:val="en-US" w:eastAsia="zh-CN"/>
        </w:rPr>
        <w:t>127.58</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71.54</w:t>
      </w:r>
      <w:r>
        <w:rPr>
          <w:rFonts w:hint="eastAsia" w:ascii="Times New Roman" w:hAnsi="Times New Roman" w:eastAsia="仿宋_GB2312"/>
          <w:sz w:val="32"/>
          <w:szCs w:val="32"/>
        </w:rPr>
        <w:t>%,主要包括</w:t>
      </w:r>
      <w:r>
        <w:rPr>
          <w:rFonts w:hint="eastAsia" w:ascii="仿宋" w:hAnsi="仿宋" w:eastAsia="仿宋" w:cs="仿宋"/>
          <w:sz w:val="32"/>
          <w:szCs w:val="32"/>
          <w:lang w:val="en-US" w:eastAsia="zh-CN"/>
        </w:rPr>
        <w:t>主要包括基本工资、津贴补贴、奖金、伙食补助费、绩效工资、机关事业单位基本养老保险缴费、职业年金缴费、职工基本医疗保险缴费、住房公积金、医疗费、其他工资福利支出、抚恤金、生活补助、其他对个人和家庭的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b/>
          <w:sz w:val="32"/>
          <w:szCs w:val="32"/>
        </w:rPr>
      </w:pPr>
      <w:r>
        <w:rPr>
          <w:rFonts w:hint="eastAsia" w:ascii="仿宋" w:hAnsi="仿宋" w:eastAsia="仿宋" w:cs="仿宋"/>
          <w:b/>
          <w:bCs/>
          <w:sz w:val="32"/>
          <w:szCs w:val="32"/>
          <w:lang w:val="en-US" w:eastAsia="zh-CN"/>
        </w:rPr>
        <w:t>公用经费</w:t>
      </w:r>
      <w:r>
        <w:rPr>
          <w:rFonts w:hint="eastAsia" w:ascii="仿宋" w:hAnsi="仿宋" w:eastAsia="仿宋" w:cs="仿宋"/>
          <w:sz w:val="32"/>
          <w:szCs w:val="32"/>
          <w:lang w:val="en-US" w:eastAsia="zh-CN"/>
        </w:rPr>
        <w:t>50.76万元，</w:t>
      </w:r>
      <w:r>
        <w:rPr>
          <w:rFonts w:hint="eastAsia" w:ascii="Times New Roman" w:hAnsi="Times New Roman" w:eastAsia="仿宋_GB2312"/>
          <w:sz w:val="32"/>
          <w:szCs w:val="32"/>
        </w:rPr>
        <w:t>占基本支出的</w:t>
      </w:r>
      <w:r>
        <w:rPr>
          <w:rFonts w:hint="eastAsia" w:ascii="Times New Roman" w:hAnsi="Times New Roman" w:eastAsia="仿宋_GB2312"/>
          <w:sz w:val="32"/>
          <w:szCs w:val="32"/>
          <w:lang w:val="en-US" w:eastAsia="zh-CN"/>
        </w:rPr>
        <w:t>,28.46</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r>
        <w:rPr>
          <w:rFonts w:hint="eastAsia" w:ascii="仿宋" w:hAnsi="仿宋" w:eastAsia="仿宋" w:cs="仿宋"/>
          <w:sz w:val="32"/>
          <w:szCs w:val="32"/>
          <w:lang w:val="en-US" w:eastAsia="zh-CN"/>
        </w:rPr>
        <w:t>主要包括办公费、印刷费、咨询费、水费、电费、差旅费、维修（护）费、租赁费、会议费、培训费、公务接待费、劳务费、委托业务费、工会经费、福利费、其他交通费用、其他商品和服务支出。</w:t>
      </w:r>
    </w:p>
    <w:p>
      <w:pPr>
        <w:pStyle w:val="10"/>
        <w:keepNext w:val="0"/>
        <w:keepLines w:val="0"/>
        <w:pageBreakBefore w:val="0"/>
        <w:widowControl w:val="0"/>
        <w:numPr>
          <w:ilvl w:val="0"/>
          <w:numId w:val="3"/>
        </w:numPr>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财政拨款三公经费支出决算情况说明</w:t>
      </w:r>
    </w:p>
    <w:p>
      <w:pPr>
        <w:pStyle w:val="10"/>
        <w:keepNext w:val="0"/>
        <w:keepLines w:val="0"/>
        <w:pageBreakBefore w:val="0"/>
        <w:widowControl w:val="0"/>
        <w:numPr>
          <w:ilvl w:val="0"/>
          <w:numId w:val="0"/>
        </w:numPr>
        <w:kinsoku/>
        <w:wordWrap/>
        <w:overflowPunct/>
        <w:topLinePunct w:val="0"/>
        <w:bidi w:val="0"/>
        <w:snapToGrid/>
        <w:spacing w:line="600" w:lineRule="exact"/>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无因公出国（境）费支出预算与决算。</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0.10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0.10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%，决算数</w:t>
      </w:r>
      <w:r>
        <w:rPr>
          <w:rFonts w:hint="eastAsia" w:ascii="Times New Roman" w:hAnsi="Times New Roman" w:eastAsia="仿宋_GB2312"/>
          <w:sz w:val="32"/>
          <w:szCs w:val="32"/>
          <w:lang w:val="en-US" w:eastAsia="zh-CN"/>
        </w:rPr>
        <w:t>等于</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0.90</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90</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val="en-US" w:eastAsia="zh-CN"/>
        </w:rPr>
        <w:t>紧缩开支，开源节流</w:t>
      </w:r>
      <w:r>
        <w:rPr>
          <w:rFonts w:hint="eastAsia" w:ascii="Times New Roman" w:hAns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无公务用车购置费及运行维护费支出预算与预算。 </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val="en-US"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5</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val="en-US" w:eastAsia="zh-CN"/>
        </w:rPr>
        <w:t>进行科技创新交流</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无</w:t>
      </w:r>
      <w:r>
        <w:rPr>
          <w:rFonts w:hint="eastAsia" w:ascii="Times New Roman" w:hAnsi="Times New Roman" w:eastAsia="仿宋_GB2312"/>
          <w:sz w:val="32"/>
          <w:szCs w:val="32"/>
        </w:rPr>
        <w:t>政府性基金预算财政拨款收入</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50.76</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比上年决算数增加</w:t>
      </w:r>
      <w:r>
        <w:rPr>
          <w:rFonts w:hint="eastAsia" w:ascii="Times New Roman" w:hAnsi="Times New Roman" w:eastAsia="仿宋_GB2312"/>
          <w:sz w:val="32"/>
          <w:szCs w:val="32"/>
          <w:lang w:val="en-US" w:eastAsia="zh-CN"/>
        </w:rPr>
        <w:t>0.92</w:t>
      </w:r>
      <w:r>
        <w:rPr>
          <w:rFonts w:hint="eastAsia" w:ascii="Times New Roman" w:hAnsi="Times New Roman" w:eastAsia="仿宋_GB2312"/>
          <w:sz w:val="32"/>
          <w:szCs w:val="32"/>
        </w:rPr>
        <w:t xml:space="preserve"> 万元，增长</w:t>
      </w:r>
      <w:r>
        <w:rPr>
          <w:rFonts w:hint="eastAsia" w:ascii="Times New Roman" w:hAnsi="Times New Roman" w:eastAsia="仿宋_GB2312"/>
          <w:sz w:val="32"/>
          <w:szCs w:val="32"/>
          <w:lang w:val="en-US" w:eastAsia="zh-CN"/>
        </w:rPr>
        <w:t>1.83</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val="en-US" w:eastAsia="zh-CN"/>
        </w:rPr>
        <w:t>公用经费增加</w:t>
      </w:r>
      <w:r>
        <w:rPr>
          <w:rFonts w:hint="eastAsia" w:ascii="Times New Roman" w:hAnsi="Times New Roman" w:eastAsia="仿宋_GB2312"/>
          <w:sz w:val="32"/>
          <w:szCs w:val="32"/>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val="en-US" w:eastAsia="zh-CN"/>
        </w:rPr>
        <w:t>科技创新交流</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主要为创新及技术交流</w:t>
      </w:r>
      <w:r>
        <w:rPr>
          <w:rFonts w:hint="eastAsia" w:ascii="Times New Roman" w:hAnsi="Times New Roman" w:eastAsia="仿宋_GB2312"/>
          <w:sz w:val="32"/>
          <w:szCs w:val="32"/>
        </w:rPr>
        <w:t>；开支培训费</w:t>
      </w:r>
      <w:r>
        <w:rPr>
          <w:rFonts w:hint="eastAsia" w:ascii="Times New Roman" w:hAnsi="Times New Roman" w:eastAsia="仿宋_GB2312"/>
          <w:sz w:val="32"/>
          <w:szCs w:val="32"/>
          <w:lang w:val="en-US" w:eastAsia="zh-CN"/>
        </w:rPr>
        <w:t>0.1</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val="en-US" w:eastAsia="zh-CN"/>
        </w:rPr>
        <w:t>科技技术创新</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val="en-US" w:eastAsia="zh-CN"/>
        </w:rPr>
        <w:t>培训创新技术人才</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w:t>
      </w:r>
      <w:r>
        <w:rPr>
          <w:rFonts w:hint="eastAsia" w:ascii="Times New Roman" w:hAnsi="Times New Roman" w:eastAsia="仿宋_GB2312"/>
          <w:sz w:val="32"/>
          <w:szCs w:val="32"/>
          <w:lang w:val="en-US" w:eastAsia="zh-CN"/>
        </w:rPr>
        <w:t>无</w:t>
      </w:r>
      <w:r>
        <w:rPr>
          <w:rFonts w:hint="eastAsia" w:ascii="Times New Roman" w:hAnsi="Times New Roman" w:eastAsia="仿宋_GB2312"/>
          <w:sz w:val="32"/>
          <w:szCs w:val="32"/>
        </w:rPr>
        <w:t>政府采购支出</w:t>
      </w:r>
      <w:r>
        <w:rPr>
          <w:rFonts w:hint="eastAsia" w:ascii="Times New Roman" w:hAnsi="Times New Roman" w:eastAsia="仿宋_GB2312"/>
          <w:sz w:val="32"/>
          <w:szCs w:val="32"/>
          <w:lang w:eastAsia="zh-CN"/>
        </w:rPr>
        <w:t>。</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仿宋" w:hAnsi="仿宋" w:eastAsia="仿宋" w:cs="仿宋"/>
          <w:sz w:val="32"/>
          <w:szCs w:val="32"/>
          <w:lang w:val="en-US" w:eastAsia="zh-CN"/>
        </w:rPr>
        <w:t>本单位年末无车辆。年末无单价50万元以上通用设备，年末无单价100万元以上通用设备。</w:t>
      </w:r>
    </w:p>
    <w:p>
      <w:pPr>
        <w:pStyle w:val="10"/>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pStyle w:val="16"/>
        <w:keepNext w:val="0"/>
        <w:keepLines w:val="0"/>
        <w:pageBreakBefore w:val="0"/>
        <w:widowControl/>
        <w:numPr>
          <w:ilvl w:val="0"/>
          <w:numId w:val="0"/>
        </w:numPr>
        <w:kinsoku/>
        <w:wordWrap/>
        <w:overflowPunct/>
        <w:topLinePunct w:val="0"/>
        <w:autoSpaceDE/>
        <w:autoSpaceDN/>
        <w:bidi w:val="0"/>
        <w:adjustRightInd/>
        <w:snapToGrid/>
        <w:spacing w:line="360" w:lineRule="auto"/>
        <w:ind w:left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（一）绩效目标及完成情况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default"/>
          <w:lang w:val="en-US"/>
        </w:rPr>
      </w:pPr>
      <w:r>
        <w:rPr>
          <w:rFonts w:hint="eastAsia" w:ascii="仿宋_GB2312" w:hAnsi="宋体" w:eastAsia="仿宋_GB2312" w:cs="仿宋_GB2312"/>
          <w:i w:val="0"/>
          <w:iCs w:val="0"/>
          <w:caps w:val="0"/>
          <w:color w:val="212121"/>
          <w:spacing w:val="0"/>
          <w:kern w:val="2"/>
          <w:sz w:val="32"/>
          <w:szCs w:val="32"/>
          <w:shd w:val="clear" w:fill="FFFFFF"/>
          <w:lang w:val="en-US" w:eastAsia="zh-CN" w:bidi="ar-SA"/>
        </w:rPr>
        <w:t>2022年，我单位对照各项绩效指标，较好地完成了各项工作。主要从以下几个方面体现：</w:t>
      </w:r>
    </w:p>
    <w:p>
      <w:pPr>
        <w:keepNext w:val="0"/>
        <w:keepLines w:val="0"/>
        <w:pageBreakBefore w:val="0"/>
        <w:kinsoku/>
        <w:wordWrap/>
        <w:overflowPunct/>
        <w:topLinePunct w:val="0"/>
        <w:autoSpaceDE/>
        <w:autoSpaceDN/>
        <w:bidi w:val="0"/>
        <w:adjustRightInd/>
        <w:snapToGrid/>
        <w:spacing w:line="360" w:lineRule="auto"/>
        <w:ind w:firstLine="640" w:firstLineChars="200"/>
        <w:jc w:val="both"/>
        <w:textAlignment w:val="auto"/>
        <w:rPr>
          <w:rFonts w:hint="default" w:asci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1.资产管理情况</w:t>
      </w:r>
      <w:r>
        <w:rPr>
          <w:rFonts w:hint="eastAsia" w:ascii="仿宋_GB2312" w:eastAsia="仿宋_GB2312" w:cs="仿宋_GB2312"/>
          <w:color w:val="auto"/>
          <w:sz w:val="32"/>
          <w:szCs w:val="32"/>
          <w:lang w:val="en-US" w:eastAsia="zh-CN"/>
        </w:rPr>
        <w:t>：</w:t>
      </w:r>
      <w:r>
        <w:rPr>
          <w:rFonts w:hint="eastAsia" w:ascii="仿宋_GB2312" w:eastAsia="仿宋_GB2312"/>
          <w:sz w:val="32"/>
          <w:szCs w:val="32"/>
          <w:lang w:val="en-US" w:eastAsia="zh-CN"/>
        </w:rPr>
        <w:t>2022年度，我单位配置固定资产</w:t>
      </w:r>
      <w:r>
        <w:rPr>
          <w:rFonts w:hint="eastAsia" w:ascii="仿宋_GB2312" w:eastAsia="仿宋_GB2312"/>
          <w:sz w:val="32"/>
          <w:szCs w:val="32"/>
          <w:highlight w:val="none"/>
          <w:lang w:val="en-US" w:eastAsia="zh-CN"/>
        </w:rPr>
        <w:t>0.34万元，主要为配置通用设备0.22万元和家具0.12万元，全</w:t>
      </w:r>
      <w:r>
        <w:rPr>
          <w:rFonts w:hint="eastAsia" w:ascii="仿宋_GB2312" w:eastAsia="仿宋_GB2312" w:cs="仿宋_GB2312"/>
          <w:color w:val="auto"/>
          <w:sz w:val="32"/>
          <w:szCs w:val="32"/>
          <w:highlight w:val="none"/>
          <w:lang w:val="en-US" w:eastAsia="zh-CN"/>
        </w:rPr>
        <w:t>年资产管理状况良好，报废固定资产1.04万元，全部为通用设备。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cs="仿宋_GB2312"/>
          <w:color w:val="auto"/>
          <w:sz w:val="32"/>
          <w:szCs w:val="32"/>
          <w:highlight w:val="none"/>
          <w:lang w:val="en-US" w:eastAsia="zh-CN"/>
        </w:rPr>
      </w:pPr>
      <w:r>
        <w:rPr>
          <w:rFonts w:hint="eastAsia" w:ascii="楷体" w:hAnsi="楷体" w:eastAsia="楷体" w:cs="楷体"/>
          <w:color w:val="auto"/>
          <w:sz w:val="32"/>
          <w:szCs w:val="32"/>
          <w:lang w:val="en-US" w:eastAsia="zh-CN"/>
        </w:rPr>
        <w:t>2.三公经费控制情况</w:t>
      </w:r>
      <w:r>
        <w:rPr>
          <w:rFonts w:hint="eastAsia" w:ascii="仿宋_GB2312" w:eastAsia="仿宋_GB2312" w:cs="仿宋_GB2312"/>
          <w:color w:val="auto"/>
          <w:sz w:val="32"/>
          <w:szCs w:val="32"/>
          <w:lang w:val="en-US" w:eastAsia="zh-CN"/>
        </w:rPr>
        <w:t>：严格遵守中央八项规定，</w:t>
      </w:r>
      <w:r>
        <w:rPr>
          <w:rFonts w:hint="eastAsia" w:ascii="仿宋_GB2312" w:eastAsia="仿宋_GB2312" w:cs="仿宋_GB2312"/>
          <w:color w:val="auto"/>
          <w:sz w:val="32"/>
          <w:szCs w:val="32"/>
          <w:highlight w:val="none"/>
          <w:lang w:val="en-US" w:eastAsia="zh-CN"/>
        </w:rPr>
        <w:t>本着勤俭节约的作风，严控三公经费，三公经费未增长；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3.预决算公开情况</w:t>
      </w:r>
      <w:r>
        <w:rPr>
          <w:rFonts w:hint="eastAsia" w:ascii="仿宋_GB2312" w:eastAsia="仿宋_GB2312" w:cs="仿宋_GB2312"/>
          <w:color w:val="auto"/>
          <w:sz w:val="32"/>
          <w:szCs w:val="32"/>
          <w:lang w:val="en-US" w:eastAsia="zh-CN"/>
        </w:rPr>
        <w:t>：</w:t>
      </w:r>
      <w:r>
        <w:rPr>
          <w:rFonts w:ascii="仿宋_GB2312" w:hAnsi="宋体" w:eastAsia="仿宋_GB2312" w:cs="仿宋_GB2312"/>
          <w:i w:val="0"/>
          <w:iCs w:val="0"/>
          <w:caps w:val="0"/>
          <w:color w:val="333333"/>
          <w:spacing w:val="0"/>
          <w:sz w:val="30"/>
          <w:szCs w:val="30"/>
          <w:shd w:val="clear" w:fill="FFFFFF"/>
        </w:rPr>
        <w:t>202</w:t>
      </w:r>
      <w:r>
        <w:rPr>
          <w:rFonts w:hint="eastAsia" w:ascii="仿宋_GB2312" w:hAnsi="宋体" w:eastAsia="仿宋_GB2312" w:cs="仿宋_GB2312"/>
          <w:i w:val="0"/>
          <w:iCs w:val="0"/>
          <w:caps w:val="0"/>
          <w:color w:val="333333"/>
          <w:spacing w:val="0"/>
          <w:sz w:val="30"/>
          <w:szCs w:val="30"/>
          <w:shd w:val="clear" w:fill="FFFFFF"/>
          <w:lang w:val="en-US" w:eastAsia="zh-CN"/>
        </w:rPr>
        <w:t>2</w:t>
      </w:r>
      <w:r>
        <w:rPr>
          <w:rFonts w:ascii="仿宋_GB2312" w:hAnsi="宋体" w:eastAsia="仿宋_GB2312" w:cs="仿宋_GB2312"/>
          <w:i w:val="0"/>
          <w:iCs w:val="0"/>
          <w:caps w:val="0"/>
          <w:color w:val="333333"/>
          <w:spacing w:val="0"/>
          <w:sz w:val="30"/>
          <w:szCs w:val="30"/>
          <w:shd w:val="clear" w:fill="FFFFFF"/>
        </w:rPr>
        <w:t>年，按照上级的要求，</w:t>
      </w:r>
      <w:r>
        <w:rPr>
          <w:rFonts w:hint="eastAsia" w:ascii="仿宋_GB2312" w:hAnsi="宋体" w:eastAsia="仿宋_GB2312" w:cs="仿宋_GB2312"/>
          <w:i w:val="0"/>
          <w:iCs w:val="0"/>
          <w:caps w:val="0"/>
          <w:color w:val="333333"/>
          <w:spacing w:val="0"/>
          <w:sz w:val="30"/>
          <w:szCs w:val="30"/>
          <w:shd w:val="clear" w:fill="FFFFFF"/>
          <w:lang w:val="en-US" w:eastAsia="zh-CN"/>
        </w:rPr>
        <w:t>按时保质地完成了2021年决算和2022年预算工作，并在</w:t>
      </w:r>
      <w:r>
        <w:rPr>
          <w:rFonts w:ascii="仿宋_GB2312" w:hAnsi="宋体" w:eastAsia="仿宋_GB2312" w:cs="仿宋_GB2312"/>
          <w:i w:val="0"/>
          <w:iCs w:val="0"/>
          <w:caps w:val="0"/>
          <w:color w:val="333333"/>
          <w:spacing w:val="0"/>
          <w:sz w:val="30"/>
          <w:szCs w:val="30"/>
          <w:shd w:val="clear" w:fill="FFFFFF"/>
        </w:rPr>
        <w:t>赫山区门户网站进行了预</w:t>
      </w:r>
      <w:r>
        <w:rPr>
          <w:rFonts w:hint="eastAsia" w:ascii="仿宋_GB2312" w:hAnsi="宋体" w:eastAsia="仿宋_GB2312" w:cs="仿宋_GB2312"/>
          <w:i w:val="0"/>
          <w:iCs w:val="0"/>
          <w:caps w:val="0"/>
          <w:color w:val="333333"/>
          <w:spacing w:val="0"/>
          <w:sz w:val="30"/>
          <w:szCs w:val="30"/>
          <w:shd w:val="clear" w:fill="FFFFFF"/>
          <w:lang w:val="en-US" w:eastAsia="zh-CN"/>
        </w:rPr>
        <w:t>决</w:t>
      </w:r>
      <w:r>
        <w:rPr>
          <w:rFonts w:ascii="仿宋_GB2312" w:hAnsi="宋体" w:eastAsia="仿宋_GB2312" w:cs="仿宋_GB2312"/>
          <w:i w:val="0"/>
          <w:iCs w:val="0"/>
          <w:caps w:val="0"/>
          <w:color w:val="333333"/>
          <w:spacing w:val="0"/>
          <w:sz w:val="30"/>
          <w:szCs w:val="30"/>
          <w:shd w:val="clear" w:fill="FFFFFF"/>
        </w:rPr>
        <w:t>算公开。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default" w:asci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4.存量资金管理</w:t>
      </w:r>
      <w:r>
        <w:rPr>
          <w:rFonts w:ascii="仿宋_GB2312" w:hAnsi="宋体" w:eastAsia="仿宋_GB2312" w:cs="仿宋_GB2312"/>
          <w:i w:val="0"/>
          <w:iCs w:val="0"/>
          <w:caps w:val="0"/>
          <w:color w:val="212121"/>
          <w:spacing w:val="0"/>
          <w:sz w:val="32"/>
          <w:szCs w:val="32"/>
          <w:shd w:val="clear" w:fill="FFFFFF"/>
        </w:rPr>
        <w:t>：我</w:t>
      </w:r>
      <w:r>
        <w:rPr>
          <w:rFonts w:hint="eastAsia" w:ascii="仿宋_GB2312" w:hAnsi="宋体" w:eastAsia="仿宋_GB2312" w:cs="仿宋_GB2312"/>
          <w:i w:val="0"/>
          <w:iCs w:val="0"/>
          <w:caps w:val="0"/>
          <w:color w:val="212121"/>
          <w:spacing w:val="0"/>
          <w:sz w:val="32"/>
          <w:szCs w:val="32"/>
          <w:shd w:val="clear" w:fill="FFFFFF"/>
          <w:lang w:val="en-US" w:eastAsia="zh-CN"/>
        </w:rPr>
        <w:t>单位</w:t>
      </w:r>
      <w:r>
        <w:rPr>
          <w:rFonts w:ascii="仿宋_GB2312" w:hAnsi="宋体" w:eastAsia="仿宋_GB2312" w:cs="仿宋_GB2312"/>
          <w:i w:val="0"/>
          <w:iCs w:val="0"/>
          <w:caps w:val="0"/>
          <w:color w:val="212121"/>
          <w:spacing w:val="0"/>
          <w:sz w:val="32"/>
          <w:szCs w:val="32"/>
          <w:shd w:val="clear" w:fill="FFFFFF"/>
        </w:rPr>
        <w:t>实行国库集中支付管理</w:t>
      </w:r>
      <w:r>
        <w:rPr>
          <w:rFonts w:hint="eastAsia" w:ascii="仿宋_GB2312" w:hAnsi="宋体" w:eastAsia="仿宋_GB2312" w:cs="仿宋_GB2312"/>
          <w:i w:val="0"/>
          <w:iCs w:val="0"/>
          <w:caps w:val="0"/>
          <w:color w:val="212121"/>
          <w:spacing w:val="0"/>
          <w:sz w:val="32"/>
          <w:szCs w:val="32"/>
          <w:shd w:val="clear" w:fill="FFFFFF"/>
          <w:lang w:eastAsia="zh-CN"/>
        </w:rPr>
        <w:t>，</w:t>
      </w:r>
      <w:r>
        <w:rPr>
          <w:rFonts w:hint="eastAsia" w:ascii="仿宋_GB2312" w:hAnsi="宋体" w:eastAsia="仿宋_GB2312" w:cs="仿宋_GB2312"/>
          <w:i w:val="0"/>
          <w:iCs w:val="0"/>
          <w:caps w:val="0"/>
          <w:color w:val="212121"/>
          <w:spacing w:val="0"/>
          <w:sz w:val="32"/>
          <w:szCs w:val="32"/>
          <w:shd w:val="clear" w:fill="FFFFFF"/>
          <w:lang w:val="en-US" w:eastAsia="zh-CN"/>
        </w:rPr>
        <w:t>对于超时未使用的存量资金，由财政统一收回</w:t>
      </w:r>
      <w:r>
        <w:rPr>
          <w:rFonts w:ascii="仿宋_GB2312" w:hAnsi="宋体" w:eastAsia="仿宋_GB2312" w:cs="仿宋_GB2312"/>
          <w:i w:val="0"/>
          <w:iCs w:val="0"/>
          <w:caps w:val="0"/>
          <w:color w:val="212121"/>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5.内部控制情况</w:t>
      </w:r>
      <w:r>
        <w:rPr>
          <w:rFonts w:hint="eastAsia" w:ascii="仿宋_GB2312" w:eastAsia="仿宋_GB2312" w:cs="仿宋_GB2312"/>
          <w:color w:val="auto"/>
          <w:sz w:val="32"/>
          <w:szCs w:val="32"/>
          <w:lang w:val="en-US" w:eastAsia="zh-CN"/>
        </w:rPr>
        <w:t>：内部控制良好，根据工作需要重新调整分工，各方面达到预期绩效目标。</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Times New Roman" w:hAnsi="Times New Roman" w:eastAsia="仿宋_GB2312"/>
          <w:sz w:val="32"/>
          <w:szCs w:val="32"/>
        </w:rPr>
      </w:pPr>
      <w:r>
        <w:rPr>
          <w:rFonts w:hint="eastAsia" w:ascii="楷体" w:hAnsi="楷体" w:eastAsia="楷体" w:cs="楷体"/>
          <w:color w:val="auto"/>
          <w:kern w:val="2"/>
          <w:sz w:val="32"/>
          <w:szCs w:val="32"/>
          <w:lang w:val="en-US" w:eastAsia="zh-CN" w:bidi="ar-SA"/>
        </w:rPr>
        <w:t>6.绩效考核的个性指标</w:t>
      </w:r>
      <w:r>
        <w:rPr>
          <w:rFonts w:hint="eastAsia" w:ascii="仿宋_GB2312" w:hAnsi="宋体" w:eastAsia="仿宋_GB2312" w:cs="仿宋_GB2312"/>
          <w:i w:val="0"/>
          <w:iCs w:val="0"/>
          <w:caps w:val="0"/>
          <w:color w:val="212121"/>
          <w:spacing w:val="0"/>
          <w:kern w:val="2"/>
          <w:sz w:val="32"/>
          <w:szCs w:val="32"/>
          <w:shd w:val="clear" w:fill="FFFFFF"/>
          <w:lang w:val="en-US" w:eastAsia="zh-CN" w:bidi="ar-SA"/>
        </w:rPr>
        <w:t>：</w:t>
      </w:r>
      <w:r>
        <w:rPr>
          <w:rFonts w:hint="eastAsia" w:ascii="仿宋" w:hAnsi="仿宋" w:eastAsia="仿宋"/>
          <w:kern w:val="0"/>
          <w:sz w:val="32"/>
          <w:szCs w:val="32"/>
          <w:lang w:val="en-US" w:eastAsia="zh-CN"/>
        </w:rPr>
        <w:t>2022年全区新增高企25家，在期高企达113家</w:t>
      </w:r>
      <w:r>
        <w:rPr>
          <w:rFonts w:hint="eastAsia" w:ascii="仿宋" w:hAnsi="仿宋" w:eastAsia="仿宋"/>
          <w:kern w:val="0"/>
          <w:sz w:val="32"/>
          <w:szCs w:val="32"/>
        </w:rPr>
        <w:t>；全区入库科技型中小企业达2</w:t>
      </w:r>
      <w:r>
        <w:rPr>
          <w:rFonts w:hint="eastAsia" w:ascii="仿宋" w:hAnsi="仿宋" w:eastAsia="仿宋"/>
          <w:kern w:val="0"/>
          <w:sz w:val="32"/>
          <w:szCs w:val="32"/>
          <w:lang w:val="en-US" w:eastAsia="zh-CN"/>
        </w:rPr>
        <w:t>31</w:t>
      </w:r>
      <w:r>
        <w:rPr>
          <w:rFonts w:hint="eastAsia" w:ascii="仿宋" w:hAnsi="仿宋" w:eastAsia="仿宋"/>
          <w:kern w:val="0"/>
          <w:sz w:val="32"/>
          <w:szCs w:val="32"/>
        </w:rPr>
        <w:t>家，同比增长128%</w:t>
      </w:r>
      <w:r>
        <w:rPr>
          <w:rFonts w:hint="eastAsia" w:ascii="仿宋" w:hAnsi="仿宋" w:eastAsia="仿宋"/>
          <w:kern w:val="0"/>
          <w:sz w:val="32"/>
          <w:szCs w:val="32"/>
          <w:lang w:eastAsia="zh-CN"/>
        </w:rPr>
        <w:t>；</w:t>
      </w:r>
      <w:r>
        <w:rPr>
          <w:rFonts w:hint="eastAsia" w:ascii="仿宋_GB2312" w:hAnsi="Calibri" w:eastAsia="仿宋_GB2312" w:cs="Times New Roman"/>
          <w:color w:val="auto"/>
          <w:sz w:val="32"/>
          <w:szCs w:val="32"/>
          <w:lang w:val="en-US" w:eastAsia="zh-CN"/>
        </w:rPr>
        <w:t>14家企业</w:t>
      </w:r>
      <w:r>
        <w:rPr>
          <w:rFonts w:hint="eastAsia" w:ascii="仿宋_GB2312" w:eastAsia="仿宋_GB2312" w:cs="Times New Roman"/>
          <w:color w:val="auto"/>
          <w:sz w:val="32"/>
          <w:szCs w:val="32"/>
          <w:lang w:val="en-US" w:eastAsia="zh-CN"/>
        </w:rPr>
        <w:t>获</w:t>
      </w:r>
      <w:r>
        <w:rPr>
          <w:rFonts w:hint="eastAsia" w:ascii="仿宋_GB2312" w:hAnsi="Calibri" w:eastAsia="仿宋_GB2312" w:cs="Times New Roman"/>
          <w:color w:val="auto"/>
          <w:sz w:val="32"/>
          <w:szCs w:val="32"/>
          <w:lang w:val="en-US" w:eastAsia="zh-CN"/>
        </w:rPr>
        <w:t>“</w:t>
      </w:r>
      <w:r>
        <w:rPr>
          <w:rFonts w:hint="eastAsia" w:ascii="仿宋" w:hAnsi="仿宋" w:eastAsia="仿宋"/>
          <w:kern w:val="0"/>
          <w:sz w:val="32"/>
          <w:szCs w:val="32"/>
          <w:lang w:val="en-US" w:eastAsia="zh-CN"/>
        </w:rPr>
        <w:t>双创”大赛市赛晋级奖励，其中7家企业获省赛优秀奖，安兴电子、中亿现代农业入围全国赛项目；5家企业通过专利权质押融资贷款4930万元。</w:t>
      </w:r>
      <w:r>
        <w:rPr>
          <w:rFonts w:hint="eastAsia" w:ascii="仿宋" w:hAnsi="仿宋" w:eastAsia="仿宋" w:cs="仿宋"/>
          <w:sz w:val="32"/>
          <w:szCs w:val="32"/>
          <w:lang w:eastAsia="zh-CN"/>
        </w:rPr>
        <w:t>鼎一致远</w:t>
      </w:r>
      <w:r>
        <w:rPr>
          <w:rFonts w:hint="eastAsia" w:ascii="仿宋" w:hAnsi="仿宋" w:eastAsia="仿宋" w:cs="仿宋"/>
          <w:sz w:val="32"/>
          <w:szCs w:val="32"/>
          <w:lang w:val="en-US" w:eastAsia="zh-CN"/>
        </w:rPr>
        <w:t>获批</w:t>
      </w:r>
      <w:r>
        <w:rPr>
          <w:rFonts w:hint="eastAsia" w:ascii="仿宋" w:hAnsi="仿宋" w:eastAsia="仿宋" w:cs="仿宋"/>
          <w:sz w:val="32"/>
          <w:szCs w:val="32"/>
          <w:lang w:eastAsia="zh-CN"/>
        </w:rPr>
        <w:t>省级工程技术研究中心；龙岭产业开发区5G+电容器智能制造基地</w:t>
      </w:r>
      <w:r>
        <w:rPr>
          <w:rFonts w:hint="eastAsia" w:ascii="仿宋" w:hAnsi="仿宋" w:eastAsia="仿宋" w:cs="仿宋"/>
          <w:sz w:val="32"/>
          <w:szCs w:val="32"/>
          <w:lang w:val="en-US" w:eastAsia="zh-CN"/>
        </w:rPr>
        <w:t>获批</w:t>
      </w:r>
      <w:r>
        <w:rPr>
          <w:rFonts w:hint="eastAsia" w:ascii="仿宋" w:hAnsi="仿宋" w:eastAsia="仿宋" w:cs="仿宋"/>
          <w:sz w:val="32"/>
          <w:szCs w:val="32"/>
          <w:lang w:eastAsia="zh-CN"/>
        </w:rPr>
        <w:t>省级科技企业孵化器；</w:t>
      </w:r>
      <w:r>
        <w:rPr>
          <w:rFonts w:hint="eastAsia" w:ascii="仿宋" w:hAnsi="仿宋" w:eastAsia="仿宋" w:cs="Times New Roman"/>
          <w:sz w:val="32"/>
          <w:szCs w:val="32"/>
          <w:lang w:val="en-US" w:eastAsia="zh-CN"/>
        </w:rPr>
        <w:t>楚鱼渔业被认定为省级科技特派员创新创业示范基地；创建农业科技服务示范基地20家；安兴电子、紫竹科技成功创建省、市专家工作站。</w:t>
      </w:r>
    </w:p>
    <w:p>
      <w:pPr>
        <w:pStyle w:val="10"/>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（二）</w:t>
      </w:r>
      <w:r>
        <w:rPr>
          <w:rFonts w:hint="eastAsia" w:ascii="楷体" w:hAnsi="楷体" w:eastAsia="楷体" w:cs="楷体"/>
          <w:b/>
          <w:bCs/>
          <w:sz w:val="32"/>
          <w:szCs w:val="32"/>
        </w:rPr>
        <w:t>存在的问题及原因分析</w:t>
      </w:r>
    </w:p>
    <w:p>
      <w:pPr>
        <w:pStyle w:val="10"/>
        <w:ind w:firstLine="640" w:firstLineChars="200"/>
        <w:jc w:val="left"/>
        <w:rPr>
          <w:sz w:val="72"/>
          <w:szCs w:val="72"/>
        </w:rPr>
      </w:pPr>
      <w:r>
        <w:rPr>
          <w:rFonts w:hint="eastAsia" w:ascii="仿宋_GB2312" w:eastAsia="仿宋_GB2312" w:cs="仿宋_GB2312"/>
          <w:sz w:val="32"/>
          <w:szCs w:val="32"/>
          <w:lang w:val="en-US" w:eastAsia="zh-CN"/>
        </w:rPr>
        <w:t>部门整体支出绩效目标需进一步细化。 2022年我单位根据省、市科技创新要求开展业务工作产生的相关经费和本级业务经费未纳入年初财政预算，业务类支出未能根据部门职能及当年度工作规划等进行细化，不利于部门整体支出绩效评价工作的开展。</w:t>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both"/>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p>
    <w:p>
      <w:pPr>
        <w:pStyle w:val="1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rPr>
        <w:t>第四部分</w:t>
      </w:r>
    </w:p>
    <w:p>
      <w:pPr>
        <w:jc w:val="center"/>
        <w:rPr>
          <w:rFonts w:hint="eastAsia" w:ascii="方正小标宋_GBK" w:hAnsi="方正小标宋_GBK" w:eastAsia="方正小标宋_GBK" w:cs="方正小标宋_GBK"/>
          <w:color w:val="000000"/>
          <w:kern w:val="0"/>
          <w:sz w:val="70"/>
          <w:szCs w:val="70"/>
        </w:rPr>
      </w:pPr>
    </w:p>
    <w:p>
      <w:pPr>
        <w:jc w:val="center"/>
        <w:rPr>
          <w:rFonts w:hint="eastAsia" w:ascii="方正小标宋_GBK" w:hAnsi="方正小标宋_GBK" w:eastAsia="方正小标宋_GBK" w:cs="方正小标宋_GBK"/>
          <w:color w:val="000000"/>
          <w:kern w:val="0"/>
          <w:sz w:val="70"/>
          <w:szCs w:val="70"/>
        </w:rPr>
      </w:pPr>
      <w:r>
        <w:rPr>
          <w:rFonts w:hint="eastAsia" w:ascii="方正小标宋_GBK" w:hAnsi="方正小标宋_GBK" w:eastAsia="方正小标宋_GBK" w:cs="方正小标宋_GBK"/>
          <w:color w:val="000000"/>
          <w:kern w:val="0"/>
          <w:sz w:val="70"/>
          <w:szCs w:val="70"/>
        </w:rPr>
        <w:t>名词解释</w:t>
      </w:r>
    </w:p>
    <w:p>
      <w:pPr>
        <w:widowControl/>
        <w:jc w:val="left"/>
        <w:rPr>
          <w:rFonts w:cs="黑体" w:asciiTheme="minorEastAsia" w:hAnsiTheme="minorEastAsia"/>
          <w:color w:val="000000"/>
          <w:kern w:val="0"/>
          <w:sz w:val="32"/>
          <w:szCs w:val="32"/>
        </w:rPr>
      </w:pPr>
      <w:r>
        <w:rPr>
          <w:rFonts w:hint="eastAsia" w:ascii="方正小标宋_GBK" w:hAnsi="方正小标宋_GBK" w:eastAsia="方正小标宋_GBK" w:cs="方正小标宋_GBK"/>
          <w:color w:val="000000"/>
          <w:kern w:val="0"/>
          <w:sz w:val="70"/>
          <w:szCs w:val="70"/>
        </w:rPr>
        <w:br w:type="page"/>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财政拨款收入：指本级财政当年拨付的资金。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上年结转和结余：指以前年度尚未完成、结转到本年按有关规定继续使用的资金。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基本支出：指保障机构正常运转、完成支日常工作任务而发生的人员支出和公用支出。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项目支出：指在基本支出之外为完成特定行政任务和事业发展目标所发生的支出。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“三公”经费：指用财政拨款安排的因公出国（境）费、公务用车购置及运行费和公务接待费。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工资福利支出：反映单位开支的在职职工和编制外长期聘用人员的各类劳动报酬，以及为上述人员缴纳的各项社会保险费等。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奖金：反映机关工作人员年终一次性奖金。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伙食补助费：反映单位发给职工的伙食补助费，如误餐补助等。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职业年金缴费：反映机关事业单位实际缴纳的职业年金支出。由单位代扣的工作人员职业年金缴费，不在此科目反映。</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职工基本医疗保险缴费：反映单位为职工缴纳的基本医疗保险费。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住房公积金：反映行政事业单位按人力资源和社会保障部、财政部规定的基本工资和津贴补贴以及规定比例为职工缴纳的住房公积金。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商品和服务支出：反映单位购买商品和服务的支出（不包括用于购置固定资产的支出、战略性和应急储备支出）。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办公费：反映单位购买按财务会计制度规定不符合固定资产确认标准的日常办公用品、书报杂志等支出。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印刷费：反映单位的印刷费支出。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咨询费：反映单位咨询方面的支出。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水费：反映单位支付的水费、污水处理费等支出。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电费：反映单位的电费支出。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邮电费：反映单位开支的信函、包裹、货物等物品的邮寄费及电话费、电报费、传真费、网络通讯费等。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差旅费：反映单位工作人员出差发生的城市间交通费、住宿费、伙食补贴费和市内交通费。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租赁费：反映租赁办公用房、宿舍、专用通讯网以及其他设备等方面的费用。</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会议费：反映会议中按规定开支的住宿费、伙食费、会议室租金、交通费、文件印刷费、医药费等。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培训费：反映除因公出国（境）培训费以外的各类培训支出。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公务接待费：反映单位按规定开支的各类公务接待（含外宾接待）费用。</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劳务费：反映支付给单位和个人的劳务费用，如临时聘用人员、钟点工工资，稿费、翻译费，评审费等。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委托业务费：反映因委托外单位办理业务而支付的委托业务费。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工会经费：反映单位按规定提取的工会经费。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福利费：反映单位按规定提取的福利费。</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对个人和家庭的补助：反映政府用于对个人和家庭的补助支出。</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离休费：反映行政事业单位和军队移交政府安置的离休人员的离休费、护理费和其他补贴。</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退休费：反映行政事业单位和军队移交政府安置的退休人员的退休费和其他补贴。</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奖励金：反映政府各部门的奖励支出，如对个体私营经济的奖励、计划生育目标责任奖励、独生子女父母奖励等。</w:t>
      </w:r>
    </w:p>
    <w:p>
      <w:pPr>
        <w:spacing w:line="560" w:lineRule="exact"/>
        <w:ind w:firstLine="640" w:firstLineChars="200"/>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办公设备购置：反映用于购置并按财务会计制度规定纳入固定资产核算范围的办公家具和办公设备的支出，以及按规定提取的修购基金。</w:t>
      </w:r>
    </w:p>
    <w:p>
      <w:pPr>
        <w:pStyle w:val="10"/>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sz w:val="72"/>
          <w:szCs w:val="72"/>
        </w:rPr>
      </w:pPr>
    </w:p>
    <w:p>
      <w:pPr>
        <w:pStyle w:val="10"/>
        <w:jc w:val="center"/>
        <w:rPr>
          <w:sz w:val="72"/>
          <w:szCs w:val="7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modern"/>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DAE5B0"/>
    <w:multiLevelType w:val="singleLevel"/>
    <w:tmpl w:val="88DAE5B0"/>
    <w:lvl w:ilvl="0" w:tentative="0">
      <w:start w:val="3"/>
      <w:numFmt w:val="decimal"/>
      <w:suff w:val="nothing"/>
      <w:lvlText w:val="%1、"/>
      <w:lvlJc w:val="left"/>
    </w:lvl>
  </w:abstractNum>
  <w:abstractNum w:abstractNumId="1">
    <w:nsid w:val="9E7413C8"/>
    <w:multiLevelType w:val="singleLevel"/>
    <w:tmpl w:val="9E7413C8"/>
    <w:lvl w:ilvl="0" w:tentative="0">
      <w:start w:val="7"/>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2NjlmNGYyODQ1YTI0YTEyZDNmMmM4NDY5NzVmMjcifQ=="/>
  </w:docVars>
  <w:rsids>
    <w:rsidRoot w:val="004506F9"/>
    <w:rsid w:val="0002229B"/>
    <w:rsid w:val="000273BD"/>
    <w:rsid w:val="00040CBC"/>
    <w:rsid w:val="000415B7"/>
    <w:rsid w:val="00041E3F"/>
    <w:rsid w:val="00055DAA"/>
    <w:rsid w:val="00061F7B"/>
    <w:rsid w:val="000658A3"/>
    <w:rsid w:val="00074155"/>
    <w:rsid w:val="000A3F69"/>
    <w:rsid w:val="00103957"/>
    <w:rsid w:val="00152C6D"/>
    <w:rsid w:val="00162D39"/>
    <w:rsid w:val="001678BD"/>
    <w:rsid w:val="00182373"/>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926B9"/>
    <w:rsid w:val="003C47E6"/>
    <w:rsid w:val="003C4FC2"/>
    <w:rsid w:val="00416E61"/>
    <w:rsid w:val="0042790C"/>
    <w:rsid w:val="004506F9"/>
    <w:rsid w:val="004717A2"/>
    <w:rsid w:val="00473DF3"/>
    <w:rsid w:val="00487911"/>
    <w:rsid w:val="00491741"/>
    <w:rsid w:val="004B0CEE"/>
    <w:rsid w:val="00500E5F"/>
    <w:rsid w:val="005122EF"/>
    <w:rsid w:val="0051441A"/>
    <w:rsid w:val="00517C33"/>
    <w:rsid w:val="00517D5F"/>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AB18F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D06FF"/>
    <w:rsid w:val="00DD5FE9"/>
    <w:rsid w:val="00E00C7A"/>
    <w:rsid w:val="00E37D6C"/>
    <w:rsid w:val="00E55B68"/>
    <w:rsid w:val="00E561AE"/>
    <w:rsid w:val="00E67BE6"/>
    <w:rsid w:val="00E8683C"/>
    <w:rsid w:val="00EA2B72"/>
    <w:rsid w:val="00F74360"/>
    <w:rsid w:val="00FB462F"/>
    <w:rsid w:val="00FE16FA"/>
    <w:rsid w:val="00FE328A"/>
    <w:rsid w:val="00FE6269"/>
    <w:rsid w:val="00FF5CD6"/>
    <w:rsid w:val="01A21624"/>
    <w:rsid w:val="01F638D4"/>
    <w:rsid w:val="02353A89"/>
    <w:rsid w:val="06C31366"/>
    <w:rsid w:val="11C02EF5"/>
    <w:rsid w:val="12E81B26"/>
    <w:rsid w:val="17B57838"/>
    <w:rsid w:val="1B2D1349"/>
    <w:rsid w:val="1CB735C0"/>
    <w:rsid w:val="214E0A20"/>
    <w:rsid w:val="23B24AE2"/>
    <w:rsid w:val="25BC2377"/>
    <w:rsid w:val="2BA2368E"/>
    <w:rsid w:val="2C26606D"/>
    <w:rsid w:val="3285584A"/>
    <w:rsid w:val="35496928"/>
    <w:rsid w:val="3D3051CC"/>
    <w:rsid w:val="4E406307"/>
    <w:rsid w:val="4F502704"/>
    <w:rsid w:val="500100D3"/>
    <w:rsid w:val="530D1306"/>
    <w:rsid w:val="5777D4F5"/>
    <w:rsid w:val="5EB01642"/>
    <w:rsid w:val="5FC6BB1E"/>
    <w:rsid w:val="5FF720F1"/>
    <w:rsid w:val="62A05DB5"/>
    <w:rsid w:val="63316ACA"/>
    <w:rsid w:val="644338AD"/>
    <w:rsid w:val="675F4BFB"/>
    <w:rsid w:val="70951157"/>
    <w:rsid w:val="72CC236B"/>
    <w:rsid w:val="733143D3"/>
    <w:rsid w:val="737D59BA"/>
    <w:rsid w:val="77C37683"/>
    <w:rsid w:val="79766B8D"/>
    <w:rsid w:val="79C67B14"/>
    <w:rsid w:val="79FF515B"/>
    <w:rsid w:val="7E9F11B4"/>
    <w:rsid w:val="7FC69637"/>
    <w:rsid w:val="7FFDB408"/>
    <w:rsid w:val="CBFF70E0"/>
    <w:rsid w:val="EEABED75"/>
    <w:rsid w:val="FB36E1A6"/>
    <w:rsid w:val="FFFF1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widowControl w:val="0"/>
      <w:jc w:val="both"/>
    </w:pPr>
    <w:rPr>
      <w:rFonts w:ascii="Calibri" w:hAnsi="Calibri" w:eastAsia="宋体" w:cs="Times New Roman"/>
      <w:kern w:val="2"/>
      <w:sz w:val="21"/>
      <w:szCs w:val="22"/>
      <w:lang w:val="en-US" w:eastAsia="zh-CN" w:bidi="ar-SA"/>
    </w:rPr>
  </w:style>
  <w:style w:type="paragraph" w:styleId="3">
    <w:name w:val="Balloon Text"/>
    <w:basedOn w:val="1"/>
    <w:link w:val="12"/>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3"/>
    <w:semiHidden/>
    <w:qFormat/>
    <w:uiPriority w:val="99"/>
    <w:rPr>
      <w:sz w:val="18"/>
      <w:szCs w:val="18"/>
    </w:rPr>
  </w:style>
  <w:style w:type="character" w:customStyle="1" w:styleId="13">
    <w:name w:val="font01"/>
    <w:basedOn w:val="7"/>
    <w:qFormat/>
    <w:uiPriority w:val="0"/>
    <w:rPr>
      <w:rFonts w:hint="eastAsia" w:ascii="宋体" w:hAnsi="宋体" w:eastAsia="宋体" w:cs="宋体"/>
      <w:color w:val="000000"/>
      <w:sz w:val="22"/>
      <w:szCs w:val="22"/>
      <w:u w:val="none"/>
    </w:rPr>
  </w:style>
  <w:style w:type="character" w:customStyle="1" w:styleId="14">
    <w:name w:val="font21"/>
    <w:basedOn w:val="7"/>
    <w:qFormat/>
    <w:uiPriority w:val="0"/>
    <w:rPr>
      <w:rFonts w:hint="eastAsia" w:ascii="宋体" w:hAnsi="宋体" w:eastAsia="宋体" w:cs="宋体"/>
      <w:color w:val="000000"/>
      <w:sz w:val="24"/>
      <w:szCs w:val="24"/>
      <w:u w:val="none"/>
    </w:rPr>
  </w:style>
  <w:style w:type="character" w:customStyle="1" w:styleId="15">
    <w:name w:val="font11"/>
    <w:basedOn w:val="7"/>
    <w:qFormat/>
    <w:uiPriority w:val="0"/>
    <w:rPr>
      <w:rFonts w:hint="eastAsia" w:ascii="宋体" w:hAnsi="宋体" w:eastAsia="宋体" w:cs="宋体"/>
      <w:color w:val="000000"/>
      <w:sz w:val="24"/>
      <w:szCs w:val="24"/>
      <w:u w:val="none"/>
    </w:rPr>
  </w:style>
  <w:style w:type="paragraph" w:customStyle="1" w:styleId="16">
    <w:name w:val="列出段落2"/>
    <w:basedOn w:val="1"/>
    <w:qFormat/>
    <w:uiPriority w:val="99"/>
    <w:pPr>
      <w:ind w:firstLine="420" w:firstLineChars="200"/>
    </w:pPr>
    <w:rPr>
      <w:rFonts w:ascii="等线" w:hAnsi="等线" w:eastAsia="等线" w:cs="等线"/>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27</Pages>
  <Words>9605</Words>
  <Characters>12514</Characters>
  <Lines>63</Lines>
  <Paragraphs>18</Paragraphs>
  <TotalTime>14</TotalTime>
  <ScaleCrop>false</ScaleCrop>
  <LinksUpToDate>false</LinksUpToDate>
  <CharactersWithSpaces>12748</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2020-07-04T18:32:00Z</dcterms:created>
  <dc:creator>李航 null</dc:creator>
  <cp:lastModifiedBy>媛媛</cp:lastModifiedBy>
  <cp:lastPrinted>2023-08-15T09:28:00Z</cp:lastPrinted>
  <dcterms:modified xsi:type="dcterms:W3CDTF">2023-09-16T02:55:00Z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0FAF55345644484E9BFC84C77A43B631</vt:lpwstr>
  </property>
</Properties>
</file>