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202</w:t>
      </w:r>
      <w:r>
        <w:rPr>
          <w:rFonts w:hint="eastAsia" w:ascii="方正小标宋_GBK" w:hAnsi="方正小标宋_GBK" w:eastAsia="方正小标宋_GBK" w:cs="方正小标宋_GBK"/>
          <w:sz w:val="52"/>
          <w:szCs w:val="52"/>
          <w:lang w:val="en-US" w:eastAsia="zh-CN"/>
        </w:rPr>
        <w:t>2</w:t>
      </w:r>
      <w:r>
        <w:rPr>
          <w:rFonts w:hint="eastAsia" w:ascii="方正小标宋_GBK" w:hAnsi="方正小标宋_GBK" w:eastAsia="方正小标宋_GBK" w:cs="方正小标宋_GBK"/>
          <w:sz w:val="52"/>
          <w:szCs w:val="52"/>
        </w:rPr>
        <w:t>年度</w:t>
      </w: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赫山区全民健身服务中心</w:t>
      </w:r>
      <w:r>
        <w:rPr>
          <w:rFonts w:hint="eastAsia" w:ascii="方正小标宋_GBK" w:hAnsi="方正小标宋_GBK" w:eastAsia="方正小标宋_GBK" w:cs="方正小标宋_GBK"/>
          <w:sz w:val="52"/>
          <w:szCs w:val="52"/>
        </w:rPr>
        <w:t>部门决算</w:t>
      </w:r>
    </w:p>
    <w:p>
      <w:pPr>
        <w:pStyle w:val="10"/>
        <w:spacing w:line="500" w:lineRule="exact"/>
        <w:jc w:val="center"/>
        <w:rPr>
          <w:rFonts w:hint="eastAsia"/>
          <w:b/>
          <w:sz w:val="36"/>
          <w:szCs w:val="28"/>
        </w:rPr>
      </w:pPr>
    </w:p>
    <w:p>
      <w:pPr>
        <w:spacing w:line="520" w:lineRule="exact"/>
        <w:jc w:val="center"/>
        <w:rPr>
          <w:rFonts w:hint="default" w:ascii="黑体" w:hAnsi="黑体" w:eastAsia="黑体"/>
          <w:color w:val="000000"/>
          <w:kern w:val="0"/>
          <w:sz w:val="32"/>
          <w:szCs w:val="32"/>
          <w:highlight w:val="white"/>
          <w:lang w:val="en-US" w:eastAsia="zh-CN"/>
        </w:rPr>
      </w:pPr>
      <w:r>
        <w:rPr>
          <w:rFonts w:hint="eastAsia" w:ascii="黑体" w:hAnsi="黑体" w:eastAsia="黑体"/>
          <w:color w:val="000000"/>
          <w:kern w:val="0"/>
          <w:sz w:val="32"/>
          <w:szCs w:val="32"/>
          <w:highlight w:val="white"/>
          <w:lang w:val="en-US" w:eastAsia="zh-CN"/>
        </w:rPr>
        <w:t>目录</w:t>
      </w:r>
    </w:p>
    <w:p>
      <w:pPr>
        <w:spacing w:line="520" w:lineRule="exact"/>
        <w:jc w:val="left"/>
        <w:rPr>
          <w:rFonts w:hint="eastAsia" w:ascii="黑体" w:hAnsi="黑体" w:eastAsia="黑体"/>
          <w:color w:val="000000"/>
          <w:kern w:val="0"/>
          <w:sz w:val="32"/>
          <w:szCs w:val="32"/>
          <w:highlight w:val="white"/>
        </w:rPr>
      </w:pPr>
    </w:p>
    <w:p>
      <w:pPr>
        <w:spacing w:line="520" w:lineRule="exact"/>
        <w:ind w:firstLine="640" w:firstLineChars="200"/>
        <w:jc w:val="left"/>
        <w:rPr>
          <w:rFonts w:hint="eastAsia"/>
          <w:color w:val="000000"/>
          <w:kern w:val="0"/>
          <w:sz w:val="32"/>
          <w:szCs w:val="32"/>
          <w:highlight w:val="white"/>
        </w:rPr>
      </w:pPr>
      <w:r>
        <w:rPr>
          <w:rFonts w:hint="eastAsia" w:ascii="黑体" w:hAnsi="黑体" w:eastAsia="黑体"/>
          <w:color w:val="000000"/>
          <w:kern w:val="0"/>
          <w:sz w:val="32"/>
          <w:szCs w:val="32"/>
          <w:highlight w:val="white"/>
        </w:rPr>
        <w:t xml:space="preserve">第一部分  </w:t>
      </w:r>
      <w:r>
        <w:rPr>
          <w:rFonts w:hint="eastAsia" w:ascii="黑体" w:hAnsi="黑体" w:eastAsia="黑体"/>
          <w:sz w:val="32"/>
          <w:szCs w:val="32"/>
          <w:highlight w:val="white"/>
        </w:rPr>
        <w:t>益阳市赫山区全民健身服务中心</w:t>
      </w:r>
      <w:r>
        <w:rPr>
          <w:rFonts w:hint="eastAsia" w:ascii="黑体" w:hAnsi="黑体" w:eastAsia="黑体"/>
          <w:color w:val="000000"/>
          <w:kern w:val="0"/>
          <w:sz w:val="32"/>
          <w:szCs w:val="32"/>
          <w:highlight w:val="white"/>
        </w:rPr>
        <w:t>概况</w:t>
      </w:r>
    </w:p>
    <w:p>
      <w:pPr>
        <w:spacing w:line="520" w:lineRule="exact"/>
        <w:ind w:firstLine="1500" w:firstLineChars="500"/>
        <w:jc w:val="left"/>
        <w:rPr>
          <w:color w:val="000000"/>
          <w:kern w:val="0"/>
          <w:sz w:val="30"/>
          <w:szCs w:val="30"/>
          <w:highlight w:val="white"/>
        </w:rPr>
      </w:pPr>
      <w:r>
        <w:rPr>
          <w:rFonts w:hint="eastAsia" w:ascii="宋体" w:hAnsi="宋体"/>
          <w:color w:val="000000"/>
          <w:kern w:val="0"/>
          <w:sz w:val="30"/>
          <w:szCs w:val="30"/>
          <w:highlight w:val="white"/>
        </w:rPr>
        <w:t>一、部门职责</w:t>
      </w:r>
    </w:p>
    <w:p>
      <w:pPr>
        <w:spacing w:line="520" w:lineRule="exact"/>
        <w:ind w:firstLine="1500" w:firstLineChars="500"/>
        <w:jc w:val="left"/>
        <w:rPr>
          <w:color w:val="000000"/>
          <w:kern w:val="0"/>
          <w:sz w:val="30"/>
          <w:szCs w:val="30"/>
          <w:highlight w:val="white"/>
        </w:rPr>
      </w:pPr>
      <w:r>
        <w:rPr>
          <w:rFonts w:hint="eastAsia" w:ascii="宋体" w:hAnsi="宋体"/>
          <w:color w:val="000000"/>
          <w:kern w:val="0"/>
          <w:sz w:val="30"/>
          <w:szCs w:val="30"/>
          <w:highlight w:val="white"/>
        </w:rPr>
        <w:t>二、机构设置</w:t>
      </w:r>
    </w:p>
    <w:p>
      <w:pPr>
        <w:spacing w:line="520" w:lineRule="exact"/>
        <w:ind w:firstLine="640" w:firstLineChars="200"/>
        <w:jc w:val="left"/>
        <w:rPr>
          <w:b/>
          <w:bCs/>
          <w:color w:val="000000"/>
          <w:kern w:val="0"/>
          <w:sz w:val="32"/>
          <w:szCs w:val="32"/>
          <w:highlight w:val="white"/>
        </w:rPr>
      </w:pPr>
      <w:r>
        <w:rPr>
          <w:rFonts w:hint="eastAsia" w:ascii="黑体" w:hAnsi="黑体" w:eastAsia="黑体"/>
          <w:color w:val="000000"/>
          <w:kern w:val="0"/>
          <w:sz w:val="32"/>
          <w:szCs w:val="32"/>
          <w:highlight w:val="white"/>
        </w:rPr>
        <w:t>第二部分  202</w:t>
      </w:r>
      <w:r>
        <w:rPr>
          <w:rFonts w:hint="eastAsia" w:ascii="黑体" w:hAnsi="黑体" w:eastAsia="黑体"/>
          <w:color w:val="000000"/>
          <w:kern w:val="0"/>
          <w:sz w:val="32"/>
          <w:szCs w:val="32"/>
          <w:highlight w:val="white"/>
          <w:lang w:val="en-US" w:eastAsia="zh-CN"/>
        </w:rPr>
        <w:t>2</w:t>
      </w:r>
      <w:r>
        <w:rPr>
          <w:rFonts w:hint="eastAsia" w:ascii="黑体" w:hAnsi="黑体" w:eastAsia="黑体"/>
          <w:color w:val="000000"/>
          <w:kern w:val="0"/>
          <w:sz w:val="32"/>
          <w:szCs w:val="32"/>
          <w:highlight w:val="white"/>
        </w:rPr>
        <w:t>年度部门决算表</w:t>
      </w:r>
    </w:p>
    <w:p>
      <w:pPr>
        <w:spacing w:line="520" w:lineRule="exact"/>
        <w:ind w:firstLine="1596" w:firstLineChars="532"/>
        <w:jc w:val="left"/>
        <w:rPr>
          <w:color w:val="000000"/>
          <w:kern w:val="0"/>
          <w:sz w:val="30"/>
          <w:szCs w:val="30"/>
          <w:highlight w:val="white"/>
        </w:rPr>
      </w:pPr>
      <w:r>
        <w:rPr>
          <w:rFonts w:hint="eastAsia" w:ascii="宋体" w:hAnsi="宋体"/>
          <w:color w:val="000000"/>
          <w:kern w:val="0"/>
          <w:sz w:val="30"/>
          <w:szCs w:val="30"/>
          <w:highlight w:val="white"/>
        </w:rPr>
        <w:t>一、收入支出决算总表</w:t>
      </w:r>
    </w:p>
    <w:p>
      <w:pPr>
        <w:spacing w:line="520" w:lineRule="exact"/>
        <w:ind w:firstLine="1596" w:firstLineChars="532"/>
        <w:jc w:val="left"/>
        <w:rPr>
          <w:color w:val="000000"/>
          <w:kern w:val="0"/>
          <w:sz w:val="30"/>
          <w:szCs w:val="30"/>
          <w:highlight w:val="white"/>
        </w:rPr>
      </w:pPr>
      <w:r>
        <w:rPr>
          <w:rFonts w:hint="eastAsia" w:ascii="宋体" w:hAnsi="宋体"/>
          <w:color w:val="000000"/>
          <w:kern w:val="0"/>
          <w:sz w:val="30"/>
          <w:szCs w:val="30"/>
          <w:highlight w:val="white"/>
        </w:rPr>
        <w:t>二、收入决算表</w:t>
      </w:r>
    </w:p>
    <w:p>
      <w:pPr>
        <w:spacing w:line="520" w:lineRule="exact"/>
        <w:ind w:firstLine="1596" w:firstLineChars="532"/>
        <w:jc w:val="left"/>
        <w:rPr>
          <w:color w:val="000000"/>
          <w:kern w:val="0"/>
          <w:sz w:val="30"/>
          <w:szCs w:val="30"/>
          <w:highlight w:val="white"/>
        </w:rPr>
      </w:pPr>
      <w:r>
        <w:rPr>
          <w:rFonts w:hint="eastAsia" w:ascii="宋体" w:hAnsi="宋体"/>
          <w:color w:val="000000"/>
          <w:kern w:val="0"/>
          <w:sz w:val="30"/>
          <w:szCs w:val="30"/>
          <w:highlight w:val="white"/>
        </w:rPr>
        <w:t>三、支出决算表</w:t>
      </w:r>
    </w:p>
    <w:p>
      <w:pPr>
        <w:spacing w:line="520" w:lineRule="exact"/>
        <w:ind w:firstLine="1596" w:firstLineChars="532"/>
        <w:jc w:val="left"/>
        <w:rPr>
          <w:color w:val="000000"/>
          <w:kern w:val="0"/>
          <w:sz w:val="30"/>
          <w:szCs w:val="30"/>
          <w:highlight w:val="white"/>
        </w:rPr>
      </w:pPr>
      <w:r>
        <w:rPr>
          <w:rFonts w:hint="eastAsia" w:ascii="宋体" w:hAnsi="宋体"/>
          <w:color w:val="000000"/>
          <w:kern w:val="0"/>
          <w:sz w:val="30"/>
          <w:szCs w:val="30"/>
          <w:highlight w:val="white"/>
        </w:rPr>
        <w:t>四、财政拨款收入支出决算总表</w:t>
      </w:r>
    </w:p>
    <w:p>
      <w:pPr>
        <w:spacing w:line="520" w:lineRule="exact"/>
        <w:ind w:firstLine="1596" w:firstLineChars="532"/>
        <w:jc w:val="left"/>
        <w:rPr>
          <w:color w:val="000000"/>
          <w:kern w:val="0"/>
          <w:sz w:val="30"/>
          <w:szCs w:val="30"/>
          <w:highlight w:val="white"/>
        </w:rPr>
      </w:pPr>
      <w:r>
        <w:rPr>
          <w:rFonts w:hint="eastAsia" w:ascii="宋体" w:hAnsi="宋体"/>
          <w:color w:val="000000"/>
          <w:kern w:val="0"/>
          <w:sz w:val="30"/>
          <w:szCs w:val="30"/>
          <w:highlight w:val="white"/>
        </w:rPr>
        <w:t>五、一般公共预算财政拨款支出决算表</w:t>
      </w:r>
    </w:p>
    <w:p>
      <w:pPr>
        <w:spacing w:line="520" w:lineRule="exact"/>
        <w:ind w:firstLine="1596" w:firstLineChars="532"/>
        <w:jc w:val="left"/>
        <w:rPr>
          <w:color w:val="000000"/>
          <w:kern w:val="0"/>
          <w:sz w:val="30"/>
          <w:szCs w:val="30"/>
          <w:highlight w:val="white"/>
        </w:rPr>
      </w:pPr>
      <w:r>
        <w:rPr>
          <w:rFonts w:hint="eastAsia" w:ascii="宋体" w:hAnsi="宋体"/>
          <w:color w:val="000000"/>
          <w:kern w:val="0"/>
          <w:sz w:val="30"/>
          <w:szCs w:val="30"/>
          <w:highlight w:val="white"/>
        </w:rPr>
        <w:t>六、一般公共预算财政拨款基本支出决算表</w:t>
      </w:r>
    </w:p>
    <w:p>
      <w:pPr>
        <w:spacing w:line="520" w:lineRule="exact"/>
        <w:ind w:firstLine="1596" w:firstLineChars="532"/>
        <w:jc w:val="left"/>
        <w:rPr>
          <w:color w:val="000000"/>
          <w:kern w:val="0"/>
          <w:sz w:val="30"/>
          <w:szCs w:val="30"/>
          <w:highlight w:val="white"/>
        </w:rPr>
      </w:pPr>
      <w:r>
        <w:rPr>
          <w:rFonts w:hint="eastAsia" w:ascii="宋体" w:hAnsi="宋体"/>
          <w:color w:val="000000"/>
          <w:kern w:val="0"/>
          <w:sz w:val="30"/>
          <w:szCs w:val="30"/>
          <w:highlight w:val="white"/>
        </w:rPr>
        <w:t>七、一般公共预算财政拨款</w:t>
      </w:r>
      <w:r>
        <w:rPr>
          <w:color w:val="000000"/>
          <w:kern w:val="0"/>
          <w:sz w:val="30"/>
          <w:szCs w:val="30"/>
          <w:highlight w:val="white"/>
        </w:rPr>
        <w:t>“</w:t>
      </w:r>
      <w:r>
        <w:rPr>
          <w:rFonts w:hint="eastAsia" w:ascii="宋体" w:hAnsi="宋体"/>
          <w:color w:val="000000"/>
          <w:kern w:val="0"/>
          <w:sz w:val="30"/>
          <w:szCs w:val="30"/>
          <w:highlight w:val="white"/>
        </w:rPr>
        <w:t>三公</w:t>
      </w:r>
      <w:r>
        <w:rPr>
          <w:color w:val="000000"/>
          <w:kern w:val="0"/>
          <w:sz w:val="30"/>
          <w:szCs w:val="30"/>
          <w:highlight w:val="white"/>
        </w:rPr>
        <w:t>”</w:t>
      </w:r>
      <w:r>
        <w:rPr>
          <w:rFonts w:hint="eastAsia" w:ascii="宋体" w:hAnsi="宋体"/>
          <w:color w:val="000000"/>
          <w:kern w:val="0"/>
          <w:sz w:val="30"/>
          <w:szCs w:val="30"/>
          <w:highlight w:val="white"/>
        </w:rPr>
        <w:t>经费支出决算表</w:t>
      </w:r>
    </w:p>
    <w:p>
      <w:pPr>
        <w:spacing w:line="520" w:lineRule="exact"/>
        <w:ind w:firstLine="1596" w:firstLineChars="532"/>
        <w:jc w:val="left"/>
        <w:rPr>
          <w:rFonts w:ascii="宋体" w:hAnsi="宋体"/>
          <w:color w:val="000000"/>
          <w:kern w:val="0"/>
          <w:sz w:val="30"/>
          <w:szCs w:val="30"/>
          <w:highlight w:val="white"/>
        </w:rPr>
      </w:pPr>
      <w:r>
        <w:rPr>
          <w:rFonts w:hint="eastAsia" w:ascii="宋体" w:hAnsi="宋体"/>
          <w:color w:val="000000"/>
          <w:kern w:val="0"/>
          <w:sz w:val="30"/>
          <w:szCs w:val="30"/>
          <w:highlight w:val="white"/>
        </w:rPr>
        <w:t>八、政府性基金预算财政拨款收入支出决算表</w:t>
      </w:r>
    </w:p>
    <w:p>
      <w:pPr>
        <w:spacing w:line="520" w:lineRule="exact"/>
        <w:ind w:firstLine="1596" w:firstLineChars="532"/>
        <w:jc w:val="left"/>
        <w:rPr>
          <w:rFonts w:hint="eastAsia"/>
          <w:color w:val="000000"/>
          <w:kern w:val="0"/>
          <w:sz w:val="30"/>
          <w:szCs w:val="30"/>
          <w:highlight w:val="white"/>
        </w:rPr>
      </w:pPr>
      <w:r>
        <w:rPr>
          <w:rFonts w:hint="eastAsia" w:ascii="宋体" w:hAnsi="宋体"/>
          <w:color w:val="000000"/>
          <w:kern w:val="0"/>
          <w:sz w:val="30"/>
          <w:szCs w:val="30"/>
          <w:highlight w:val="white"/>
        </w:rPr>
        <w:t>九、国有资本经营预算财政拨款收入支出决算表</w:t>
      </w:r>
    </w:p>
    <w:p>
      <w:pPr>
        <w:spacing w:line="520" w:lineRule="exact"/>
        <w:ind w:firstLine="640" w:firstLineChars="200"/>
        <w:jc w:val="left"/>
        <w:rPr>
          <w:color w:val="000000"/>
          <w:kern w:val="0"/>
          <w:sz w:val="32"/>
          <w:szCs w:val="32"/>
          <w:highlight w:val="white"/>
        </w:rPr>
      </w:pPr>
      <w:r>
        <w:rPr>
          <w:rFonts w:hint="eastAsia" w:ascii="黑体" w:hAnsi="黑体" w:eastAsia="黑体"/>
          <w:color w:val="000000"/>
          <w:kern w:val="0"/>
          <w:sz w:val="32"/>
          <w:szCs w:val="32"/>
          <w:highlight w:val="white"/>
        </w:rPr>
        <w:t>第三部分202</w:t>
      </w:r>
      <w:r>
        <w:rPr>
          <w:rFonts w:hint="eastAsia" w:ascii="黑体" w:hAnsi="黑体" w:eastAsia="黑体"/>
          <w:color w:val="000000"/>
          <w:kern w:val="0"/>
          <w:sz w:val="32"/>
          <w:szCs w:val="32"/>
          <w:highlight w:val="white"/>
          <w:lang w:val="en-US" w:eastAsia="zh-CN"/>
        </w:rPr>
        <w:t>2</w:t>
      </w:r>
      <w:r>
        <w:rPr>
          <w:rFonts w:hint="eastAsia" w:ascii="黑体" w:hAnsi="黑体" w:eastAsia="黑体"/>
          <w:color w:val="000000"/>
          <w:kern w:val="0"/>
          <w:sz w:val="32"/>
          <w:szCs w:val="32"/>
          <w:highlight w:val="white"/>
        </w:rPr>
        <w:t>年度部门决算情况说明</w:t>
      </w:r>
    </w:p>
    <w:p>
      <w:pPr>
        <w:pStyle w:val="10"/>
        <w:keepNext w:val="0"/>
        <w:keepLines w:val="0"/>
        <w:pageBreakBefore w:val="0"/>
        <w:widowControl w:val="0"/>
        <w:kinsoku/>
        <w:wordWrap/>
        <w:overflowPunct/>
        <w:topLinePunct w:val="0"/>
        <w:bidi w:val="0"/>
        <w:snapToGrid/>
        <w:spacing w:line="600" w:lineRule="exact"/>
        <w:ind w:firstLine="1400" w:firstLineChars="50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600" w:lineRule="exact"/>
        <w:ind w:firstLine="1400" w:firstLineChars="50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hint="eastAsia" w:ascii="宋体" w:hAnsi="宋体" w:eastAsia="宋体" w:cs="宋体"/>
          <w:color w:val="000000"/>
          <w:kern w:val="0"/>
          <w:sz w:val="28"/>
          <w:szCs w:val="28"/>
          <w:lang w:eastAsia="zh-CN"/>
        </w:rPr>
      </w:pPr>
      <w:r>
        <w:rPr>
          <w:rFonts w:hint="eastAsia" w:ascii="仿宋_GB2312" w:hAnsi="仿宋_GB2312" w:cs="仿宋_GB2312"/>
          <w:color w:val="000000"/>
          <w:kern w:val="0"/>
          <w:sz w:val="28"/>
          <w:szCs w:val="28"/>
          <w:lang w:eastAsia="zh-CN"/>
        </w:rPr>
        <w:t>九、</w:t>
      </w:r>
      <w:r>
        <w:rPr>
          <w:rFonts w:hint="eastAsia" w:ascii="宋体" w:hAnsi="宋体" w:eastAsia="宋体" w:cs="宋体"/>
          <w:sz w:val="28"/>
          <w:szCs w:val="28"/>
        </w:rPr>
        <w:t>国有资本经营预算财政拨款收入支出决算表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00" w:firstLineChars="50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600" w:lineRule="exact"/>
        <w:ind w:firstLine="1400" w:firstLineChars="50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keepNext w:val="0"/>
        <w:keepLines w:val="0"/>
        <w:pageBreakBefore w:val="0"/>
        <w:widowControl w:val="0"/>
        <w:kinsoku/>
        <w:wordWrap/>
        <w:overflowPunct/>
        <w:topLinePunct w:val="0"/>
        <w:bidi w:val="0"/>
        <w:snapToGrid/>
        <w:spacing w:line="600" w:lineRule="exact"/>
        <w:ind w:firstLine="1400" w:firstLineChars="50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w:t>
      </w:r>
      <w:r>
        <w:rPr>
          <w:rFonts w:hint="eastAsia" w:cs="仿宋_GB2312" w:asciiTheme="minorEastAsia" w:hAnsiTheme="minorEastAsia" w:eastAsiaTheme="minorEastAsia"/>
          <w:sz w:val="28"/>
          <w:szCs w:val="28"/>
          <w:lang w:val="en-US" w:eastAsia="zh-CN"/>
        </w:rPr>
        <w:t>2</w:t>
      </w:r>
      <w:r>
        <w:rPr>
          <w:rFonts w:hint="eastAsia" w:cs="仿宋_GB2312" w:asciiTheme="minorEastAsia" w:hAnsiTheme="minorEastAsia" w:eastAsiaTheme="minorEastAsia"/>
          <w:sz w:val="28"/>
          <w:szCs w:val="28"/>
        </w:rPr>
        <w:t>年</w:t>
      </w:r>
      <w:r>
        <w:rPr>
          <w:rFonts w:hint="eastAsia" w:ascii="仿宋_GB2312" w:hAnsi="仿宋_GB2312" w:cs="仿宋_GB2312" w:eastAsiaTheme="minorEastAsia"/>
          <w:sz w:val="28"/>
          <w:szCs w:val="28"/>
        </w:rPr>
        <w:t>度预算绩效情况说明</w:t>
      </w:r>
    </w:p>
    <w:p>
      <w:pPr>
        <w:spacing w:line="520" w:lineRule="exact"/>
        <w:ind w:firstLine="640" w:firstLineChars="200"/>
        <w:jc w:val="left"/>
        <w:rPr>
          <w:rFonts w:hint="eastAsia"/>
          <w:color w:val="000000"/>
          <w:kern w:val="0"/>
          <w:sz w:val="32"/>
          <w:szCs w:val="32"/>
          <w:highlight w:val="white"/>
        </w:rPr>
      </w:pPr>
      <w:r>
        <w:rPr>
          <w:rFonts w:hint="eastAsia" w:ascii="黑体" w:hAnsi="黑体" w:eastAsia="黑体"/>
          <w:color w:val="000000"/>
          <w:kern w:val="0"/>
          <w:sz w:val="32"/>
          <w:szCs w:val="32"/>
          <w:highlight w:val="white"/>
        </w:rPr>
        <w:t>第四部分名词解释</w:t>
      </w:r>
    </w:p>
    <w:p>
      <w:pPr>
        <w:spacing w:line="520" w:lineRule="exact"/>
        <w:ind w:firstLine="640" w:firstLineChars="200"/>
        <w:jc w:val="left"/>
        <w:rPr>
          <w:sz w:val="32"/>
          <w:szCs w:val="32"/>
          <w:highlight w:val="white"/>
        </w:rPr>
      </w:pPr>
      <w:r>
        <w:rPr>
          <w:rFonts w:hint="eastAsia" w:ascii="黑体" w:hAnsi="黑体" w:eastAsia="黑体"/>
          <w:color w:val="000000"/>
          <w:kern w:val="0"/>
          <w:sz w:val="32"/>
          <w:szCs w:val="32"/>
          <w:highlight w:val="white"/>
        </w:rPr>
        <w:t>第五部分附件</w:t>
      </w:r>
    </w:p>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 xml:space="preserve">第一部分 </w:t>
      </w: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赫山区全民健身服务中心</w:t>
      </w:r>
      <w:r>
        <w:rPr>
          <w:rFonts w:hint="eastAsia" w:ascii="方正小标宋_GBK" w:hAnsi="方正小标宋_GBK" w:eastAsia="方正小标宋_GBK" w:cs="方正小标宋_GBK"/>
          <w:sz w:val="52"/>
          <w:szCs w:val="52"/>
        </w:rPr>
        <w:t>概况</w:t>
      </w:r>
    </w:p>
    <w:p>
      <w:pPr>
        <w:keepNext/>
        <w:keepLines/>
        <w:spacing w:line="600" w:lineRule="exact"/>
        <w:ind w:firstLine="1280" w:firstLineChars="400"/>
        <w:rPr>
          <w:rFonts w:ascii="黑体" w:hAnsi="黑体" w:eastAsia="黑体"/>
          <w:sz w:val="32"/>
          <w:szCs w:val="32"/>
          <w:highlight w:val="white"/>
        </w:rPr>
      </w:pPr>
      <w:r>
        <w:rPr>
          <w:rFonts w:hint="eastAsia" w:ascii="黑体" w:hAnsi="黑体" w:eastAsia="黑体"/>
          <w:bCs/>
          <w:sz w:val="32"/>
          <w:szCs w:val="32"/>
          <w:highlight w:val="white"/>
        </w:rPr>
        <w:t>一、部门职责</w:t>
      </w:r>
    </w:p>
    <w:p>
      <w:pPr>
        <w:keepNext/>
        <w:keepLines/>
        <w:shd w:val="clear" w:color="auto" w:fill="FFFFFF"/>
        <w:autoSpaceDE w:val="0"/>
        <w:autoSpaceDN w:val="0"/>
        <w:adjustRightInd w:val="0"/>
        <w:spacing w:line="600" w:lineRule="exact"/>
        <w:ind w:firstLine="1200" w:firstLineChars="400"/>
        <w:jc w:val="left"/>
        <w:rPr>
          <w:rFonts w:hint="eastAsia" w:ascii="宋体" w:hAnsi="宋体"/>
          <w:sz w:val="30"/>
          <w:szCs w:val="30"/>
        </w:rPr>
      </w:pPr>
      <w:r>
        <w:rPr>
          <w:rFonts w:hint="eastAsia" w:ascii="宋体" w:hAnsi="宋体"/>
          <w:sz w:val="30"/>
          <w:szCs w:val="30"/>
          <w:lang w:eastAsia="zh-CN"/>
        </w:rPr>
        <w:t>（一）</w:t>
      </w:r>
      <w:r>
        <w:rPr>
          <w:rFonts w:hint="eastAsia" w:ascii="宋体" w:hAnsi="宋体"/>
          <w:sz w:val="30"/>
          <w:szCs w:val="30"/>
        </w:rPr>
        <w:t>负责指导全民健身运动项目的开展、普及和提高；</w:t>
      </w:r>
    </w:p>
    <w:p>
      <w:pPr>
        <w:keepNext/>
        <w:keepLines/>
        <w:shd w:val="clear" w:color="auto" w:fill="FFFFFF"/>
        <w:autoSpaceDE w:val="0"/>
        <w:autoSpaceDN w:val="0"/>
        <w:adjustRightInd w:val="0"/>
        <w:spacing w:line="600" w:lineRule="exact"/>
        <w:ind w:firstLine="1200" w:firstLineChars="400"/>
        <w:jc w:val="left"/>
        <w:rPr>
          <w:rFonts w:hint="eastAsia" w:ascii="宋体" w:hAnsi="宋体"/>
          <w:sz w:val="30"/>
          <w:szCs w:val="30"/>
        </w:rPr>
      </w:pPr>
      <w:r>
        <w:rPr>
          <w:rFonts w:hint="eastAsia" w:ascii="宋体" w:hAnsi="宋体"/>
          <w:sz w:val="30"/>
          <w:szCs w:val="30"/>
          <w:lang w:eastAsia="zh-CN"/>
        </w:rPr>
        <w:t>（二）</w:t>
      </w:r>
      <w:r>
        <w:rPr>
          <w:rFonts w:hint="eastAsia" w:ascii="宋体" w:hAnsi="宋体"/>
          <w:sz w:val="30"/>
          <w:szCs w:val="30"/>
        </w:rPr>
        <w:t>负责培训、推广和开发体育健身项目；</w:t>
      </w:r>
    </w:p>
    <w:p>
      <w:pPr>
        <w:keepNext/>
        <w:keepLines/>
        <w:shd w:val="clear" w:color="auto" w:fill="FFFFFF"/>
        <w:autoSpaceDE w:val="0"/>
        <w:autoSpaceDN w:val="0"/>
        <w:adjustRightInd w:val="0"/>
        <w:spacing w:line="600" w:lineRule="exact"/>
        <w:ind w:firstLine="1200" w:firstLineChars="400"/>
        <w:jc w:val="left"/>
        <w:rPr>
          <w:rFonts w:hint="eastAsia" w:ascii="宋体" w:hAnsi="宋体"/>
          <w:sz w:val="30"/>
          <w:szCs w:val="30"/>
        </w:rPr>
      </w:pPr>
      <w:r>
        <w:rPr>
          <w:rFonts w:hint="eastAsia" w:ascii="宋体" w:hAnsi="宋体"/>
          <w:sz w:val="30"/>
          <w:szCs w:val="30"/>
          <w:lang w:eastAsia="zh-CN"/>
        </w:rPr>
        <w:t>（三）</w:t>
      </w:r>
      <w:r>
        <w:rPr>
          <w:rFonts w:hint="eastAsia" w:ascii="宋体" w:hAnsi="宋体"/>
          <w:sz w:val="30"/>
          <w:szCs w:val="30"/>
        </w:rPr>
        <w:t>负责协调组织社会体育赛事及交流活动；</w:t>
      </w:r>
    </w:p>
    <w:p>
      <w:pPr>
        <w:keepNext/>
        <w:keepLines/>
        <w:shd w:val="clear" w:color="auto" w:fill="FFFFFF"/>
        <w:autoSpaceDE w:val="0"/>
        <w:autoSpaceDN w:val="0"/>
        <w:adjustRightInd w:val="0"/>
        <w:spacing w:line="600" w:lineRule="exact"/>
        <w:ind w:firstLine="1200" w:firstLineChars="400"/>
        <w:jc w:val="left"/>
        <w:rPr>
          <w:rFonts w:hint="eastAsia" w:ascii="宋体" w:hAnsi="宋体"/>
          <w:sz w:val="30"/>
          <w:szCs w:val="30"/>
        </w:rPr>
      </w:pPr>
      <w:r>
        <w:rPr>
          <w:rFonts w:hint="eastAsia" w:ascii="宋体" w:hAnsi="宋体"/>
          <w:sz w:val="30"/>
          <w:szCs w:val="30"/>
          <w:lang w:eastAsia="zh-CN"/>
        </w:rPr>
        <w:t>（四）</w:t>
      </w:r>
      <w:r>
        <w:rPr>
          <w:rFonts w:hint="eastAsia" w:ascii="宋体" w:hAnsi="宋体"/>
          <w:sz w:val="30"/>
          <w:szCs w:val="30"/>
        </w:rPr>
        <w:t>配合做好重大社会体育活动的组织实施工作；</w:t>
      </w:r>
    </w:p>
    <w:p>
      <w:pPr>
        <w:keepNext/>
        <w:keepLines/>
        <w:shd w:val="clear" w:color="auto" w:fill="FFFFFF"/>
        <w:autoSpaceDE w:val="0"/>
        <w:autoSpaceDN w:val="0"/>
        <w:adjustRightInd w:val="0"/>
        <w:spacing w:line="600" w:lineRule="exact"/>
        <w:ind w:firstLine="1200" w:firstLineChars="400"/>
        <w:jc w:val="left"/>
        <w:rPr>
          <w:rFonts w:hint="eastAsia" w:ascii="宋体" w:hAnsi="宋体"/>
          <w:sz w:val="30"/>
          <w:szCs w:val="30"/>
        </w:rPr>
      </w:pPr>
      <w:r>
        <w:rPr>
          <w:rFonts w:hint="eastAsia" w:ascii="宋体" w:hAnsi="宋体"/>
          <w:sz w:val="30"/>
          <w:szCs w:val="30"/>
          <w:lang w:eastAsia="zh-CN"/>
        </w:rPr>
        <w:t>（五）</w:t>
      </w:r>
      <w:r>
        <w:rPr>
          <w:rFonts w:hint="eastAsia" w:ascii="宋体" w:hAnsi="宋体"/>
          <w:sz w:val="30"/>
          <w:szCs w:val="30"/>
        </w:rPr>
        <w:t>组织各类体育培训班、学术讲座、专业技术报告会，开展科研活动，发挥咨询作用；</w:t>
      </w:r>
    </w:p>
    <w:p>
      <w:pPr>
        <w:keepNext/>
        <w:keepLines/>
        <w:shd w:val="clear" w:color="auto" w:fill="FFFFFF"/>
        <w:autoSpaceDE w:val="0"/>
        <w:autoSpaceDN w:val="0"/>
        <w:adjustRightInd w:val="0"/>
        <w:spacing w:line="600" w:lineRule="exact"/>
        <w:ind w:firstLine="1200" w:firstLineChars="400"/>
        <w:jc w:val="left"/>
        <w:rPr>
          <w:rFonts w:hint="eastAsia" w:ascii="宋体" w:hAnsi="宋体"/>
          <w:sz w:val="30"/>
          <w:szCs w:val="30"/>
        </w:rPr>
      </w:pPr>
      <w:r>
        <w:rPr>
          <w:rFonts w:hint="eastAsia" w:ascii="宋体" w:hAnsi="宋体"/>
          <w:sz w:val="30"/>
          <w:szCs w:val="30"/>
          <w:lang w:eastAsia="zh-CN"/>
        </w:rPr>
        <w:t>（六）</w:t>
      </w:r>
      <w:r>
        <w:rPr>
          <w:rFonts w:hint="eastAsia" w:ascii="宋体" w:hAnsi="宋体"/>
          <w:sz w:val="30"/>
          <w:szCs w:val="30"/>
        </w:rPr>
        <w:t>做好青少年体育培训、指导、教研等工作；</w:t>
      </w:r>
    </w:p>
    <w:p>
      <w:pPr>
        <w:keepNext/>
        <w:keepLines/>
        <w:shd w:val="clear" w:color="auto" w:fill="FFFFFF"/>
        <w:autoSpaceDE w:val="0"/>
        <w:autoSpaceDN w:val="0"/>
        <w:adjustRightInd w:val="0"/>
        <w:spacing w:line="600" w:lineRule="exact"/>
        <w:ind w:firstLine="1200" w:firstLineChars="400"/>
        <w:jc w:val="left"/>
        <w:rPr>
          <w:rFonts w:hint="eastAsia" w:ascii="宋体" w:hAnsi="宋体"/>
          <w:kern w:val="0"/>
          <w:sz w:val="30"/>
          <w:szCs w:val="30"/>
        </w:rPr>
      </w:pPr>
      <w:r>
        <w:rPr>
          <w:rFonts w:hint="eastAsia" w:ascii="宋体" w:hAnsi="宋体"/>
          <w:sz w:val="30"/>
          <w:szCs w:val="30"/>
          <w:lang w:eastAsia="zh-CN"/>
        </w:rPr>
        <w:t>（七）</w:t>
      </w:r>
      <w:r>
        <w:rPr>
          <w:rFonts w:hint="eastAsia" w:ascii="宋体" w:hAnsi="宋体"/>
          <w:sz w:val="30"/>
          <w:szCs w:val="30"/>
        </w:rPr>
        <w:t>协助做好体育项目裁判员、教练员及运动员的培训、使用工作。</w:t>
      </w:r>
    </w:p>
    <w:p>
      <w:pPr>
        <w:keepNext/>
        <w:keepLines/>
        <w:spacing w:line="600" w:lineRule="exact"/>
        <w:ind w:firstLine="1280" w:firstLineChars="400"/>
        <w:rPr>
          <w:rFonts w:hint="eastAsia" w:ascii="宋体" w:hAnsi="宋体"/>
          <w:sz w:val="32"/>
          <w:szCs w:val="32"/>
          <w:highlight w:val="white"/>
        </w:rPr>
      </w:pPr>
      <w:r>
        <w:rPr>
          <w:rFonts w:hint="eastAsia" w:ascii="黑体" w:hAnsi="黑体" w:eastAsia="黑体"/>
          <w:sz w:val="32"/>
          <w:szCs w:val="32"/>
          <w:highlight w:val="white"/>
        </w:rPr>
        <w:t>二、机构设置及决算单位构成</w:t>
      </w:r>
    </w:p>
    <w:p>
      <w:pPr>
        <w:keepNext/>
        <w:keepLines/>
        <w:spacing w:line="600" w:lineRule="exact"/>
        <w:ind w:firstLine="1205" w:firstLineChars="400"/>
        <w:rPr>
          <w:rFonts w:hint="eastAsia" w:ascii="宋体" w:hAnsi="宋体"/>
          <w:sz w:val="30"/>
          <w:szCs w:val="30"/>
          <w:highlight w:val="white"/>
        </w:rPr>
      </w:pPr>
      <w:r>
        <w:rPr>
          <w:rFonts w:hint="eastAsia" w:ascii="宋体" w:hAnsi="宋体"/>
          <w:b/>
          <w:bCs/>
          <w:sz w:val="30"/>
          <w:szCs w:val="30"/>
          <w:highlight w:val="white"/>
        </w:rPr>
        <w:t>（一）内设机构设置</w:t>
      </w:r>
    </w:p>
    <w:p>
      <w:pPr>
        <w:keepNext/>
        <w:keepLines/>
        <w:spacing w:line="600" w:lineRule="exact"/>
        <w:ind w:firstLine="1200" w:firstLineChars="400"/>
        <w:rPr>
          <w:rFonts w:hint="eastAsia" w:ascii="宋体" w:hAnsi="宋体"/>
          <w:color w:val="FF0000"/>
          <w:sz w:val="30"/>
          <w:szCs w:val="30"/>
          <w:highlight w:val="white"/>
        </w:rPr>
      </w:pPr>
      <w:r>
        <w:rPr>
          <w:rFonts w:hint="eastAsia" w:ascii="宋体" w:hAnsi="宋体"/>
          <w:sz w:val="30"/>
          <w:szCs w:val="30"/>
          <w:highlight w:val="white"/>
        </w:rPr>
        <w:t>益阳市赫山区全民健身服务中心单位内设机构包括：业余体校、办公室、财务室、群体股、体育馆。</w:t>
      </w:r>
    </w:p>
    <w:p>
      <w:pPr>
        <w:keepNext/>
        <w:keepLines/>
        <w:spacing w:line="600" w:lineRule="exact"/>
        <w:ind w:firstLine="1205" w:firstLineChars="400"/>
        <w:rPr>
          <w:rFonts w:hint="eastAsia" w:ascii="宋体" w:hAnsi="宋体"/>
          <w:color w:val="000000"/>
          <w:sz w:val="32"/>
          <w:szCs w:val="32"/>
          <w:highlight w:val="white"/>
        </w:rPr>
      </w:pPr>
      <w:r>
        <w:rPr>
          <w:rFonts w:hint="eastAsia" w:ascii="宋体" w:hAnsi="宋体"/>
          <w:b/>
          <w:bCs/>
          <w:color w:val="000000"/>
          <w:sz w:val="30"/>
          <w:szCs w:val="30"/>
          <w:highlight w:val="white"/>
        </w:rPr>
        <w:t>（二）决算单位构成</w:t>
      </w:r>
    </w:p>
    <w:p>
      <w:pPr>
        <w:keepNext/>
        <w:keepLines/>
        <w:autoSpaceDE w:val="0"/>
        <w:spacing w:line="600" w:lineRule="exact"/>
        <w:ind w:firstLine="1200" w:firstLineChars="400"/>
        <w:rPr>
          <w:rFonts w:hint="eastAsia" w:ascii="宋体" w:hAnsi="宋体"/>
          <w:color w:val="000000"/>
          <w:sz w:val="30"/>
          <w:szCs w:val="30"/>
          <w:highlight w:val="white"/>
        </w:rPr>
      </w:pPr>
      <w:r>
        <w:rPr>
          <w:rFonts w:hint="eastAsia" w:ascii="宋体" w:hAnsi="宋体"/>
          <w:color w:val="000000"/>
          <w:sz w:val="30"/>
          <w:szCs w:val="30"/>
          <w:highlight w:val="white"/>
        </w:rPr>
        <w:t>益阳市赫山区全民健身服务中心单位202</w:t>
      </w:r>
      <w:r>
        <w:rPr>
          <w:rFonts w:hint="eastAsia" w:ascii="宋体" w:hAnsi="宋体"/>
          <w:color w:val="000000"/>
          <w:sz w:val="30"/>
          <w:szCs w:val="30"/>
          <w:highlight w:val="white"/>
          <w:lang w:val="en-US" w:eastAsia="zh-CN"/>
        </w:rPr>
        <w:t>2</w:t>
      </w:r>
      <w:r>
        <w:rPr>
          <w:rFonts w:hint="eastAsia" w:ascii="宋体" w:hAnsi="宋体"/>
          <w:color w:val="000000"/>
          <w:sz w:val="30"/>
          <w:szCs w:val="30"/>
          <w:highlight w:val="white"/>
        </w:rPr>
        <w:t>年部门决算汇总公开单位构成仅只包括机关本级决算，无二级财务独立机构。</w:t>
      </w:r>
    </w:p>
    <w:p>
      <w:pPr>
        <w:tabs>
          <w:tab w:val="left" w:pos="1566"/>
        </w:tabs>
        <w:jc w:val="left"/>
        <w:rPr>
          <w:rFonts w:hint="eastAsia" w:ascii="方正小标宋_GBK" w:hAnsi="方正小标宋_GBK" w:eastAsia="方正小标宋_GBK" w:cs="方正小标宋_GBK"/>
          <w:sz w:val="72"/>
          <w:szCs w:val="72"/>
          <w:lang w:eastAsia="zh-CN"/>
        </w:rPr>
      </w:pP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第二部分</w:t>
      </w: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部门决算表</w:t>
      </w:r>
    </w:p>
    <w:p>
      <w:pPr>
        <w:tabs>
          <w:tab w:val="left" w:pos="936"/>
        </w:tabs>
        <w:jc w:val="left"/>
        <w:rPr>
          <w:rFonts w:hint="eastAsia" w:eastAsiaTheme="minorEastAsia"/>
          <w:sz w:val="52"/>
          <w:szCs w:val="52"/>
          <w:lang w:eastAsia="zh-CN"/>
        </w:rP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center"/>
        <w:rPr>
          <w:sz w:val="72"/>
          <w:szCs w:val="72"/>
        </w:rPr>
      </w:pPr>
    </w:p>
    <w:p>
      <w:pPr>
        <w:jc w:val="center"/>
        <w:rPr>
          <w:sz w:val="72"/>
          <w:szCs w:val="72"/>
        </w:rPr>
      </w:pPr>
    </w:p>
    <w:p>
      <w:pPr>
        <w:jc w:val="center"/>
      </w:pPr>
      <w:r>
        <w:drawing>
          <wp:inline distT="0" distB="0" distL="114300" distR="114300">
            <wp:extent cx="6636385" cy="3184525"/>
            <wp:effectExtent l="0" t="0" r="1206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3184525"/>
                    </a:xfrm>
                    <a:prstGeom prst="rect">
                      <a:avLst/>
                    </a:prstGeom>
                    <a:noFill/>
                    <a:ln>
                      <a:noFill/>
                    </a:ln>
                  </pic:spPr>
                </pic:pic>
              </a:graphicData>
            </a:graphic>
          </wp:inline>
        </w:drawing>
      </w:r>
    </w:p>
    <w:p>
      <w:pPr>
        <w:pStyle w:val="2"/>
      </w:pPr>
    </w:p>
    <w:p/>
    <w:p>
      <w:pPr>
        <w:pStyle w:val="2"/>
      </w:pPr>
    </w:p>
    <w:p/>
    <w:p>
      <w:pPr>
        <w:pStyle w:val="2"/>
      </w:pPr>
      <w:r>
        <w:drawing>
          <wp:inline distT="0" distB="0" distL="114300" distR="114300">
            <wp:extent cx="6644640" cy="355346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553460"/>
                    </a:xfrm>
                    <a:prstGeom prst="rect">
                      <a:avLst/>
                    </a:prstGeom>
                    <a:noFill/>
                    <a:ln>
                      <a:noFill/>
                    </a:ln>
                  </pic:spPr>
                </pic:pic>
              </a:graphicData>
            </a:graphic>
          </wp:inline>
        </w:drawing>
      </w:r>
    </w:p>
    <w:p/>
    <w:p>
      <w:pPr>
        <w:pStyle w:val="2"/>
      </w:pPr>
    </w:p>
    <w:p/>
    <w:p>
      <w:pPr>
        <w:pStyle w:val="2"/>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
      <w:pPr>
        <w:pStyle w:val="2"/>
      </w:pPr>
      <w:r>
        <w:drawing>
          <wp:inline distT="0" distB="0" distL="114300" distR="114300">
            <wp:extent cx="6640830" cy="3912870"/>
            <wp:effectExtent l="0" t="0" r="762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912870"/>
                    </a:xfrm>
                    <a:prstGeom prst="rect">
                      <a:avLst/>
                    </a:prstGeom>
                    <a:noFill/>
                    <a:ln>
                      <a:noFill/>
                    </a:ln>
                  </pic:spPr>
                </pic:pic>
              </a:graphicData>
            </a:graphic>
          </wp:inline>
        </w:drawing>
      </w:r>
    </w:p>
    <w:p>
      <w:pPr>
        <w:jc w:val="center"/>
        <w:rPr>
          <w:sz w:val="72"/>
          <w:szCs w:val="72"/>
        </w:rPr>
      </w:pPr>
    </w:p>
    <w:p>
      <w:pPr>
        <w:jc w:val="center"/>
        <w:rPr>
          <w:sz w:val="72"/>
          <w:szCs w:val="72"/>
        </w:rPr>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pPr>
      <w:r>
        <w:drawing>
          <wp:inline distT="0" distB="0" distL="114300" distR="114300">
            <wp:extent cx="5682615" cy="1936115"/>
            <wp:effectExtent l="0" t="0" r="1333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682615" cy="1936115"/>
                    </a:xfrm>
                    <a:prstGeom prst="rect">
                      <a:avLst/>
                    </a:prstGeom>
                    <a:noFill/>
                    <a:ln>
                      <a:noFill/>
                    </a:ln>
                  </pic:spPr>
                </pic:pic>
              </a:graphicData>
            </a:graphic>
          </wp:inline>
        </w:drawing>
      </w:r>
    </w:p>
    <w:p>
      <w:pPr>
        <w:pStyle w:val="10"/>
        <w:jc w:val="center"/>
      </w:pPr>
    </w:p>
    <w:p>
      <w:pPr>
        <w:pStyle w:val="10"/>
        <w:jc w:val="center"/>
      </w:pPr>
    </w:p>
    <w:p>
      <w:pPr>
        <w:pStyle w:val="10"/>
        <w:jc w:val="center"/>
      </w:pPr>
    </w:p>
    <w:p>
      <w:pPr>
        <w:pStyle w:val="10"/>
        <w:jc w:val="center"/>
      </w:pPr>
      <w:r>
        <w:drawing>
          <wp:inline distT="0" distB="0" distL="114300" distR="114300">
            <wp:extent cx="5688330" cy="2574290"/>
            <wp:effectExtent l="0" t="0" r="7620" b="165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688330" cy="2574290"/>
                    </a:xfrm>
                    <a:prstGeom prst="rect">
                      <a:avLst/>
                    </a:prstGeom>
                    <a:noFill/>
                    <a:ln>
                      <a:noFill/>
                    </a:ln>
                  </pic:spPr>
                </pic:pic>
              </a:graphicData>
            </a:graphic>
          </wp:inline>
        </w:drawing>
      </w:r>
    </w:p>
    <w:p>
      <w:pPr>
        <w:pStyle w:val="10"/>
        <w:jc w:val="center"/>
        <w:rPr>
          <w:rFonts w:hint="eastAsia" w:eastAsia="黑体"/>
          <w:lang w:val="en-US" w:eastAsia="zh-CN"/>
        </w:rPr>
      </w:pPr>
      <w:r>
        <w:rPr>
          <w:rFonts w:hint="eastAsia"/>
          <w:lang w:val="en-US" w:eastAsia="zh-CN"/>
        </w:rPr>
        <w:t>本年本单位无此业务发生，故本表无数据。</w:t>
      </w:r>
    </w:p>
    <w:p>
      <w:pPr>
        <w:pStyle w:val="10"/>
        <w:jc w:val="center"/>
      </w:pPr>
    </w:p>
    <w:p>
      <w:pPr>
        <w:pStyle w:val="10"/>
        <w:jc w:val="center"/>
      </w:pPr>
    </w:p>
    <w:p>
      <w:pPr>
        <w:pStyle w:val="10"/>
        <w:jc w:val="center"/>
        <w:rPr>
          <w:rFonts w:hint="eastAsia"/>
        </w:rPr>
      </w:pPr>
      <w:r>
        <w:drawing>
          <wp:inline distT="0" distB="0" distL="114300" distR="114300">
            <wp:extent cx="5678170" cy="965835"/>
            <wp:effectExtent l="0" t="0" r="1778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678170" cy="965835"/>
                    </a:xfrm>
                    <a:prstGeom prst="rect">
                      <a:avLst/>
                    </a:prstGeom>
                    <a:noFill/>
                    <a:ln>
                      <a:noFill/>
                    </a:ln>
                  </pic:spPr>
                </pic:pic>
              </a:graphicData>
            </a:graphic>
          </wp:inline>
        </w:drawing>
      </w:r>
    </w:p>
    <w:p>
      <w:pPr>
        <w:pStyle w:val="10"/>
        <w:jc w:val="center"/>
        <w:rPr>
          <w:rFonts w:hint="eastAsia" w:eastAsia="黑体"/>
          <w:lang w:val="en-US" w:eastAsia="zh-CN"/>
        </w:rPr>
      </w:pPr>
      <w:r>
        <w:rPr>
          <w:rFonts w:hint="eastAsia"/>
          <w:lang w:val="en-US" w:eastAsia="zh-CN"/>
        </w:rPr>
        <w:t>本年本单位无此业务发生，故本表无数据。</w:t>
      </w:r>
    </w:p>
    <w:p>
      <w:pPr>
        <w:pStyle w:val="10"/>
        <w:jc w:val="center"/>
        <w:rPr>
          <w:rFonts w:hint="eastAsia" w:ascii="方正小标宋_GBK" w:hAnsi="方正小标宋_GBK" w:eastAsia="方正小标宋_GBK" w:cs="方正小标宋_GBK"/>
          <w:sz w:val="72"/>
          <w:szCs w:val="72"/>
        </w:rPr>
      </w:pPr>
      <w:bookmarkStart w:id="0" w:name="_GoBack"/>
      <w:bookmarkEnd w:id="0"/>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第三部分</w:t>
      </w:r>
    </w:p>
    <w:p>
      <w:pPr>
        <w:pStyle w:val="1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b/>
          <w:bCs w:val="0"/>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年度收、支总计</w:t>
      </w:r>
      <w:r>
        <w:rPr>
          <w:rFonts w:hint="eastAsia" w:ascii="仿宋_GB2312" w:hAnsi="仿宋_GB2312" w:eastAsia="仿宋_GB2312" w:cs="仿宋_GB2312"/>
          <w:sz w:val="32"/>
          <w:szCs w:val="32"/>
          <w:lang w:val="en-US" w:eastAsia="zh-CN"/>
        </w:rPr>
        <w:t>367.66</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282.26</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用于体育场地设施建设的项目经费减少。</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367.66</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322.12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87.62</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45.54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12.38</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367.66</w:t>
      </w:r>
      <w:r>
        <w:rPr>
          <w:rFonts w:hint="eastAsia" w:ascii="仿宋_GB2312" w:hAnsi="仿宋_GB2312" w:eastAsia="仿宋_GB2312" w:cs="仿宋_GB2312"/>
          <w:sz w:val="32"/>
          <w:szCs w:val="32"/>
        </w:rPr>
        <w:t>万元，其中：基本支出X</w:t>
      </w:r>
      <w:r>
        <w:rPr>
          <w:rFonts w:hint="eastAsia" w:ascii="仿宋_GB2312" w:hAnsi="仿宋_GB2312" w:eastAsia="仿宋_GB2312" w:cs="仿宋_GB2312"/>
          <w:sz w:val="32"/>
          <w:szCs w:val="32"/>
          <w:lang w:val="en-US" w:eastAsia="zh-CN"/>
        </w:rPr>
        <w:t>262.16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71.30</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105.5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28.70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年度财政拨款收、支总计</w:t>
      </w:r>
      <w:r>
        <w:rPr>
          <w:rFonts w:hint="eastAsia" w:ascii="仿宋_GB2312" w:hAnsi="仿宋_GB2312" w:eastAsia="仿宋_GB2312" w:cs="仿宋_GB2312"/>
          <w:sz w:val="32"/>
          <w:szCs w:val="32"/>
          <w:lang w:val="en-US" w:eastAsia="zh-CN"/>
        </w:rPr>
        <w:t>322.12</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282.63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46.74</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项目经费支出减少。</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b/>
          <w:bCs w:val="0"/>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（一）财政拨款支出决算总体情况</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301.63</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93.64</w:t>
      </w:r>
      <w:r>
        <w:rPr>
          <w:rFonts w:hint="eastAsia" w:ascii="仿宋_GB2312" w:hAnsi="仿宋_GB2312" w:eastAsia="仿宋_GB2312" w:cs="仿宋_GB2312"/>
          <w:sz w:val="32"/>
          <w:szCs w:val="32"/>
        </w:rPr>
        <w:t>%，与上年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604.75万元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相比，财政拨款支出减少</w:t>
      </w:r>
      <w:r>
        <w:rPr>
          <w:rFonts w:hint="eastAsia" w:ascii="仿宋_GB2312" w:hAnsi="仿宋_GB2312" w:eastAsia="仿宋_GB2312" w:cs="仿宋_GB2312"/>
          <w:sz w:val="32"/>
          <w:szCs w:val="32"/>
          <w:lang w:val="en-US" w:eastAsia="zh-CN"/>
        </w:rPr>
        <w:t>303.12</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50.13</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项目支出减少。</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（二）财政拨款支出决算结构情况</w:t>
      </w:r>
    </w:p>
    <w:p>
      <w:pPr>
        <w:pStyle w:val="10"/>
        <w:spacing w:line="600" w:lineRule="exact"/>
        <w:ind w:firstLine="640" w:firstLineChars="200"/>
        <w:rPr>
          <w:rFonts w:ascii="仿宋" w:hAnsi="仿宋" w:eastAsia="仿宋" w:cs="仿宋"/>
          <w:sz w:val="30"/>
          <w:szCs w:val="30"/>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322.12</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文化旅游体育与传媒</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281.79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87.48</w:t>
      </w:r>
      <w:r>
        <w:rPr>
          <w:rFonts w:hint="eastAsia" w:ascii="仿宋_GB2312" w:hAnsi="仿宋_GB2312" w:eastAsia="仿宋_GB2312" w:cs="仿宋_GB2312"/>
          <w:sz w:val="32"/>
          <w:szCs w:val="32"/>
        </w:rPr>
        <w:t>%；</w:t>
      </w: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11.51</w:t>
      </w:r>
      <w:r>
        <w:rPr>
          <w:rFonts w:hint="eastAsia" w:ascii="仿宋" w:hAnsi="仿宋" w:eastAsia="仿宋" w:cs="仿宋"/>
          <w:sz w:val="30"/>
          <w:szCs w:val="30"/>
        </w:rPr>
        <w:t>万元，占</w:t>
      </w:r>
      <w:r>
        <w:rPr>
          <w:rFonts w:hint="eastAsia" w:ascii="仿宋" w:hAnsi="仿宋" w:eastAsia="仿宋" w:cs="仿宋"/>
          <w:sz w:val="30"/>
          <w:szCs w:val="30"/>
          <w:lang w:val="en-US" w:eastAsia="zh-CN"/>
        </w:rPr>
        <w:t>3.58</w:t>
      </w:r>
      <w:r>
        <w:rPr>
          <w:rFonts w:hint="eastAsia" w:ascii="仿宋" w:hAnsi="仿宋" w:eastAsia="仿宋" w:cs="仿宋"/>
          <w:sz w:val="30"/>
          <w:szCs w:val="30"/>
        </w:rPr>
        <w:t>%；卫生健康支出</w:t>
      </w:r>
      <w:r>
        <w:rPr>
          <w:rFonts w:hint="eastAsia" w:ascii="仿宋" w:hAnsi="仿宋" w:eastAsia="仿宋" w:cs="仿宋"/>
          <w:sz w:val="30"/>
          <w:szCs w:val="30"/>
          <w:lang w:val="en-US" w:eastAsia="zh-CN"/>
        </w:rPr>
        <w:t>8.33</w:t>
      </w:r>
      <w:r>
        <w:rPr>
          <w:rFonts w:hint="eastAsia" w:ascii="仿宋" w:hAnsi="仿宋" w:eastAsia="仿宋" w:cs="仿宋"/>
          <w:sz w:val="30"/>
          <w:szCs w:val="30"/>
        </w:rPr>
        <w:t>万元，占</w:t>
      </w:r>
      <w:r>
        <w:rPr>
          <w:rFonts w:hint="eastAsia" w:ascii="仿宋" w:hAnsi="仿宋" w:eastAsia="仿宋" w:cs="仿宋"/>
          <w:sz w:val="30"/>
          <w:szCs w:val="30"/>
          <w:lang w:val="en-US" w:eastAsia="zh-CN"/>
        </w:rPr>
        <w:t>2.59</w:t>
      </w:r>
      <w:r>
        <w:rPr>
          <w:rFonts w:hint="eastAsia" w:ascii="仿宋" w:hAnsi="仿宋" w:eastAsia="仿宋" w:cs="仿宋"/>
          <w:sz w:val="30"/>
          <w:szCs w:val="30"/>
        </w:rPr>
        <w:t>%；</w:t>
      </w:r>
      <w:r>
        <w:rPr>
          <w:rFonts w:hint="eastAsia" w:ascii="仿宋" w:hAnsi="仿宋" w:eastAsia="仿宋" w:cs="仿宋"/>
          <w:sz w:val="30"/>
          <w:szCs w:val="30"/>
          <w:lang w:eastAsia="zh-CN"/>
        </w:rPr>
        <w:t>其他支出</w:t>
      </w:r>
      <w:r>
        <w:rPr>
          <w:rFonts w:hint="eastAsia" w:ascii="仿宋" w:hAnsi="仿宋" w:eastAsia="仿宋" w:cs="仿宋"/>
          <w:sz w:val="30"/>
          <w:szCs w:val="30"/>
          <w:lang w:val="en-US" w:eastAsia="zh-CN"/>
        </w:rPr>
        <w:t>20.49</w:t>
      </w:r>
      <w:r>
        <w:rPr>
          <w:rFonts w:hint="eastAsia" w:ascii="仿宋" w:hAnsi="仿宋" w:eastAsia="仿宋" w:cs="仿宋"/>
          <w:sz w:val="30"/>
          <w:szCs w:val="30"/>
        </w:rPr>
        <w:t>万元，占</w:t>
      </w:r>
      <w:r>
        <w:rPr>
          <w:rFonts w:hint="eastAsia" w:ascii="仿宋" w:hAnsi="仿宋" w:eastAsia="仿宋" w:cs="仿宋"/>
          <w:sz w:val="30"/>
          <w:szCs w:val="30"/>
          <w:lang w:val="en-US" w:eastAsia="zh-CN"/>
        </w:rPr>
        <w:t>6.36</w:t>
      </w:r>
      <w:r>
        <w:rPr>
          <w:rFonts w:hint="eastAsia" w:ascii="仿宋" w:hAnsi="仿宋" w:eastAsia="仿宋" w:cs="仿宋"/>
          <w:sz w:val="30"/>
          <w:szCs w:val="30"/>
        </w:rPr>
        <w:t>%。</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（三）财政拨款支出决算具体情况</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年度财政拨款支出年初预算数为</w:t>
      </w:r>
      <w:r>
        <w:rPr>
          <w:rFonts w:hint="eastAsia" w:ascii="仿宋_GB2312" w:hAnsi="仿宋_GB2312" w:eastAsia="仿宋_GB2312" w:cs="仿宋_GB2312"/>
          <w:sz w:val="32"/>
          <w:szCs w:val="32"/>
          <w:lang w:val="en-US" w:eastAsia="zh-CN"/>
        </w:rPr>
        <w:t>194.74</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301.63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154.89</w:t>
      </w:r>
      <w:r>
        <w:rPr>
          <w:rFonts w:hint="eastAsia" w:ascii="仿宋_GB2312" w:hAnsi="仿宋_GB2312" w:eastAsia="仿宋_GB2312" w:cs="仿宋_GB2312"/>
          <w:sz w:val="32"/>
          <w:szCs w:val="32"/>
        </w:rPr>
        <w:t>%，其中：</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kern w:val="2"/>
          <w:sz w:val="30"/>
          <w:szCs w:val="30"/>
        </w:rPr>
        <w:t>1.文化旅游体育与传媒支出</w:t>
      </w:r>
      <w:r>
        <w:rPr>
          <w:rFonts w:hint="eastAsia" w:ascii="仿宋" w:hAnsi="仿宋" w:eastAsia="仿宋" w:cs="仿宋"/>
          <w:sz w:val="30"/>
          <w:szCs w:val="30"/>
          <w:lang w:val="zh-CN"/>
        </w:rPr>
        <w:t>（类）体育（款）</w:t>
      </w:r>
      <w:r>
        <w:rPr>
          <w:rFonts w:hint="eastAsia" w:ascii="仿宋" w:hAnsi="仿宋" w:eastAsia="仿宋" w:cs="仿宋"/>
          <w:sz w:val="30"/>
          <w:szCs w:val="30"/>
        </w:rPr>
        <w:t>行政运行（项）</w:t>
      </w:r>
    </w:p>
    <w:p>
      <w:pPr>
        <w:pStyle w:val="10"/>
        <w:spacing w:line="600" w:lineRule="exact"/>
        <w:ind w:firstLine="600" w:firstLineChars="200"/>
        <w:rPr>
          <w:rFonts w:hint="eastAsia" w:eastAsia="仿宋"/>
          <w:lang w:eastAsia="zh-CN"/>
        </w:rPr>
      </w:pPr>
      <w:r>
        <w:rPr>
          <w:rFonts w:hint="eastAsia" w:ascii="仿宋" w:hAnsi="仿宋" w:eastAsia="仿宋" w:cs="仿宋"/>
          <w:sz w:val="30"/>
          <w:szCs w:val="30"/>
          <w:lang w:val="zh-CN"/>
        </w:rPr>
        <w:t>年初预算数为</w:t>
      </w:r>
      <w:r>
        <w:rPr>
          <w:rFonts w:hint="eastAsia" w:ascii="仿宋" w:hAnsi="仿宋" w:eastAsia="仿宋" w:cs="仿宋"/>
          <w:sz w:val="30"/>
          <w:szCs w:val="30"/>
          <w:lang w:val="en-US" w:eastAsia="zh-CN"/>
        </w:rPr>
        <w:t>120.84</w:t>
      </w:r>
      <w:r>
        <w:rPr>
          <w:rFonts w:hint="eastAsia" w:ascii="仿宋" w:hAnsi="仿宋" w:eastAsia="仿宋" w:cs="仿宋"/>
          <w:sz w:val="30"/>
          <w:szCs w:val="30"/>
        </w:rPr>
        <w:t>万元，决算数为</w:t>
      </w:r>
      <w:r>
        <w:rPr>
          <w:rFonts w:hint="eastAsia" w:ascii="仿宋" w:hAnsi="仿宋" w:eastAsia="仿宋" w:cs="仿宋"/>
          <w:sz w:val="30"/>
          <w:szCs w:val="30"/>
          <w:lang w:val="en-US" w:eastAsia="zh-CN"/>
        </w:rPr>
        <w:t>170.43</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141.04</w:t>
      </w:r>
      <w:r>
        <w:rPr>
          <w:rFonts w:hint="eastAsia" w:ascii="仿宋" w:hAnsi="仿宋" w:eastAsia="仿宋" w:cs="仿宋"/>
          <w:sz w:val="30"/>
          <w:szCs w:val="30"/>
        </w:rPr>
        <w:t>%，决算数大于年初预算数的主要原因是</w:t>
      </w:r>
      <w:r>
        <w:rPr>
          <w:rFonts w:hint="eastAsia" w:ascii="仿宋" w:hAnsi="仿宋" w:eastAsia="仿宋" w:cs="仿宋"/>
          <w:sz w:val="30"/>
          <w:szCs w:val="30"/>
          <w:lang w:eastAsia="zh-CN"/>
        </w:rPr>
        <w:t>：一是</w:t>
      </w:r>
      <w:r>
        <w:rPr>
          <w:rFonts w:hint="eastAsia" w:ascii="仿宋" w:hAnsi="仿宋" w:eastAsia="仿宋" w:cs="仿宋"/>
          <w:sz w:val="30"/>
          <w:szCs w:val="30"/>
        </w:rPr>
        <w:t>增加了自收自支人员经费支出</w:t>
      </w:r>
      <w:r>
        <w:rPr>
          <w:rFonts w:hint="eastAsia" w:ascii="仿宋" w:hAnsi="仿宋" w:eastAsia="仿宋" w:cs="仿宋"/>
          <w:sz w:val="30"/>
          <w:szCs w:val="30"/>
          <w:lang w:eastAsia="zh-CN"/>
        </w:rPr>
        <w:t>；二是决算时运动项目管理（项）、体育竞赛（项）以及群众体育（项）支出调整至该项核算。</w:t>
      </w:r>
    </w:p>
    <w:p>
      <w:pPr>
        <w:pStyle w:val="10"/>
        <w:spacing w:line="600" w:lineRule="exact"/>
        <w:ind w:firstLine="600" w:firstLineChars="200"/>
        <w:rPr>
          <w:rFonts w:ascii="仿宋" w:hAnsi="仿宋" w:eastAsia="仿宋" w:cs="仿宋"/>
          <w:sz w:val="30"/>
          <w:szCs w:val="30"/>
          <w:lang w:val="zh-CN"/>
        </w:rPr>
      </w:pPr>
      <w:r>
        <w:rPr>
          <w:rFonts w:hint="eastAsia" w:ascii="仿宋" w:hAnsi="仿宋" w:eastAsia="仿宋" w:cs="仿宋"/>
          <w:sz w:val="30"/>
          <w:szCs w:val="30"/>
        </w:rPr>
        <w:t>2.文化旅游体育与传媒支出</w:t>
      </w:r>
      <w:r>
        <w:rPr>
          <w:rFonts w:hint="eastAsia" w:ascii="仿宋" w:hAnsi="仿宋" w:eastAsia="仿宋" w:cs="仿宋"/>
          <w:sz w:val="30"/>
          <w:szCs w:val="30"/>
          <w:lang w:val="zh-CN"/>
        </w:rPr>
        <w:t>（类）</w:t>
      </w:r>
      <w:r>
        <w:rPr>
          <w:rFonts w:hint="eastAsia" w:ascii="仿宋" w:hAnsi="仿宋" w:eastAsia="仿宋" w:cs="仿宋"/>
          <w:sz w:val="30"/>
          <w:szCs w:val="30"/>
        </w:rPr>
        <w:t>体育</w:t>
      </w:r>
      <w:r>
        <w:rPr>
          <w:rFonts w:hint="eastAsia" w:ascii="仿宋" w:hAnsi="仿宋" w:eastAsia="仿宋" w:cs="仿宋"/>
          <w:sz w:val="30"/>
          <w:szCs w:val="30"/>
          <w:lang w:val="zh-CN"/>
        </w:rPr>
        <w:t>（款）体育场馆（项）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zh-CN"/>
        </w:rPr>
        <w:t>年初预算数为</w:t>
      </w:r>
      <w:r>
        <w:rPr>
          <w:rFonts w:hint="eastAsia" w:ascii="仿宋" w:hAnsi="仿宋" w:eastAsia="仿宋" w:cs="仿宋"/>
          <w:sz w:val="30"/>
          <w:szCs w:val="30"/>
        </w:rPr>
        <w:t>10万元，决算数为</w:t>
      </w:r>
      <w:r>
        <w:rPr>
          <w:rFonts w:hint="eastAsia" w:ascii="仿宋" w:hAnsi="仿宋" w:eastAsia="仿宋" w:cs="仿宋"/>
          <w:sz w:val="30"/>
          <w:szCs w:val="30"/>
          <w:lang w:val="en-US" w:eastAsia="zh-CN"/>
        </w:rPr>
        <w:t>64.53</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645.3</w:t>
      </w:r>
      <w:r>
        <w:rPr>
          <w:rFonts w:hint="eastAsia" w:ascii="仿宋" w:hAnsi="仿宋" w:eastAsia="仿宋" w:cs="仿宋"/>
          <w:sz w:val="30"/>
          <w:szCs w:val="30"/>
        </w:rPr>
        <w:t>%，决算数大于年初预算数的主要原因是增加了</w:t>
      </w:r>
      <w:r>
        <w:rPr>
          <w:rFonts w:hint="eastAsia" w:ascii="仿宋" w:hAnsi="仿宋" w:eastAsia="仿宋" w:cs="仿宋"/>
          <w:sz w:val="30"/>
          <w:szCs w:val="30"/>
          <w:lang w:val="en-US" w:eastAsia="zh-CN"/>
        </w:rPr>
        <w:t>对</w:t>
      </w:r>
      <w:r>
        <w:rPr>
          <w:rFonts w:hint="eastAsia" w:ascii="仿宋" w:hAnsi="仿宋" w:eastAsia="仿宋" w:cs="仿宋"/>
          <w:sz w:val="30"/>
          <w:szCs w:val="30"/>
        </w:rPr>
        <w:t>体育馆免费</w:t>
      </w:r>
      <w:r>
        <w:rPr>
          <w:rFonts w:hint="eastAsia" w:ascii="仿宋" w:hAnsi="仿宋" w:eastAsia="仿宋" w:cs="仿宋"/>
          <w:sz w:val="30"/>
          <w:szCs w:val="30"/>
          <w:lang w:val="en-US" w:eastAsia="zh-CN"/>
        </w:rPr>
        <w:t>或</w:t>
      </w:r>
      <w:r>
        <w:rPr>
          <w:rFonts w:hint="eastAsia" w:ascii="仿宋" w:hAnsi="仿宋" w:eastAsia="仿宋" w:cs="仿宋"/>
          <w:sz w:val="30"/>
          <w:szCs w:val="30"/>
        </w:rPr>
        <w:t>低收费开放</w:t>
      </w:r>
      <w:r>
        <w:rPr>
          <w:rFonts w:hint="eastAsia" w:ascii="仿宋" w:hAnsi="仿宋" w:eastAsia="仿宋" w:cs="仿宋"/>
          <w:sz w:val="30"/>
          <w:szCs w:val="30"/>
          <w:lang w:eastAsia="zh-CN"/>
        </w:rPr>
        <w:t>的</w:t>
      </w:r>
      <w:r>
        <w:rPr>
          <w:rFonts w:hint="eastAsia" w:ascii="仿宋" w:hAnsi="仿宋" w:eastAsia="仿宋" w:cs="仿宋"/>
          <w:sz w:val="30"/>
          <w:szCs w:val="30"/>
          <w:lang w:val="en-US" w:eastAsia="zh-CN"/>
        </w:rPr>
        <w:t>专项补助资金</w:t>
      </w:r>
      <w:r>
        <w:rPr>
          <w:rFonts w:hint="eastAsia" w:ascii="仿宋" w:hAnsi="仿宋" w:eastAsia="仿宋" w:cs="仿宋"/>
          <w:sz w:val="30"/>
          <w:szCs w:val="30"/>
        </w:rPr>
        <w:t>。</w:t>
      </w:r>
    </w:p>
    <w:p>
      <w:pPr>
        <w:spacing w:line="600" w:lineRule="exact"/>
        <w:ind w:firstLine="600" w:firstLineChars="200"/>
        <w:rPr>
          <w:rFonts w:ascii="仿宋" w:hAnsi="仿宋" w:eastAsia="仿宋" w:cs="仿宋"/>
          <w:color w:val="000000"/>
          <w:sz w:val="30"/>
          <w:szCs w:val="30"/>
          <w:lang w:val="zh-CN"/>
        </w:rPr>
      </w:pPr>
      <w:r>
        <w:rPr>
          <w:rFonts w:hint="eastAsia" w:ascii="仿宋" w:hAnsi="仿宋" w:eastAsia="仿宋" w:cs="仿宋"/>
          <w:color w:val="000000"/>
          <w:sz w:val="30"/>
          <w:szCs w:val="30"/>
        </w:rPr>
        <w:t>3.文化旅游体育与传媒支出</w:t>
      </w:r>
      <w:r>
        <w:rPr>
          <w:rFonts w:hint="eastAsia" w:ascii="仿宋" w:hAnsi="仿宋" w:eastAsia="仿宋" w:cs="仿宋"/>
          <w:color w:val="000000"/>
          <w:sz w:val="30"/>
          <w:szCs w:val="30"/>
          <w:lang w:val="zh-CN"/>
        </w:rPr>
        <w:t>（类）</w:t>
      </w:r>
      <w:r>
        <w:rPr>
          <w:rFonts w:hint="eastAsia" w:ascii="仿宋" w:hAnsi="仿宋" w:eastAsia="仿宋" w:cs="仿宋"/>
          <w:color w:val="000000"/>
          <w:sz w:val="30"/>
          <w:szCs w:val="30"/>
        </w:rPr>
        <w:t>体育</w:t>
      </w:r>
      <w:r>
        <w:rPr>
          <w:rFonts w:hint="eastAsia" w:ascii="仿宋" w:hAnsi="仿宋" w:eastAsia="仿宋" w:cs="仿宋"/>
          <w:color w:val="000000"/>
          <w:sz w:val="30"/>
          <w:szCs w:val="30"/>
          <w:lang w:val="zh-CN"/>
        </w:rPr>
        <w:t>（款）其他体育支出（项）</w:t>
      </w:r>
    </w:p>
    <w:p>
      <w:pPr>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sz w:val="30"/>
          <w:szCs w:val="30"/>
          <w:lang w:val="zh-CN"/>
        </w:rPr>
        <w:t>年初预算数为</w:t>
      </w:r>
      <w:r>
        <w:rPr>
          <w:rFonts w:hint="eastAsia" w:ascii="仿宋" w:hAnsi="仿宋" w:eastAsia="仿宋" w:cs="仿宋"/>
          <w:color w:val="000000"/>
          <w:sz w:val="30"/>
          <w:szCs w:val="30"/>
        </w:rPr>
        <w:t>5万元，决算数为</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0"/>
          <w:szCs w:val="30"/>
        </w:rPr>
        <w:t>万元，完成年初预算的</w:t>
      </w:r>
      <w:r>
        <w:rPr>
          <w:rFonts w:hint="eastAsia" w:ascii="仿宋" w:hAnsi="仿宋" w:eastAsia="仿宋" w:cs="仿宋"/>
          <w:color w:val="000000"/>
          <w:sz w:val="30"/>
          <w:szCs w:val="30"/>
          <w:lang w:val="en-US" w:eastAsia="zh-CN"/>
        </w:rPr>
        <w:t>200</w:t>
      </w:r>
      <w:r>
        <w:rPr>
          <w:rFonts w:hint="eastAsia" w:ascii="仿宋" w:hAnsi="仿宋" w:eastAsia="仿宋" w:cs="仿宋"/>
          <w:color w:val="000000"/>
          <w:sz w:val="30"/>
          <w:szCs w:val="30"/>
        </w:rPr>
        <w:t>%，决算数大于年初预算数的主要原因是增加了</w:t>
      </w:r>
      <w:r>
        <w:rPr>
          <w:rFonts w:hint="eastAsia" w:ascii="仿宋" w:hAnsi="仿宋" w:eastAsia="仿宋" w:cs="仿宋"/>
          <w:color w:val="000000"/>
          <w:sz w:val="30"/>
          <w:szCs w:val="30"/>
          <w:lang w:eastAsia="zh-CN"/>
        </w:rPr>
        <w:t>健身场地建设</w:t>
      </w:r>
      <w:r>
        <w:rPr>
          <w:rFonts w:hint="eastAsia" w:ascii="仿宋" w:hAnsi="仿宋" w:eastAsia="仿宋" w:cs="仿宋"/>
          <w:color w:val="000000"/>
          <w:sz w:val="30"/>
          <w:szCs w:val="30"/>
        </w:rPr>
        <w:t>支出。</w:t>
      </w:r>
      <w:r>
        <w:rPr>
          <w:rFonts w:hint="eastAsia" w:ascii="仿宋" w:hAnsi="仿宋" w:eastAsia="仿宋" w:cs="仿宋"/>
          <w:color w:val="000000"/>
          <w:kern w:val="0"/>
          <w:sz w:val="30"/>
          <w:szCs w:val="30"/>
        </w:rPr>
        <w:t xml:space="preserve"> </w:t>
      </w:r>
    </w:p>
    <w:p>
      <w:pPr>
        <w:spacing w:line="600" w:lineRule="exact"/>
        <w:ind w:firstLine="600" w:firstLineChars="200"/>
        <w:rPr>
          <w:rFonts w:ascii="仿宋" w:hAnsi="仿宋" w:eastAsia="仿宋" w:cs="仿宋"/>
          <w:color w:val="000000"/>
          <w:sz w:val="30"/>
          <w:szCs w:val="30"/>
          <w:lang w:val="zh-CN"/>
        </w:rPr>
      </w:pPr>
      <w:r>
        <w:rPr>
          <w:rFonts w:hint="eastAsia" w:ascii="仿宋" w:hAnsi="仿宋" w:eastAsia="仿宋" w:cs="仿宋"/>
          <w:color w:val="000000"/>
          <w:kern w:val="0"/>
          <w:sz w:val="30"/>
          <w:szCs w:val="30"/>
        </w:rPr>
        <w:t>4.</w:t>
      </w:r>
      <w:r>
        <w:rPr>
          <w:rFonts w:hint="eastAsia" w:ascii="仿宋" w:hAnsi="仿宋" w:eastAsia="仿宋" w:cs="仿宋"/>
          <w:color w:val="000000"/>
          <w:sz w:val="30"/>
          <w:szCs w:val="30"/>
        </w:rPr>
        <w:t>文化旅游体育与传媒支出</w:t>
      </w:r>
      <w:r>
        <w:rPr>
          <w:rFonts w:hint="eastAsia" w:ascii="仿宋" w:hAnsi="仿宋" w:eastAsia="仿宋" w:cs="仿宋"/>
          <w:color w:val="000000"/>
          <w:sz w:val="30"/>
          <w:szCs w:val="30"/>
          <w:lang w:val="zh-CN"/>
        </w:rPr>
        <w:t>（类）</w:t>
      </w:r>
      <w:r>
        <w:rPr>
          <w:rFonts w:hint="eastAsia" w:ascii="仿宋" w:hAnsi="仿宋" w:eastAsia="仿宋" w:cs="仿宋"/>
          <w:color w:val="000000"/>
          <w:sz w:val="30"/>
          <w:szCs w:val="30"/>
        </w:rPr>
        <w:t>体育</w:t>
      </w:r>
      <w:r>
        <w:rPr>
          <w:rFonts w:hint="eastAsia" w:ascii="仿宋" w:hAnsi="仿宋" w:eastAsia="仿宋" w:cs="仿宋"/>
          <w:color w:val="000000"/>
          <w:sz w:val="30"/>
          <w:szCs w:val="30"/>
          <w:lang w:val="zh-CN"/>
        </w:rPr>
        <w:t>（款）运动项目管理（项）</w:t>
      </w:r>
    </w:p>
    <w:p>
      <w:pPr>
        <w:spacing w:line="600" w:lineRule="exact"/>
        <w:ind w:left="596" w:leftChars="284" w:firstLine="0" w:firstLineChars="0"/>
        <w:rPr>
          <w:rFonts w:ascii="仿宋" w:hAnsi="仿宋" w:eastAsia="仿宋" w:cs="仿宋"/>
          <w:color w:val="000000"/>
          <w:sz w:val="30"/>
          <w:szCs w:val="30"/>
          <w:lang w:val="zh-CN"/>
        </w:rPr>
      </w:pPr>
      <w:r>
        <w:rPr>
          <w:rFonts w:hint="eastAsia" w:ascii="仿宋" w:hAnsi="仿宋" w:eastAsia="仿宋" w:cs="仿宋"/>
          <w:color w:val="000000"/>
          <w:sz w:val="30"/>
          <w:szCs w:val="30"/>
          <w:lang w:val="zh-CN"/>
        </w:rPr>
        <w:t>年初预算数为</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0"/>
          <w:szCs w:val="30"/>
        </w:rPr>
        <w:t>万元，决算数为</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0"/>
          <w:szCs w:val="30"/>
        </w:rPr>
        <w:t>万元，完成年初预算的</w:t>
      </w:r>
      <w:r>
        <w:rPr>
          <w:rFonts w:hint="eastAsia" w:ascii="仿宋" w:hAnsi="仿宋" w:eastAsia="仿宋" w:cs="仿宋"/>
          <w:color w:val="000000"/>
          <w:sz w:val="30"/>
          <w:szCs w:val="30"/>
          <w:lang w:val="en-US" w:eastAsia="zh-CN"/>
        </w:rPr>
        <w:t>100</w:t>
      </w:r>
      <w:r>
        <w:rPr>
          <w:rFonts w:hint="eastAsia" w:ascii="仿宋" w:hAnsi="仿宋" w:eastAsia="仿宋" w:cs="仿宋"/>
          <w:color w:val="000000"/>
          <w:sz w:val="30"/>
          <w:szCs w:val="30"/>
        </w:rPr>
        <w:t>%，</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w:t>
      </w:r>
      <w:r>
        <w:rPr>
          <w:rFonts w:hint="eastAsia" w:ascii="仿宋" w:hAnsi="仿宋" w:eastAsia="仿宋" w:cs="仿宋"/>
          <w:color w:val="000000"/>
          <w:sz w:val="30"/>
          <w:szCs w:val="30"/>
        </w:rPr>
        <w:t>文化旅游体育与传媒支出</w:t>
      </w:r>
      <w:r>
        <w:rPr>
          <w:rFonts w:hint="eastAsia" w:ascii="仿宋" w:hAnsi="仿宋" w:eastAsia="仿宋" w:cs="仿宋"/>
          <w:color w:val="000000"/>
          <w:sz w:val="30"/>
          <w:szCs w:val="30"/>
          <w:lang w:val="zh-CN"/>
        </w:rPr>
        <w:t>（类）</w:t>
      </w:r>
      <w:r>
        <w:rPr>
          <w:rFonts w:hint="eastAsia" w:ascii="仿宋" w:hAnsi="仿宋" w:eastAsia="仿宋" w:cs="仿宋"/>
          <w:color w:val="000000"/>
          <w:sz w:val="30"/>
          <w:szCs w:val="30"/>
        </w:rPr>
        <w:t>体育</w:t>
      </w:r>
      <w:r>
        <w:rPr>
          <w:rFonts w:hint="eastAsia" w:ascii="仿宋" w:hAnsi="仿宋" w:eastAsia="仿宋" w:cs="仿宋"/>
          <w:color w:val="000000"/>
          <w:sz w:val="30"/>
          <w:szCs w:val="30"/>
          <w:lang w:val="zh-CN"/>
        </w:rPr>
        <w:t>（款）体育竞赛（项）</w:t>
      </w:r>
    </w:p>
    <w:p>
      <w:pPr>
        <w:spacing w:line="600" w:lineRule="exact"/>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val="zh-CN"/>
        </w:rPr>
        <w:t>年初预算数为</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0"/>
          <w:szCs w:val="30"/>
        </w:rPr>
        <w:t>万元，决算数为</w:t>
      </w:r>
      <w:r>
        <w:rPr>
          <w:rFonts w:hint="eastAsia" w:ascii="仿宋" w:hAnsi="仿宋" w:eastAsia="仿宋" w:cs="仿宋"/>
          <w:color w:val="000000"/>
          <w:sz w:val="30"/>
          <w:szCs w:val="30"/>
          <w:lang w:val="en-US" w:eastAsia="zh-CN"/>
        </w:rPr>
        <w:t>6.89</w:t>
      </w:r>
      <w:r>
        <w:rPr>
          <w:rFonts w:hint="eastAsia" w:ascii="仿宋" w:hAnsi="仿宋" w:eastAsia="仿宋" w:cs="仿宋"/>
          <w:color w:val="000000"/>
          <w:sz w:val="30"/>
          <w:szCs w:val="30"/>
        </w:rPr>
        <w:t>万元，完成年初预算的</w:t>
      </w:r>
      <w:r>
        <w:rPr>
          <w:rFonts w:hint="eastAsia" w:ascii="仿宋" w:hAnsi="仿宋" w:eastAsia="仿宋" w:cs="仿宋"/>
          <w:color w:val="000000"/>
          <w:sz w:val="30"/>
          <w:szCs w:val="30"/>
          <w:lang w:val="en-US" w:eastAsia="zh-CN"/>
        </w:rPr>
        <w:t>68.9</w:t>
      </w:r>
      <w:r>
        <w:rPr>
          <w:rFonts w:hint="eastAsia" w:ascii="仿宋" w:hAnsi="仿宋" w:eastAsia="仿宋" w:cs="仿宋"/>
          <w:color w:val="000000"/>
          <w:sz w:val="30"/>
          <w:szCs w:val="30"/>
        </w:rPr>
        <w:t>%，决算数</w:t>
      </w:r>
      <w:r>
        <w:rPr>
          <w:rFonts w:hint="eastAsia" w:ascii="仿宋" w:hAnsi="仿宋" w:eastAsia="仿宋" w:cs="仿宋"/>
          <w:color w:val="000000"/>
          <w:sz w:val="30"/>
          <w:szCs w:val="30"/>
          <w:lang w:eastAsia="zh-CN"/>
        </w:rPr>
        <w:t>小</w:t>
      </w:r>
      <w:r>
        <w:rPr>
          <w:rFonts w:hint="eastAsia" w:ascii="仿宋" w:hAnsi="仿宋" w:eastAsia="仿宋" w:cs="仿宋"/>
          <w:color w:val="000000"/>
          <w:sz w:val="30"/>
          <w:szCs w:val="30"/>
        </w:rPr>
        <w:t>于年初预算数的主要原因是</w:t>
      </w:r>
      <w:r>
        <w:rPr>
          <w:rFonts w:hint="eastAsia" w:ascii="仿宋" w:hAnsi="仿宋" w:eastAsia="仿宋" w:cs="仿宋"/>
          <w:color w:val="000000"/>
          <w:sz w:val="30"/>
          <w:szCs w:val="30"/>
          <w:lang w:eastAsia="zh-CN"/>
        </w:rPr>
        <w:t>该项支出调整至“</w:t>
      </w:r>
      <w:r>
        <w:rPr>
          <w:rFonts w:hint="eastAsia" w:ascii="仿宋" w:hAnsi="仿宋" w:eastAsia="仿宋" w:cs="仿宋"/>
          <w:kern w:val="2"/>
          <w:sz w:val="30"/>
          <w:szCs w:val="30"/>
        </w:rPr>
        <w:t>文化旅游体育与传媒支出</w:t>
      </w:r>
      <w:r>
        <w:rPr>
          <w:rFonts w:hint="eastAsia" w:ascii="仿宋" w:hAnsi="仿宋" w:eastAsia="仿宋" w:cs="仿宋"/>
          <w:sz w:val="30"/>
          <w:szCs w:val="30"/>
          <w:lang w:val="zh-CN"/>
        </w:rPr>
        <w:t>（类）体育（款）</w:t>
      </w:r>
      <w:r>
        <w:rPr>
          <w:rFonts w:hint="eastAsia" w:ascii="仿宋" w:hAnsi="仿宋" w:eastAsia="仿宋" w:cs="仿宋"/>
          <w:sz w:val="30"/>
          <w:szCs w:val="30"/>
        </w:rPr>
        <w:t>行政运行（项）</w:t>
      </w:r>
      <w:r>
        <w:rPr>
          <w:rFonts w:hint="eastAsia" w:ascii="仿宋" w:hAnsi="仿宋" w:eastAsia="仿宋" w:cs="仿宋"/>
          <w:color w:val="000000"/>
          <w:sz w:val="30"/>
          <w:szCs w:val="30"/>
          <w:lang w:eastAsia="zh-CN"/>
        </w:rPr>
        <w:t>”核算。</w:t>
      </w:r>
    </w:p>
    <w:p>
      <w:pPr>
        <w:spacing w:line="600" w:lineRule="exact"/>
        <w:ind w:firstLine="600" w:firstLineChars="200"/>
        <w:rPr>
          <w:rFonts w:ascii="仿宋" w:hAnsi="仿宋" w:eastAsia="仿宋" w:cs="仿宋"/>
          <w:color w:val="000000"/>
          <w:sz w:val="30"/>
          <w:szCs w:val="30"/>
          <w:lang w:val="zh-CN"/>
        </w:rPr>
      </w:pPr>
      <w:r>
        <w:rPr>
          <w:rFonts w:hint="eastAsia" w:ascii="仿宋" w:hAnsi="仿宋" w:eastAsia="仿宋" w:cs="仿宋"/>
          <w:color w:val="000000"/>
          <w:kern w:val="0"/>
          <w:sz w:val="30"/>
          <w:szCs w:val="30"/>
          <w:lang w:val="en-US" w:eastAsia="zh-CN"/>
        </w:rPr>
        <w:t>6.</w:t>
      </w:r>
      <w:r>
        <w:rPr>
          <w:rFonts w:hint="eastAsia" w:ascii="仿宋" w:hAnsi="仿宋" w:eastAsia="仿宋" w:cs="仿宋"/>
          <w:color w:val="000000"/>
          <w:sz w:val="30"/>
          <w:szCs w:val="30"/>
        </w:rPr>
        <w:t>文化旅游体育与传媒支出</w:t>
      </w:r>
      <w:r>
        <w:rPr>
          <w:rFonts w:hint="eastAsia" w:ascii="仿宋" w:hAnsi="仿宋" w:eastAsia="仿宋" w:cs="仿宋"/>
          <w:color w:val="000000"/>
          <w:sz w:val="30"/>
          <w:szCs w:val="30"/>
          <w:lang w:val="zh-CN"/>
        </w:rPr>
        <w:t>（类）</w:t>
      </w:r>
      <w:r>
        <w:rPr>
          <w:rFonts w:hint="eastAsia" w:ascii="仿宋" w:hAnsi="仿宋" w:eastAsia="仿宋" w:cs="仿宋"/>
          <w:color w:val="000000"/>
          <w:sz w:val="30"/>
          <w:szCs w:val="30"/>
        </w:rPr>
        <w:t>体育</w:t>
      </w:r>
      <w:r>
        <w:rPr>
          <w:rFonts w:hint="eastAsia" w:ascii="仿宋" w:hAnsi="仿宋" w:eastAsia="仿宋" w:cs="仿宋"/>
          <w:color w:val="000000"/>
          <w:sz w:val="30"/>
          <w:szCs w:val="30"/>
          <w:lang w:val="zh-CN"/>
        </w:rPr>
        <w:t>（款）群众体育（项）</w:t>
      </w:r>
    </w:p>
    <w:p>
      <w:pPr>
        <w:spacing w:line="600" w:lineRule="exact"/>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val="zh-CN"/>
        </w:rPr>
        <w:t>年初预算数为</w:t>
      </w:r>
      <w:r>
        <w:rPr>
          <w:rFonts w:hint="eastAsia" w:ascii="仿宋" w:hAnsi="仿宋" w:eastAsia="仿宋" w:cs="仿宋"/>
          <w:color w:val="000000"/>
          <w:sz w:val="30"/>
          <w:szCs w:val="30"/>
          <w:lang w:val="en-US" w:eastAsia="zh-CN"/>
        </w:rPr>
        <w:t>20</w:t>
      </w:r>
      <w:r>
        <w:rPr>
          <w:rFonts w:hint="eastAsia" w:ascii="仿宋" w:hAnsi="仿宋" w:eastAsia="仿宋" w:cs="仿宋"/>
          <w:color w:val="000000"/>
          <w:sz w:val="30"/>
          <w:szCs w:val="30"/>
        </w:rPr>
        <w:t>万元，决算数为</w:t>
      </w:r>
      <w:r>
        <w:rPr>
          <w:rFonts w:hint="eastAsia" w:ascii="仿宋" w:hAnsi="仿宋" w:eastAsia="仿宋" w:cs="仿宋"/>
          <w:color w:val="000000"/>
          <w:sz w:val="30"/>
          <w:szCs w:val="30"/>
          <w:lang w:val="en-US" w:eastAsia="zh-CN"/>
        </w:rPr>
        <w:t>19.95</w:t>
      </w:r>
      <w:r>
        <w:rPr>
          <w:rFonts w:hint="eastAsia" w:ascii="仿宋" w:hAnsi="仿宋" w:eastAsia="仿宋" w:cs="仿宋"/>
          <w:color w:val="000000"/>
          <w:sz w:val="30"/>
          <w:szCs w:val="30"/>
        </w:rPr>
        <w:t>万元，完成年初预算的</w:t>
      </w:r>
      <w:r>
        <w:rPr>
          <w:rFonts w:hint="eastAsia" w:ascii="仿宋" w:hAnsi="仿宋" w:eastAsia="仿宋" w:cs="仿宋"/>
          <w:color w:val="000000"/>
          <w:sz w:val="30"/>
          <w:szCs w:val="30"/>
          <w:lang w:val="en-US" w:eastAsia="zh-CN"/>
        </w:rPr>
        <w:t>99.75</w:t>
      </w:r>
      <w:r>
        <w:rPr>
          <w:rFonts w:hint="eastAsia" w:ascii="仿宋" w:hAnsi="仿宋" w:eastAsia="仿宋" w:cs="仿宋"/>
          <w:color w:val="000000"/>
          <w:sz w:val="30"/>
          <w:szCs w:val="30"/>
        </w:rPr>
        <w:t>%，决算数</w:t>
      </w:r>
      <w:r>
        <w:rPr>
          <w:rFonts w:hint="eastAsia" w:ascii="仿宋" w:hAnsi="仿宋" w:eastAsia="仿宋" w:cs="仿宋"/>
          <w:color w:val="000000"/>
          <w:sz w:val="30"/>
          <w:szCs w:val="30"/>
          <w:lang w:eastAsia="zh-CN"/>
        </w:rPr>
        <w:t>基本上与</w:t>
      </w:r>
      <w:r>
        <w:rPr>
          <w:rFonts w:hint="eastAsia" w:ascii="仿宋" w:hAnsi="仿宋" w:eastAsia="仿宋" w:cs="仿宋"/>
          <w:color w:val="000000"/>
          <w:sz w:val="30"/>
          <w:szCs w:val="30"/>
        </w:rPr>
        <w:t>年初预算数</w:t>
      </w:r>
      <w:r>
        <w:rPr>
          <w:rFonts w:hint="eastAsia" w:ascii="仿宋" w:hAnsi="仿宋" w:eastAsia="仿宋" w:cs="仿宋"/>
          <w:color w:val="000000"/>
          <w:sz w:val="30"/>
          <w:szCs w:val="30"/>
          <w:lang w:eastAsia="zh-CN"/>
        </w:rPr>
        <w:t>持平。</w:t>
      </w:r>
    </w:p>
    <w:p>
      <w:pPr>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7.</w:t>
      </w:r>
      <w:r>
        <w:rPr>
          <w:rFonts w:hint="eastAsia" w:ascii="仿宋" w:hAnsi="仿宋" w:eastAsia="仿宋" w:cs="仿宋"/>
          <w:color w:val="000000"/>
          <w:kern w:val="0"/>
          <w:sz w:val="30"/>
          <w:szCs w:val="30"/>
        </w:rPr>
        <w:t>社会保障和就业支出（类）行政事业单位养老支出（款）机关事业单位基本养老保险缴费支出（项）</w:t>
      </w:r>
    </w:p>
    <w:p>
      <w:pPr>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年初预算数为10.</w:t>
      </w:r>
      <w:r>
        <w:rPr>
          <w:rFonts w:hint="eastAsia" w:ascii="仿宋" w:hAnsi="仿宋" w:eastAsia="仿宋" w:cs="仿宋"/>
          <w:color w:val="000000"/>
          <w:kern w:val="0"/>
          <w:sz w:val="30"/>
          <w:szCs w:val="30"/>
          <w:lang w:val="en-US" w:eastAsia="zh-CN"/>
        </w:rPr>
        <w:t>56</w:t>
      </w:r>
      <w:r>
        <w:rPr>
          <w:rFonts w:hint="eastAsia" w:ascii="仿宋" w:hAnsi="仿宋" w:eastAsia="仿宋" w:cs="仿宋"/>
          <w:color w:val="000000"/>
          <w:kern w:val="0"/>
          <w:sz w:val="30"/>
          <w:szCs w:val="30"/>
        </w:rPr>
        <w:t>万元，决算数为</w:t>
      </w:r>
      <w:r>
        <w:rPr>
          <w:rFonts w:hint="eastAsia" w:ascii="仿宋" w:hAnsi="仿宋" w:eastAsia="仿宋" w:cs="仿宋"/>
          <w:color w:val="000000"/>
          <w:kern w:val="0"/>
          <w:sz w:val="30"/>
          <w:szCs w:val="30"/>
          <w:lang w:val="en-US" w:eastAsia="zh-CN"/>
        </w:rPr>
        <w:t>11.51</w:t>
      </w:r>
      <w:r>
        <w:rPr>
          <w:rFonts w:hint="eastAsia" w:ascii="仿宋" w:hAnsi="仿宋" w:eastAsia="仿宋" w:cs="仿宋"/>
          <w:color w:val="000000"/>
          <w:kern w:val="0"/>
          <w:sz w:val="30"/>
          <w:szCs w:val="30"/>
        </w:rPr>
        <w:t>万元，</w:t>
      </w:r>
      <w:r>
        <w:rPr>
          <w:rFonts w:hint="eastAsia" w:ascii="仿宋" w:hAnsi="仿宋" w:eastAsia="仿宋" w:cs="仿宋"/>
          <w:color w:val="000000"/>
          <w:sz w:val="30"/>
          <w:szCs w:val="30"/>
        </w:rPr>
        <w:t>完成年初预算的</w:t>
      </w:r>
      <w:r>
        <w:rPr>
          <w:rFonts w:hint="eastAsia" w:ascii="仿宋" w:hAnsi="仿宋" w:eastAsia="仿宋" w:cs="仿宋"/>
          <w:color w:val="000000"/>
          <w:sz w:val="30"/>
          <w:szCs w:val="30"/>
          <w:lang w:val="en-US" w:eastAsia="zh-CN"/>
        </w:rPr>
        <w:t>109.00</w:t>
      </w:r>
      <w:r>
        <w:rPr>
          <w:rFonts w:hint="eastAsia" w:ascii="仿宋" w:hAnsi="仿宋" w:eastAsia="仿宋" w:cs="仿宋"/>
          <w:color w:val="000000"/>
          <w:sz w:val="30"/>
          <w:szCs w:val="30"/>
        </w:rPr>
        <w:t>%</w:t>
      </w:r>
      <w:r>
        <w:rPr>
          <w:rFonts w:hint="eastAsia" w:ascii="仿宋" w:hAnsi="仿宋" w:eastAsia="仿宋" w:cs="仿宋"/>
          <w:color w:val="000000"/>
          <w:kern w:val="0"/>
          <w:sz w:val="30"/>
          <w:szCs w:val="30"/>
        </w:rPr>
        <w:t>，</w:t>
      </w:r>
      <w:r>
        <w:rPr>
          <w:rFonts w:hint="eastAsia" w:ascii="仿宋" w:hAnsi="仿宋" w:eastAsia="仿宋" w:cs="仿宋"/>
          <w:color w:val="000000"/>
          <w:sz w:val="30"/>
          <w:szCs w:val="30"/>
        </w:rPr>
        <w:t>决算数</w:t>
      </w:r>
      <w:r>
        <w:rPr>
          <w:rFonts w:hint="eastAsia" w:ascii="仿宋" w:hAnsi="仿宋" w:eastAsia="仿宋" w:cs="仿宋"/>
          <w:color w:val="000000"/>
          <w:sz w:val="30"/>
          <w:szCs w:val="30"/>
          <w:lang w:eastAsia="zh-CN"/>
        </w:rPr>
        <w:t>大</w:t>
      </w:r>
      <w:r>
        <w:rPr>
          <w:rFonts w:hint="eastAsia" w:ascii="仿宋" w:hAnsi="仿宋" w:eastAsia="仿宋" w:cs="仿宋"/>
          <w:color w:val="000000"/>
          <w:sz w:val="30"/>
          <w:szCs w:val="30"/>
        </w:rPr>
        <w:t>于年初预算数的主要原因是养老保险缴费基数</w:t>
      </w:r>
      <w:r>
        <w:rPr>
          <w:rFonts w:hint="eastAsia" w:ascii="仿宋" w:hAnsi="仿宋" w:eastAsia="仿宋" w:cs="仿宋"/>
          <w:color w:val="000000"/>
          <w:sz w:val="30"/>
          <w:szCs w:val="30"/>
          <w:lang w:eastAsia="zh-CN"/>
        </w:rPr>
        <w:t>提高</w:t>
      </w:r>
      <w:r>
        <w:rPr>
          <w:rFonts w:hint="eastAsia" w:ascii="仿宋" w:hAnsi="仿宋" w:eastAsia="仿宋" w:cs="仿宋"/>
          <w:color w:val="000000"/>
          <w:sz w:val="30"/>
          <w:szCs w:val="30"/>
        </w:rPr>
        <w:t>。</w:t>
      </w:r>
    </w:p>
    <w:p>
      <w:pPr>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.卫生健康支出（类）行政事业单位医疗（款）事业单位医疗（项）</w:t>
      </w:r>
    </w:p>
    <w:p>
      <w:pPr>
        <w:spacing w:line="600" w:lineRule="exact"/>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kern w:val="0"/>
          <w:sz w:val="30"/>
          <w:szCs w:val="30"/>
        </w:rPr>
        <w:t>年初预算数为</w:t>
      </w:r>
      <w:r>
        <w:rPr>
          <w:rFonts w:hint="eastAsia" w:ascii="仿宋" w:hAnsi="仿宋" w:eastAsia="仿宋" w:cs="仿宋"/>
          <w:color w:val="000000"/>
          <w:kern w:val="0"/>
          <w:sz w:val="30"/>
          <w:szCs w:val="30"/>
          <w:lang w:val="en-US" w:eastAsia="zh-CN"/>
        </w:rPr>
        <w:t>8.33</w:t>
      </w:r>
      <w:r>
        <w:rPr>
          <w:rFonts w:hint="eastAsia" w:ascii="仿宋" w:hAnsi="仿宋" w:eastAsia="仿宋" w:cs="仿宋"/>
          <w:color w:val="000000"/>
          <w:kern w:val="0"/>
          <w:sz w:val="30"/>
          <w:szCs w:val="30"/>
        </w:rPr>
        <w:t>万元，决算数为</w:t>
      </w:r>
      <w:r>
        <w:rPr>
          <w:rFonts w:hint="eastAsia" w:ascii="仿宋" w:hAnsi="仿宋" w:eastAsia="仿宋" w:cs="仿宋"/>
          <w:color w:val="000000"/>
          <w:kern w:val="0"/>
          <w:sz w:val="30"/>
          <w:szCs w:val="30"/>
          <w:lang w:val="en-US" w:eastAsia="zh-CN"/>
        </w:rPr>
        <w:t>8.33</w:t>
      </w:r>
      <w:r>
        <w:rPr>
          <w:rFonts w:hint="eastAsia" w:ascii="仿宋" w:hAnsi="仿宋" w:eastAsia="仿宋" w:cs="仿宋"/>
          <w:color w:val="000000"/>
          <w:kern w:val="0"/>
          <w:sz w:val="30"/>
          <w:szCs w:val="30"/>
        </w:rPr>
        <w:t>万元，</w:t>
      </w:r>
      <w:r>
        <w:rPr>
          <w:rFonts w:hint="eastAsia" w:ascii="仿宋" w:hAnsi="仿宋" w:eastAsia="仿宋" w:cs="仿宋"/>
          <w:color w:val="000000"/>
          <w:sz w:val="30"/>
          <w:szCs w:val="30"/>
          <w:lang w:eastAsia="zh-CN"/>
        </w:rPr>
        <w:t>决算数与年初预算数持平。</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spacing w:line="600" w:lineRule="exact"/>
        <w:ind w:firstLine="600" w:firstLineChars="200"/>
        <w:jc w:val="left"/>
        <w:rPr>
          <w:rFonts w:ascii="仿宋" w:hAnsi="仿宋" w:eastAsia="仿宋" w:cs="仿宋"/>
          <w:kern w:val="0"/>
          <w:sz w:val="30"/>
          <w:szCs w:val="30"/>
        </w:rPr>
      </w:pPr>
      <w:r>
        <w:rPr>
          <w:rFonts w:hint="eastAsia" w:ascii="仿宋" w:hAnsi="仿宋" w:eastAsia="仿宋" w:cs="仿宋"/>
          <w:color w:val="000000"/>
          <w:kern w:val="0"/>
          <w:sz w:val="30"/>
          <w:szCs w:val="30"/>
          <w:lang w:val="en-US" w:eastAsia="zh-CN" w:bidi="ar-SA"/>
        </w:rPr>
        <w:t>2022年度一般公共预算财政拨款基本支出</w:t>
      </w:r>
      <w:r>
        <w:rPr>
          <w:rFonts w:hint="eastAsia" w:ascii="仿宋" w:hAnsi="仿宋" w:eastAsia="仿宋" w:cs="仿宋"/>
          <w:kern w:val="0"/>
          <w:sz w:val="30"/>
          <w:szCs w:val="30"/>
          <w:lang w:val="en-US" w:eastAsia="zh-CN"/>
        </w:rPr>
        <w:t>216.61</w:t>
      </w:r>
      <w:r>
        <w:rPr>
          <w:rFonts w:hint="eastAsia" w:ascii="仿宋" w:hAnsi="仿宋" w:eastAsia="仿宋" w:cs="仿宋"/>
          <w:kern w:val="0"/>
          <w:sz w:val="30"/>
          <w:szCs w:val="30"/>
        </w:rPr>
        <w:t>万元，其中:（1）人员经费</w:t>
      </w:r>
      <w:r>
        <w:rPr>
          <w:rFonts w:hint="eastAsia" w:ascii="仿宋" w:hAnsi="仿宋" w:eastAsia="仿宋" w:cs="仿宋"/>
          <w:kern w:val="0"/>
          <w:sz w:val="30"/>
          <w:szCs w:val="30"/>
          <w:lang w:val="en-US" w:eastAsia="zh-CN"/>
        </w:rPr>
        <w:t>208.19</w:t>
      </w:r>
      <w:r>
        <w:rPr>
          <w:rFonts w:hint="eastAsia" w:ascii="仿宋" w:hAnsi="仿宋" w:eastAsia="仿宋" w:cs="仿宋"/>
          <w:kern w:val="0"/>
          <w:sz w:val="30"/>
          <w:szCs w:val="30"/>
        </w:rPr>
        <w:t>万元，</w:t>
      </w:r>
      <w:r>
        <w:rPr>
          <w:rFonts w:hint="eastAsia" w:ascii="仿宋" w:hAnsi="仿宋" w:eastAsia="仿宋" w:cs="仿宋"/>
          <w:color w:val="000000"/>
          <w:kern w:val="0"/>
          <w:sz w:val="30"/>
          <w:szCs w:val="30"/>
        </w:rPr>
        <w:t>占基本支出的</w:t>
      </w:r>
      <w:r>
        <w:rPr>
          <w:rFonts w:hint="eastAsia" w:ascii="仿宋" w:hAnsi="仿宋" w:eastAsia="仿宋" w:cs="仿宋"/>
          <w:color w:val="000000"/>
          <w:kern w:val="0"/>
          <w:sz w:val="30"/>
          <w:szCs w:val="30"/>
          <w:lang w:val="en-US" w:eastAsia="zh-CN"/>
        </w:rPr>
        <w:t>96.12</w:t>
      </w:r>
      <w:r>
        <w:rPr>
          <w:rFonts w:hint="eastAsia" w:ascii="仿宋" w:hAnsi="仿宋" w:eastAsia="仿宋" w:cs="仿宋"/>
          <w:color w:val="000000"/>
          <w:kern w:val="0"/>
          <w:sz w:val="30"/>
          <w:szCs w:val="30"/>
        </w:rPr>
        <w:t>%，</w:t>
      </w:r>
      <w:r>
        <w:rPr>
          <w:rFonts w:hint="eastAsia" w:ascii="仿宋" w:hAnsi="仿宋" w:eastAsia="仿宋" w:cs="仿宋"/>
          <w:kern w:val="0"/>
          <w:sz w:val="30"/>
          <w:szCs w:val="30"/>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2）公用经费</w:t>
      </w:r>
      <w:r>
        <w:rPr>
          <w:rFonts w:hint="eastAsia" w:ascii="仿宋" w:hAnsi="仿宋" w:eastAsia="仿宋" w:cs="仿宋"/>
          <w:kern w:val="0"/>
          <w:sz w:val="30"/>
          <w:szCs w:val="30"/>
          <w:lang w:val="en-US" w:eastAsia="zh-CN"/>
        </w:rPr>
        <w:t>8.42</w:t>
      </w:r>
      <w:r>
        <w:rPr>
          <w:rFonts w:hint="eastAsia" w:ascii="仿宋" w:hAnsi="仿宋" w:eastAsia="仿宋" w:cs="仿宋"/>
          <w:kern w:val="0"/>
          <w:sz w:val="30"/>
          <w:szCs w:val="30"/>
        </w:rPr>
        <w:t>万元，</w:t>
      </w:r>
      <w:r>
        <w:rPr>
          <w:rFonts w:hint="eastAsia" w:ascii="仿宋" w:hAnsi="仿宋" w:eastAsia="仿宋" w:cs="仿宋"/>
          <w:color w:val="000000"/>
          <w:kern w:val="0"/>
          <w:sz w:val="30"/>
          <w:szCs w:val="30"/>
        </w:rPr>
        <w:t>占基本支出的</w:t>
      </w:r>
      <w:r>
        <w:rPr>
          <w:rFonts w:hint="eastAsia" w:ascii="仿宋" w:hAnsi="仿宋" w:eastAsia="仿宋" w:cs="仿宋"/>
          <w:color w:val="000000"/>
          <w:kern w:val="0"/>
          <w:sz w:val="30"/>
          <w:szCs w:val="30"/>
          <w:lang w:val="en-US" w:eastAsia="zh-CN"/>
        </w:rPr>
        <w:t>3.88</w:t>
      </w:r>
      <w:r>
        <w:rPr>
          <w:rFonts w:hint="eastAsia" w:ascii="仿宋" w:hAnsi="仿宋" w:eastAsia="仿宋" w:cs="仿宋"/>
          <w:color w:val="000000"/>
          <w:kern w:val="0"/>
          <w:sz w:val="30"/>
          <w:szCs w:val="30"/>
        </w:rPr>
        <w:t>%，</w:t>
      </w:r>
      <w:r>
        <w:rPr>
          <w:rFonts w:hint="eastAsia" w:ascii="仿宋" w:hAnsi="仿宋" w:eastAsia="仿宋" w:cs="仿宋"/>
          <w:kern w:val="0"/>
          <w:sz w:val="30"/>
          <w:szCs w:val="30"/>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spacing w:line="600" w:lineRule="exact"/>
        <w:ind w:left="105" w:leftChars="50" w:firstLine="600" w:firstLineChars="200"/>
        <w:jc w:val="left"/>
        <w:rPr>
          <w:rFonts w:ascii="仿宋" w:hAnsi="仿宋" w:eastAsia="仿宋" w:cs="仿宋"/>
          <w:b/>
          <w:bCs/>
          <w:sz w:val="30"/>
          <w:szCs w:val="30"/>
        </w:rPr>
      </w:pPr>
      <w:r>
        <w:rPr>
          <w:rFonts w:hint="eastAsia" w:ascii="仿宋" w:hAnsi="仿宋" w:eastAsia="仿宋" w:cs="仿宋"/>
          <w:b/>
          <w:bCs/>
          <w:sz w:val="30"/>
          <w:szCs w:val="30"/>
        </w:rPr>
        <w:t>（一）“三公”经费财政拨款支出决算总体情况说明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年度“三公”经费财政拨款支出预算为0.</w:t>
      </w:r>
      <w:r>
        <w:rPr>
          <w:rFonts w:hint="eastAsia" w:ascii="仿宋" w:hAnsi="仿宋" w:eastAsia="仿宋" w:cs="仿宋"/>
          <w:sz w:val="30"/>
          <w:szCs w:val="30"/>
          <w:lang w:val="en-US" w:eastAsia="zh-CN"/>
        </w:rPr>
        <w:t>3</w:t>
      </w:r>
      <w:r>
        <w:rPr>
          <w:rFonts w:hint="eastAsia" w:ascii="仿宋" w:hAnsi="仿宋" w:eastAsia="仿宋" w:cs="仿宋"/>
          <w:sz w:val="30"/>
          <w:szCs w:val="30"/>
        </w:rPr>
        <w:t>万元，支出决算为0万元，完成预算的0%，其中：</w:t>
      </w:r>
    </w:p>
    <w:p>
      <w:pPr>
        <w:pStyle w:val="10"/>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因公出国（境）费支出预算为0万元，支出决算为0万元，与上年相比持平，202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eastAsia="zh-CN"/>
        </w:rPr>
        <w:t>本</w:t>
      </w:r>
      <w:r>
        <w:rPr>
          <w:rFonts w:hint="eastAsia" w:ascii="仿宋" w:hAnsi="仿宋" w:eastAsia="仿宋" w:cs="仿宋"/>
          <w:sz w:val="30"/>
          <w:szCs w:val="30"/>
        </w:rPr>
        <w:t>部门未开展因公出国（境）活动</w:t>
      </w:r>
      <w:r>
        <w:rPr>
          <w:rFonts w:hint="eastAsia" w:ascii="仿宋" w:hAnsi="仿宋" w:eastAsia="仿宋" w:cs="仿宋"/>
          <w:sz w:val="30"/>
          <w:szCs w:val="30"/>
          <w:lang w:eastAsia="zh-CN"/>
        </w:rPr>
        <w:t>；</w:t>
      </w:r>
    </w:p>
    <w:p>
      <w:pPr>
        <w:pStyle w:val="10"/>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公务接待费支出预算为0.</w:t>
      </w:r>
      <w:r>
        <w:rPr>
          <w:rFonts w:hint="eastAsia" w:ascii="仿宋" w:hAnsi="仿宋" w:eastAsia="仿宋" w:cs="仿宋"/>
          <w:sz w:val="30"/>
          <w:szCs w:val="30"/>
          <w:lang w:val="en-US" w:eastAsia="zh-CN"/>
        </w:rPr>
        <w:t>3</w:t>
      </w:r>
      <w:r>
        <w:rPr>
          <w:rFonts w:hint="eastAsia" w:ascii="仿宋" w:hAnsi="仿宋" w:eastAsia="仿宋" w:cs="仿宋"/>
          <w:sz w:val="30"/>
          <w:szCs w:val="30"/>
        </w:rPr>
        <w:t>万元，支出决算为0万元，完成预算的0%</w:t>
      </w:r>
      <w:r>
        <w:rPr>
          <w:rFonts w:hint="eastAsia" w:ascii="仿宋" w:hAnsi="仿宋" w:eastAsia="仿宋" w:cs="仿宋"/>
          <w:sz w:val="30"/>
          <w:szCs w:val="30"/>
          <w:lang w:val="en-US" w:eastAsia="zh-CN"/>
        </w:rPr>
        <w:t>；</w:t>
      </w:r>
    </w:p>
    <w:p>
      <w:pPr>
        <w:pStyle w:val="10"/>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公务用车购置费支出预算为0万元，支出决算为0万元</w:t>
      </w:r>
      <w:r>
        <w:rPr>
          <w:rFonts w:hint="eastAsia" w:ascii="仿宋" w:hAnsi="仿宋" w:eastAsia="仿宋" w:cs="仿宋"/>
          <w:sz w:val="30"/>
          <w:szCs w:val="30"/>
          <w:lang w:eastAsia="zh-CN"/>
        </w:rPr>
        <w:t>，</w:t>
      </w:r>
      <w:r>
        <w:rPr>
          <w:rFonts w:hint="eastAsia" w:ascii="仿宋" w:hAnsi="仿宋" w:eastAsia="仿宋" w:cs="仿宋"/>
          <w:sz w:val="30"/>
          <w:szCs w:val="30"/>
        </w:rPr>
        <w:t>与上年相比持平，202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eastAsia="zh-CN"/>
        </w:rPr>
        <w:t>本</w:t>
      </w:r>
      <w:r>
        <w:rPr>
          <w:rFonts w:hint="eastAsia" w:ascii="仿宋" w:hAnsi="仿宋" w:eastAsia="仿宋" w:cs="仿宋"/>
          <w:sz w:val="30"/>
          <w:szCs w:val="30"/>
        </w:rPr>
        <w:t>部门未购置公务车</w:t>
      </w:r>
      <w:r>
        <w:rPr>
          <w:rFonts w:hint="eastAsia" w:ascii="仿宋" w:hAnsi="仿宋" w:eastAsia="仿宋" w:cs="仿宋"/>
          <w:sz w:val="30"/>
          <w:szCs w:val="30"/>
          <w:lang w:eastAsia="zh-CN"/>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公务用车运行维护费支出预算为0万元，支出决算为0万元，与上年相比持平，202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eastAsia="zh-CN"/>
        </w:rPr>
        <w:t>本</w:t>
      </w:r>
      <w:r>
        <w:rPr>
          <w:rFonts w:hint="eastAsia" w:ascii="仿宋" w:hAnsi="仿宋" w:eastAsia="仿宋" w:cs="仿宋"/>
          <w:sz w:val="30"/>
          <w:szCs w:val="30"/>
        </w:rPr>
        <w:t>部门无公务用车。</w:t>
      </w:r>
    </w:p>
    <w:p>
      <w:pPr>
        <w:keepNext/>
        <w:keepLines/>
        <w:autoSpaceDE w:val="0"/>
        <w:spacing w:line="600" w:lineRule="exact"/>
        <w:ind w:firstLine="300" w:firstLineChars="100"/>
        <w:rPr>
          <w:rFonts w:ascii="仿宋" w:hAnsi="仿宋" w:eastAsia="仿宋" w:cs="仿宋"/>
          <w:bCs/>
          <w:sz w:val="30"/>
          <w:szCs w:val="30"/>
        </w:rPr>
      </w:pPr>
      <w:r>
        <w:rPr>
          <w:rFonts w:hint="eastAsia" w:ascii="仿宋" w:hAnsi="仿宋" w:eastAsia="仿宋" w:cs="仿宋"/>
          <w:b/>
          <w:sz w:val="30"/>
          <w:szCs w:val="30"/>
        </w:rPr>
        <w:t>（二）“三公”经费财政拨款支出决算具体情况说明</w:t>
      </w:r>
    </w:p>
    <w:p>
      <w:pPr>
        <w:keepNext/>
        <w:keepLines/>
        <w:autoSpaceDE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年度“三公”经费财政拨款支出决算中，因公出国（境）费支出决算0万元，占0%</w:t>
      </w:r>
      <w:r>
        <w:rPr>
          <w:rFonts w:hint="eastAsia" w:ascii="仿宋" w:hAnsi="仿宋" w:eastAsia="仿宋" w:cs="仿宋"/>
          <w:sz w:val="30"/>
          <w:szCs w:val="30"/>
          <w:lang w:eastAsia="zh-CN"/>
        </w:rPr>
        <w:t>；</w:t>
      </w:r>
      <w:r>
        <w:rPr>
          <w:rFonts w:hint="eastAsia" w:ascii="仿宋" w:hAnsi="仿宋" w:eastAsia="仿宋" w:cs="仿宋"/>
          <w:sz w:val="30"/>
          <w:szCs w:val="30"/>
        </w:rPr>
        <w:t>公务接待费支出决算0万元，占0%</w:t>
      </w:r>
      <w:r>
        <w:rPr>
          <w:rFonts w:hint="eastAsia" w:ascii="仿宋" w:hAnsi="仿宋" w:eastAsia="仿宋" w:cs="仿宋"/>
          <w:sz w:val="30"/>
          <w:szCs w:val="30"/>
          <w:lang w:eastAsia="zh-CN"/>
        </w:rPr>
        <w:t>；</w:t>
      </w:r>
      <w:r>
        <w:rPr>
          <w:rFonts w:hint="eastAsia" w:ascii="仿宋" w:hAnsi="仿宋" w:eastAsia="仿宋" w:cs="仿宋"/>
          <w:sz w:val="30"/>
          <w:szCs w:val="30"/>
        </w:rPr>
        <w:t>公务用车购置费及运行维护费支出决算0万元，占0%。其中：</w:t>
      </w:r>
    </w:p>
    <w:p>
      <w:pPr>
        <w:pStyle w:val="10"/>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1.因公出国（境）费支出决算为0万元，全年安排因公出国（境）团组0个，累计0人次</w:t>
      </w:r>
      <w:r>
        <w:rPr>
          <w:rFonts w:hint="eastAsia" w:ascii="仿宋" w:hAnsi="仿宋" w:eastAsia="仿宋" w:cs="仿宋"/>
          <w:sz w:val="30"/>
          <w:szCs w:val="30"/>
          <w:lang w:eastAsia="zh-CN"/>
        </w:rPr>
        <w:t>；</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2.公务接待费支出决算为0万元，全年共接待来访团组0个、来宾0人次</w:t>
      </w:r>
      <w:r>
        <w:rPr>
          <w:rFonts w:hint="eastAsia" w:ascii="仿宋" w:hAnsi="仿宋" w:eastAsia="仿宋" w:cs="仿宋"/>
          <w:sz w:val="30"/>
          <w:szCs w:val="30"/>
          <w:lang w:eastAsia="zh-CN"/>
        </w:rPr>
        <w:t>；</w:t>
      </w:r>
    </w:p>
    <w:p>
      <w:pPr>
        <w:widowControl w:val="0"/>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sz w:val="30"/>
          <w:szCs w:val="30"/>
        </w:rPr>
        <w:t>3.公务用车购置费及运行维护费支出决算为0万元，其中：公务用车购置费0万元，公务用车运行维护费0万元</w:t>
      </w:r>
      <w:r>
        <w:rPr>
          <w:rFonts w:hint="eastAsia" w:ascii="仿宋" w:hAnsi="仿宋" w:eastAsia="仿宋" w:cs="仿宋"/>
          <w:sz w:val="30"/>
          <w:szCs w:val="30"/>
          <w:lang w:eastAsia="zh-CN"/>
        </w:rPr>
        <w:t>。</w:t>
      </w:r>
      <w:r>
        <w:rPr>
          <w:rFonts w:hint="eastAsia" w:ascii="仿宋" w:hAnsi="仿宋" w:eastAsia="仿宋" w:cs="仿宋"/>
          <w:sz w:val="30"/>
          <w:szCs w:val="30"/>
        </w:rPr>
        <w:t>截止202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w:t>
      </w:r>
      <w:r>
        <w:rPr>
          <w:rFonts w:hint="eastAsia" w:ascii="仿宋" w:hAnsi="仿宋" w:eastAsia="仿宋" w:cs="仿宋"/>
          <w:sz w:val="30"/>
          <w:szCs w:val="30"/>
          <w:lang w:eastAsia="zh-CN"/>
        </w:rPr>
        <w:t>本部门</w:t>
      </w:r>
      <w:r>
        <w:rPr>
          <w:rFonts w:hint="eastAsia" w:ascii="仿宋" w:hAnsi="仿宋" w:eastAsia="仿宋" w:cs="仿宋"/>
          <w:sz w:val="30"/>
          <w:szCs w:val="30"/>
        </w:rPr>
        <w:t>开支财政拨款的公务用车保有量为0辆。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20.49</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20.49</w:t>
      </w:r>
      <w:r>
        <w:rPr>
          <w:rFonts w:hint="eastAsia" w:ascii="Times New Roman" w:hAnsi="Times New Roman" w:eastAsia="仿宋_GB2312"/>
          <w:sz w:val="32"/>
          <w:szCs w:val="32"/>
        </w:rPr>
        <w:t>万元，其中项目支出</w:t>
      </w:r>
      <w:r>
        <w:rPr>
          <w:rFonts w:hint="eastAsia" w:ascii="Times New Roman" w:hAnsi="Times New Roman" w:eastAsia="仿宋_GB2312"/>
          <w:sz w:val="32"/>
          <w:szCs w:val="32"/>
          <w:lang w:val="en-US" w:eastAsia="zh-CN"/>
        </w:rPr>
        <w:t>20.49</w:t>
      </w:r>
      <w:r>
        <w:rPr>
          <w:rFonts w:hint="eastAsia" w:ascii="Times New Roman" w:hAnsi="Times New Roman" w:eastAsia="仿宋_GB2312"/>
          <w:sz w:val="32"/>
          <w:szCs w:val="32"/>
        </w:rPr>
        <w:t>万元；具体情况如下：</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其他支出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彩票公益金</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社会福利彩票公益金</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20.49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用于彩票公益金的项目支出增加</w:t>
      </w:r>
      <w:r>
        <w:rPr>
          <w:rFonts w:hint="eastAsia" w:ascii="Times New Roman" w:hAnsi="Times New Roman" w:eastAsia="仿宋_GB2312"/>
          <w:sz w:val="32"/>
          <w:szCs w:val="32"/>
          <w:lang w:val="en-US" w:eastAsia="zh-CN"/>
        </w:rPr>
        <w:t>20.49万元。</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8.02</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比年初预算数（</w:t>
      </w:r>
      <w:r>
        <w:rPr>
          <w:rFonts w:hint="eastAsia" w:ascii="Times New Roman" w:hAnsi="Times New Roman" w:eastAsia="仿宋_GB2312"/>
          <w:sz w:val="32"/>
          <w:szCs w:val="32"/>
          <w:lang w:val="en-US" w:eastAsia="zh-CN"/>
        </w:rPr>
        <w:t>6.4万元</w:t>
      </w:r>
      <w:r>
        <w:rPr>
          <w:rFonts w:hint="eastAsia" w:ascii="Times New Roman" w:hAnsi="Times New Roman" w:eastAsia="仿宋_GB2312"/>
          <w:sz w:val="32"/>
          <w:szCs w:val="32"/>
        </w:rPr>
        <w:t>）增加</w:t>
      </w:r>
      <w:r>
        <w:rPr>
          <w:rFonts w:hint="eastAsia" w:ascii="Times New Roman" w:hAnsi="Times New Roman" w:eastAsia="仿宋_GB2312"/>
          <w:sz w:val="32"/>
          <w:szCs w:val="32"/>
          <w:lang w:val="en-US" w:eastAsia="zh-CN"/>
        </w:rPr>
        <w:t>1.62</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20.2</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用于办公设备的维修经费增加。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万元；举办节庆、晚会活动，开支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无</w:t>
      </w:r>
      <w:r>
        <w:rPr>
          <w:rFonts w:hint="eastAsia" w:ascii="Times New Roman" w:hAnsi="Times New Roman" w:eastAsia="仿宋_GB2312"/>
          <w:sz w:val="32"/>
          <w:szCs w:val="32"/>
        </w:rPr>
        <w:t>政府采购支出</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年12月31日，本部门公务车辆0辆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单位价值50万元以上通用设备0台（套）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单位价值100万元以上通用设备0台（套）。</w:t>
      </w:r>
      <w:r>
        <w:rPr>
          <w:rFonts w:hint="eastAsia" w:ascii="仿宋_GB2312" w:hAnsi="仿宋_GB2312" w:eastAsia="仿宋_GB2312" w:cs="仿宋_GB2312"/>
          <w:sz w:val="32"/>
          <w:szCs w:val="32"/>
          <w:lang w:val="en-US" w:eastAsia="zh-CN"/>
        </w:rPr>
        <w:t xml:space="preserve"> </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根据预算绩效管理要求，我单位组织对202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年度部门整体支出实施了全覆盖性的绩效评价，撰写了整体支出绩效评价报告。涉及项目0个，涉及一般公共预算当年财政拨款</w:t>
      </w:r>
      <w:r>
        <w:rPr>
          <w:rFonts w:hint="eastAsia" w:ascii="仿宋_GB2312" w:hAnsi="仿宋_GB2312" w:eastAsia="仿宋_GB2312" w:cs="仿宋_GB2312"/>
          <w:sz w:val="32"/>
          <w:szCs w:val="32"/>
          <w:shd w:val="clear" w:color="auto" w:fill="FFFFFF"/>
          <w:lang w:val="en-US" w:eastAsia="zh-CN"/>
        </w:rPr>
        <w:t>367.66</w:t>
      </w:r>
      <w:r>
        <w:rPr>
          <w:rFonts w:hint="eastAsia" w:ascii="仿宋_GB2312" w:hAnsi="仿宋_GB2312" w:eastAsia="仿宋_GB2312" w:cs="仿宋_GB2312"/>
          <w:sz w:val="32"/>
          <w:szCs w:val="32"/>
          <w:shd w:val="clear" w:color="auto" w:fill="FFFFFF"/>
        </w:rPr>
        <w:t>万元，自评覆盖率达到100%。绩效自评结果显示，上述整体支出绩效情况较为理想，均达到了申请时设定的各项绩效目标。</w:t>
      </w:r>
    </w:p>
    <w:p>
      <w:pPr>
        <w:pStyle w:val="10"/>
        <w:jc w:val="center"/>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numPr>
          <w:ilvl w:val="0"/>
          <w:numId w:val="1"/>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财政拨款收入：指本级财政当年拨付的资金。</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上年结转和结余：指以前年度尚未完成、结转到本年按有关规定继续使用的资金。</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基本支出：指保障机构正常运转、完成支日常工作任务而发生的人员支出和公用支出。</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项目支出：指在基本支出之外为完成特定行政任务和事业发展目标所发生的支出。</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“三公”经费：指用财政拨款安排的因公出国（境）费、公务用车购置及运行费和公务接待费。</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文化旅游体育与传媒支出（类）体育（款）其他体育（项）：</w:t>
      </w:r>
    </w:p>
    <w:p>
      <w:pPr>
        <w:pStyle w:val="2"/>
        <w:rPr>
          <w:rFonts w:hint="default" w:ascii="仿宋" w:hAnsi="仿宋" w:eastAsia="仿宋"/>
          <w:sz w:val="30"/>
          <w:szCs w:val="30"/>
        </w:rPr>
      </w:pPr>
      <w:r>
        <w:rPr>
          <w:rFonts w:ascii="仿宋" w:hAnsi="仿宋" w:eastAsia="仿宋"/>
          <w:sz w:val="30"/>
          <w:szCs w:val="30"/>
        </w:rPr>
        <w:t>是指反映除运动项目管理、体育竞赛、体育训练、体育场馆、群众体育、体育交流与合作以外其他用于体育方面的支出。</w:t>
      </w:r>
    </w:p>
    <w:p>
      <w:pPr>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文化旅游体育与传媒支出（类）体育（款）体育场馆（项）：</w:t>
      </w:r>
    </w:p>
    <w:p>
      <w:pPr>
        <w:pStyle w:val="2"/>
        <w:rPr>
          <w:rFonts w:hint="default" w:ascii="仿宋" w:hAnsi="仿宋" w:eastAsia="仿宋"/>
          <w:sz w:val="30"/>
          <w:szCs w:val="30"/>
        </w:rPr>
      </w:pPr>
      <w:r>
        <w:rPr>
          <w:rFonts w:ascii="仿宋" w:hAnsi="仿宋" w:eastAsia="仿宋"/>
          <w:sz w:val="30"/>
          <w:szCs w:val="30"/>
        </w:rPr>
        <w:t>是指反映体育场馆建设及维护等方面的支出。</w:t>
      </w:r>
    </w:p>
    <w:p>
      <w:pPr>
        <w:pStyle w:val="10"/>
        <w:tabs>
          <w:tab w:val="left" w:pos="459"/>
        </w:tabs>
        <w:jc w:val="left"/>
        <w:rPr>
          <w:rFonts w:hint="eastAsia" w:eastAsia="黑体"/>
          <w:sz w:val="72"/>
          <w:szCs w:val="72"/>
          <w:lang w:eastAsia="zh-CN"/>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2098" w:right="1361" w:bottom="1928"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F5DF0"/>
    <w:multiLevelType w:val="singleLevel"/>
    <w:tmpl w:val="4EEF5DF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AE3368"/>
    <w:rsid w:val="117B1AD4"/>
    <w:rsid w:val="15317191"/>
    <w:rsid w:val="3285584A"/>
    <w:rsid w:val="479F15FC"/>
    <w:rsid w:val="530D1306"/>
    <w:rsid w:val="5777D4F5"/>
    <w:rsid w:val="5D702A76"/>
    <w:rsid w:val="5FC6BB1E"/>
    <w:rsid w:val="5FF720F1"/>
    <w:rsid w:val="633267E6"/>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4117</Words>
  <Characters>4525</Characters>
  <Lines>63</Lines>
  <Paragraphs>18</Paragraphs>
  <TotalTime>5</TotalTime>
  <ScaleCrop>false</ScaleCrop>
  <LinksUpToDate>false</LinksUpToDate>
  <CharactersWithSpaces>4542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2023-09-19T06:51:56Z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