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ageBreakBefore w:val="0"/>
        <w:kinsoku/>
        <w:wordWrap/>
        <w:overflowPunct/>
        <w:topLinePunct w:val="0"/>
        <w:bidi w:val="0"/>
        <w:snapToGrid/>
        <w:spacing w:line="600" w:lineRule="exact"/>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rPr>
        <w:t>202</w:t>
      </w:r>
      <w:r>
        <w:rPr>
          <w:rFonts w:hint="eastAsia" w:hAnsi="黑体" w:cs="黑体"/>
          <w:sz w:val="72"/>
          <w:szCs w:val="72"/>
          <w:lang w:val="en-US" w:eastAsia="zh-CN"/>
        </w:rPr>
        <w:t>2</w:t>
      </w:r>
      <w:r>
        <w:rPr>
          <w:rFonts w:hint="eastAsia" w:ascii="黑体" w:hAnsi="黑体" w:eastAsia="黑体" w:cs="黑体"/>
          <w:sz w:val="72"/>
          <w:szCs w:val="72"/>
        </w:rPr>
        <w:t>年度</w:t>
      </w:r>
      <w:r>
        <w:rPr>
          <w:rFonts w:hint="eastAsia" w:ascii="黑体" w:hAnsi="黑体" w:eastAsia="黑体" w:cs="黑体"/>
          <w:sz w:val="72"/>
          <w:szCs w:val="72"/>
          <w:lang w:val="en-US" w:eastAsia="zh-CN"/>
        </w:rPr>
        <w:t>益阳市</w:t>
      </w:r>
      <w:r>
        <w:rPr>
          <w:rFonts w:hint="eastAsia" w:ascii="黑体" w:hAnsi="黑体" w:eastAsia="黑体" w:cs="黑体"/>
          <w:sz w:val="72"/>
          <w:szCs w:val="72"/>
          <w:lang w:eastAsia="zh-CN"/>
        </w:rPr>
        <w:t>赫山区</w:t>
      </w:r>
    </w:p>
    <w:p>
      <w:pPr>
        <w:pStyle w:val="1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sz w:val="72"/>
          <w:szCs w:val="72"/>
        </w:rPr>
      </w:pPr>
      <w:r>
        <w:rPr>
          <w:rFonts w:hint="eastAsia" w:ascii="黑体" w:hAnsi="黑体" w:eastAsia="黑体" w:cs="黑体"/>
          <w:sz w:val="72"/>
          <w:szCs w:val="72"/>
          <w:lang w:val="en-US" w:eastAsia="zh-CN"/>
        </w:rPr>
        <w:t>国有土地上房屋征收与补偿</w:t>
      </w:r>
      <w:r>
        <w:rPr>
          <w:rFonts w:hint="eastAsia" w:hAnsi="黑体" w:cs="黑体"/>
          <w:sz w:val="72"/>
          <w:szCs w:val="72"/>
          <w:lang w:val="en-US" w:eastAsia="zh-CN"/>
        </w:rPr>
        <w:t>事务中心</w:t>
      </w:r>
      <w:r>
        <w:rPr>
          <w:rFonts w:hint="eastAsia" w:ascii="黑体" w:hAnsi="黑体" w:eastAsia="黑体" w:cs="黑体"/>
          <w:sz w:val="72"/>
          <w:szCs w:val="72"/>
        </w:rPr>
        <w:t>部门决算</w:t>
      </w: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2" w:firstLineChars="200"/>
        <w:jc w:val="center"/>
        <w:textAlignment w:val="auto"/>
        <w:rPr>
          <w:rFonts w:hint="eastAsia" w:ascii="仿宋" w:hAnsi="仿宋" w:eastAsia="仿宋" w:cs="仿宋"/>
          <w:b/>
          <w:sz w:val="30"/>
          <w:szCs w:val="30"/>
        </w:rPr>
      </w:pPr>
    </w:p>
    <w:p>
      <w:pPr>
        <w:pStyle w:val="12"/>
        <w:pageBreakBefore w:val="0"/>
        <w:kinsoku/>
        <w:wordWrap/>
        <w:overflowPunct/>
        <w:topLinePunct w:val="0"/>
        <w:bidi w:val="0"/>
        <w:snapToGrid/>
        <w:spacing w:line="600" w:lineRule="exact"/>
        <w:ind w:firstLine="602" w:firstLineChars="200"/>
        <w:jc w:val="center"/>
        <w:textAlignment w:val="auto"/>
        <w:rPr>
          <w:rFonts w:hint="eastAsia" w:ascii="仿宋" w:hAnsi="仿宋" w:eastAsia="仿宋" w:cs="仿宋"/>
          <w:b/>
          <w:sz w:val="30"/>
          <w:szCs w:val="30"/>
        </w:rPr>
      </w:pPr>
    </w:p>
    <w:p>
      <w:pPr>
        <w:pStyle w:val="12"/>
        <w:pageBreakBefore w:val="0"/>
        <w:kinsoku/>
        <w:wordWrap/>
        <w:overflowPunct/>
        <w:topLinePunct w:val="0"/>
        <w:bidi w:val="0"/>
        <w:snapToGrid/>
        <w:spacing w:line="600" w:lineRule="exact"/>
        <w:ind w:firstLine="602" w:firstLineChars="200"/>
        <w:jc w:val="center"/>
        <w:textAlignment w:val="auto"/>
        <w:rPr>
          <w:rFonts w:hint="eastAsia" w:ascii="仿宋" w:hAnsi="仿宋" w:eastAsia="仿宋" w:cs="仿宋"/>
          <w:b/>
          <w:sz w:val="30"/>
          <w:szCs w:val="30"/>
        </w:rPr>
      </w:pPr>
    </w:p>
    <w:p>
      <w:pPr>
        <w:pStyle w:val="12"/>
        <w:pageBreakBefore w:val="0"/>
        <w:kinsoku/>
        <w:wordWrap/>
        <w:overflowPunct/>
        <w:topLinePunct w:val="0"/>
        <w:bidi w:val="0"/>
        <w:snapToGrid/>
        <w:spacing w:line="600" w:lineRule="exact"/>
        <w:ind w:firstLine="602" w:firstLineChars="200"/>
        <w:jc w:val="center"/>
        <w:textAlignment w:val="auto"/>
        <w:rPr>
          <w:rFonts w:hint="eastAsia" w:ascii="仿宋" w:hAnsi="仿宋" w:eastAsia="仿宋" w:cs="仿宋"/>
          <w:b/>
          <w:sz w:val="30"/>
          <w:szCs w:val="30"/>
        </w:rPr>
      </w:pPr>
    </w:p>
    <w:p>
      <w:pPr>
        <w:pStyle w:val="12"/>
        <w:pageBreakBefore w:val="0"/>
        <w:kinsoku/>
        <w:wordWrap/>
        <w:overflowPunct/>
        <w:topLinePunct w:val="0"/>
        <w:bidi w:val="0"/>
        <w:snapToGrid/>
        <w:spacing w:line="600" w:lineRule="exact"/>
        <w:ind w:firstLine="602" w:firstLineChars="200"/>
        <w:jc w:val="center"/>
        <w:textAlignment w:val="auto"/>
        <w:rPr>
          <w:rFonts w:hint="eastAsia" w:ascii="仿宋" w:hAnsi="仿宋" w:eastAsia="仿宋" w:cs="仿宋"/>
          <w:b/>
          <w:sz w:val="30"/>
          <w:szCs w:val="30"/>
        </w:rPr>
      </w:pPr>
    </w:p>
    <w:p>
      <w:pPr>
        <w:pStyle w:val="12"/>
        <w:spacing w:line="500" w:lineRule="exact"/>
        <w:jc w:val="center"/>
        <w:rPr>
          <w:b/>
          <w:sz w:val="36"/>
          <w:szCs w:val="28"/>
        </w:rPr>
      </w:pPr>
      <w:r>
        <w:rPr>
          <w:rFonts w:hint="eastAsia"/>
          <w:b/>
          <w:sz w:val="36"/>
          <w:szCs w:val="28"/>
        </w:rPr>
        <w:t>目录</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益阳市赫山区</w:t>
      </w:r>
      <w:r>
        <w:rPr>
          <w:rFonts w:hint="eastAsia" w:ascii="黑体" w:hAnsi="黑体" w:eastAsia="黑体" w:cs="黑体"/>
          <w:b w:val="0"/>
          <w:bCs/>
          <w:sz w:val="30"/>
          <w:szCs w:val="30"/>
          <w:lang w:val="en-US" w:eastAsia="zh-CN"/>
        </w:rPr>
        <w:t>国有土地上房屋征收与补偿</w:t>
      </w:r>
      <w:r>
        <w:rPr>
          <w:rFonts w:hint="eastAsia" w:hAnsi="黑体" w:cs="黑体"/>
          <w:b w:val="0"/>
          <w:bCs/>
          <w:sz w:val="30"/>
          <w:szCs w:val="30"/>
          <w:lang w:val="en-US" w:eastAsia="zh-CN"/>
        </w:rPr>
        <w:t>事务中心</w:t>
      </w:r>
      <w:r>
        <w:rPr>
          <w:rFonts w:hint="eastAsia" w:ascii="黑体" w:hAnsi="黑体" w:eastAsia="黑体" w:cs="黑体"/>
          <w:b w:val="0"/>
          <w:bCs/>
          <w:sz w:val="28"/>
          <w:szCs w:val="28"/>
        </w:rPr>
        <w:t>概况</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第一部分</w:t>
      </w: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hAnsi="黑体" w:cs="黑体"/>
          <w:b w:val="0"/>
          <w:bCs/>
          <w:sz w:val="36"/>
          <w:szCs w:val="36"/>
          <w:lang w:val="en-US" w:eastAsia="zh-CN"/>
        </w:rPr>
      </w:pPr>
      <w:r>
        <w:rPr>
          <w:rFonts w:hint="eastAsia" w:hAnsi="黑体" w:cs="黑体"/>
          <w:b w:val="0"/>
          <w:bCs/>
          <w:sz w:val="36"/>
          <w:szCs w:val="36"/>
          <w:lang w:val="en-US" w:eastAsia="zh-CN"/>
        </w:rPr>
        <w:t>益阳市赫山区</w:t>
      </w:r>
      <w:r>
        <w:rPr>
          <w:rFonts w:hint="eastAsia" w:ascii="黑体" w:hAnsi="黑体" w:eastAsia="黑体" w:cs="黑体"/>
          <w:b w:val="0"/>
          <w:bCs/>
          <w:sz w:val="36"/>
          <w:szCs w:val="36"/>
          <w:lang w:val="en-US" w:eastAsia="zh-CN"/>
        </w:rPr>
        <w:t>国有土地上房屋征收与补偿</w:t>
      </w:r>
      <w:r>
        <w:rPr>
          <w:rFonts w:hint="eastAsia" w:hAnsi="黑体" w:cs="黑体"/>
          <w:b w:val="0"/>
          <w:bCs/>
          <w:sz w:val="36"/>
          <w:szCs w:val="36"/>
          <w:lang w:val="en-US" w:eastAsia="zh-CN"/>
        </w:rPr>
        <w:t>事务中心</w:t>
      </w: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36"/>
          <w:szCs w:val="36"/>
        </w:rPr>
      </w:pPr>
      <w:r>
        <w:rPr>
          <w:rFonts w:hint="eastAsia" w:ascii="黑体" w:hAnsi="黑体" w:eastAsia="黑体" w:cs="黑体"/>
          <w:b w:val="0"/>
          <w:bCs/>
          <w:sz w:val="36"/>
          <w:szCs w:val="36"/>
          <w:lang w:val="en-US" w:eastAsia="zh-CN"/>
        </w:rPr>
        <w:t>单位</w:t>
      </w:r>
      <w:r>
        <w:rPr>
          <w:rFonts w:hint="eastAsia" w:ascii="黑体" w:hAnsi="黑体" w:eastAsia="黑体" w:cs="黑体"/>
          <w:sz w:val="36"/>
          <w:szCs w:val="36"/>
        </w:rPr>
        <w:t>概况</w:t>
      </w: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left"/>
        <w:textAlignment w:val="auto"/>
        <w:rPr>
          <w:rFonts w:hint="eastAsia" w:ascii="黑体" w:hAnsi="黑体" w:eastAsia="黑体" w:cs="黑体"/>
          <w:sz w:val="30"/>
          <w:szCs w:val="30"/>
        </w:rPr>
      </w:pPr>
      <w:r>
        <w:rPr>
          <w:rFonts w:hint="eastAsia" w:ascii="黑体" w:hAnsi="黑体" w:eastAsia="黑体" w:cs="黑体"/>
          <w:kern w:val="2"/>
          <w:sz w:val="30"/>
          <w:szCs w:val="30"/>
          <w:lang w:val="en-US" w:eastAsia="zh-CN" w:bidi="ar-SA"/>
        </w:rPr>
        <w:t>一、</w:t>
      </w:r>
      <w:r>
        <w:rPr>
          <w:rFonts w:hint="eastAsia" w:ascii="黑体" w:hAnsi="黑体" w:eastAsia="黑体" w:cs="黑体"/>
          <w:sz w:val="30"/>
          <w:szCs w:val="30"/>
        </w:rPr>
        <w:t>部门职责</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1.贯彻落实国有土地上房屋征收与补偿的有关政策、法规</w:t>
      </w:r>
      <w:r>
        <w:rPr>
          <w:rFonts w:hint="eastAsia" w:ascii="仿宋" w:hAnsi="仿宋" w:eastAsia="仿宋" w:cs="仿宋"/>
          <w:sz w:val="30"/>
          <w:szCs w:val="30"/>
          <w:lang w:eastAsia="zh-CN"/>
        </w:rPr>
        <w:t>。</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rPr>
      </w:pPr>
      <w:r>
        <w:rPr>
          <w:rFonts w:hint="eastAsia" w:ascii="仿宋" w:hAnsi="仿宋" w:eastAsia="仿宋" w:cs="仿宋"/>
          <w:sz w:val="30"/>
          <w:szCs w:val="30"/>
        </w:rPr>
        <w:t>2.负责编制全区国有土地上房屋征收与补偿年度计划；负责全区国有土地上房屋征收与补偿资金的调度和管理</w:t>
      </w:r>
      <w:r>
        <w:rPr>
          <w:rFonts w:hint="eastAsia" w:ascii="仿宋" w:hAnsi="仿宋" w:eastAsia="仿宋" w:cs="仿宋"/>
          <w:sz w:val="30"/>
          <w:szCs w:val="30"/>
          <w:lang w:eastAsia="zh-CN"/>
        </w:rPr>
        <w:t>。</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3.组织协调全区国有土地上房屋征收及社会稳定风险评估工作，负责全区国有土地上房屋拆除资质管理的工作</w:t>
      </w:r>
      <w:r>
        <w:rPr>
          <w:rFonts w:hint="eastAsia" w:ascii="仿宋" w:hAnsi="仿宋" w:eastAsia="仿宋" w:cs="仿宋"/>
          <w:sz w:val="30"/>
          <w:szCs w:val="30"/>
          <w:lang w:eastAsia="zh-CN"/>
        </w:rPr>
        <w:t>。</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4.负责城区农村居民住房安置工作，特别是“两转变、一纳入”工作。</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受市人民政府委托负责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pPr>
        <w:pStyle w:val="7"/>
        <w:pageBreakBefore w:val="0"/>
        <w:widowControl w:val="0"/>
        <w:kinsoku/>
        <w:wordWrap/>
        <w:overflowPunct/>
        <w:topLinePunct w:val="0"/>
        <w:autoSpaceDE/>
        <w:autoSpaceDN/>
        <w:bidi w:val="0"/>
        <w:adjustRightInd/>
        <w:snapToGrid/>
        <w:spacing w:before="0" w:beforeAutospacing="0" w:after="0" w:afterAutospacing="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 6.承办区人民政府交办的其他事项。</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00" w:firstLineChars="200"/>
        <w:jc w:val="left"/>
        <w:textAlignment w:val="auto"/>
        <w:rPr>
          <w:rFonts w:hint="eastAsia"/>
          <w:lang w:val="en-US" w:eastAsia="zh-CN"/>
        </w:rPr>
      </w:pPr>
      <w:r>
        <w:rPr>
          <w:rFonts w:hint="eastAsia" w:ascii="黑体" w:hAnsi="黑体" w:eastAsia="黑体" w:cs="黑体"/>
          <w:kern w:val="2"/>
          <w:sz w:val="30"/>
          <w:szCs w:val="30"/>
          <w:lang w:val="en-US" w:eastAsia="zh-CN" w:bidi="ar-SA"/>
        </w:rPr>
        <w:t>二、机构设置及决算单位构成</w:t>
      </w:r>
    </w:p>
    <w:p>
      <w:pPr>
        <w:keepNext w:val="0"/>
        <w:keepLines w:val="0"/>
        <w:pageBreakBefore w:val="0"/>
        <w:widowControl w:val="0"/>
        <w:tabs>
          <w:tab w:val="left" w:pos="783"/>
        </w:tabs>
        <w:kinsoku/>
        <w:wordWrap/>
        <w:overflowPunct/>
        <w:topLinePunct w:val="0"/>
        <w:autoSpaceDE/>
        <w:autoSpaceDN/>
        <w:bidi w:val="0"/>
        <w:adjustRightInd/>
        <w:snapToGrid/>
        <w:spacing w:beforeAutospacing="0" w:afterAutospacing="0" w:line="60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rPr>
        <w:t>(一)机构设置</w:t>
      </w:r>
      <w:r>
        <w:rPr>
          <w:rFonts w:hint="eastAsia" w:ascii="仿宋" w:hAnsi="仿宋" w:eastAsia="仿宋" w:cs="仿宋"/>
          <w:b/>
          <w:bCs/>
          <w:sz w:val="30"/>
          <w:szCs w:val="30"/>
          <w:lang w:val="en-US" w:eastAsia="zh-CN"/>
        </w:rPr>
        <w:t>情况</w:t>
      </w:r>
    </w:p>
    <w:p>
      <w:pPr>
        <w:keepNext w:val="0"/>
        <w:keepLines w:val="0"/>
        <w:pageBreakBefore w:val="0"/>
        <w:widowControl w:val="0"/>
        <w:tabs>
          <w:tab w:val="left" w:pos="1013"/>
        </w:tabs>
        <w:kinsoku/>
        <w:wordWrap/>
        <w:overflowPunct/>
        <w:topLinePunct w:val="0"/>
        <w:autoSpaceDE/>
        <w:autoSpaceDN/>
        <w:bidi w:val="0"/>
        <w:adjustRightInd/>
        <w:snapToGrid/>
        <w:spacing w:beforeAutospacing="0" w:afterAutospacing="0" w:line="6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rPr>
        <w:t>区</w:t>
      </w:r>
      <w:r>
        <w:rPr>
          <w:rFonts w:hint="eastAsia" w:ascii="仿宋" w:hAnsi="仿宋" w:eastAsia="仿宋" w:cs="仿宋"/>
          <w:sz w:val="30"/>
          <w:szCs w:val="30"/>
          <w:lang w:eastAsia="zh-CN"/>
        </w:rPr>
        <w:t>征补办内设</w:t>
      </w:r>
      <w:r>
        <w:rPr>
          <w:rFonts w:hint="eastAsia" w:ascii="仿宋" w:hAnsi="仿宋" w:eastAsia="仿宋" w:cs="仿宋"/>
          <w:sz w:val="30"/>
          <w:szCs w:val="30"/>
          <w:lang w:val="en-US" w:eastAsia="zh-CN"/>
        </w:rPr>
        <w:t>4</w:t>
      </w:r>
      <w:r>
        <w:rPr>
          <w:rFonts w:hint="eastAsia" w:ascii="仿宋" w:hAnsi="仿宋" w:eastAsia="仿宋" w:cs="仿宋"/>
          <w:sz w:val="30"/>
          <w:szCs w:val="30"/>
        </w:rPr>
        <w:t>个股室，</w:t>
      </w:r>
      <w:r>
        <w:rPr>
          <w:rFonts w:hint="eastAsia" w:ascii="仿宋" w:hAnsi="仿宋" w:eastAsia="仿宋" w:cs="仿宋"/>
          <w:sz w:val="30"/>
          <w:szCs w:val="30"/>
          <w:lang w:eastAsia="zh-CN"/>
        </w:rPr>
        <w:t>内设</w:t>
      </w:r>
      <w:r>
        <w:rPr>
          <w:rFonts w:hint="eastAsia" w:ascii="仿宋" w:hAnsi="仿宋" w:eastAsia="仿宋" w:cs="仿宋"/>
          <w:sz w:val="30"/>
          <w:szCs w:val="30"/>
        </w:rPr>
        <w:t>股室为办公室、法制股、财务</w:t>
      </w:r>
      <w:r>
        <w:rPr>
          <w:rFonts w:hint="eastAsia" w:ascii="仿宋" w:hAnsi="仿宋" w:eastAsia="仿宋" w:cs="仿宋"/>
          <w:sz w:val="30"/>
          <w:szCs w:val="30"/>
          <w:lang w:eastAsia="zh-CN"/>
        </w:rPr>
        <w:t>股、安置股，有</w:t>
      </w:r>
      <w:r>
        <w:rPr>
          <w:rFonts w:hint="eastAsia" w:ascii="仿宋" w:hAnsi="仿宋" w:eastAsia="仿宋" w:cs="仿宋"/>
          <w:sz w:val="30"/>
          <w:szCs w:val="30"/>
          <w:lang w:val="en-US" w:eastAsia="zh-CN"/>
        </w:rPr>
        <w:t>2个股级事业单位</w:t>
      </w:r>
      <w:r>
        <w:rPr>
          <w:rFonts w:hint="eastAsia" w:ascii="仿宋" w:hAnsi="仿宋" w:eastAsia="仿宋" w:cs="仿宋"/>
          <w:sz w:val="30"/>
          <w:szCs w:val="30"/>
          <w:lang w:eastAsia="zh-CN"/>
        </w:rPr>
        <w:t>。所属股级事业单位分别是益阳市赫山区房屋征收与补偿事务所、益阳市赫山区征地拆迁事务所。</w:t>
      </w:r>
    </w:p>
    <w:p>
      <w:pPr>
        <w:keepNext w:val="0"/>
        <w:keepLines w:val="0"/>
        <w:pageBreakBefore w:val="0"/>
        <w:widowControl w:val="0"/>
        <w:tabs>
          <w:tab w:val="left" w:pos="1193"/>
        </w:tabs>
        <w:kinsoku/>
        <w:wordWrap/>
        <w:overflowPunct/>
        <w:topLinePunct w:val="0"/>
        <w:autoSpaceDE/>
        <w:autoSpaceDN/>
        <w:bidi w:val="0"/>
        <w:adjustRightInd/>
        <w:snapToGrid/>
        <w:spacing w:beforeAutospacing="0" w:afterAutospacing="0" w:line="60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（二）决算单位构成</w:t>
      </w:r>
    </w:p>
    <w:p>
      <w:pPr>
        <w:keepNext/>
        <w:keepLines/>
        <w:pageBreakBefore w:val="0"/>
        <w:widowControl w:val="0"/>
        <w:kinsoku/>
        <w:wordWrap/>
        <w:overflowPunct/>
        <w:topLinePunct w:val="0"/>
        <w:autoSpaceDE/>
        <w:autoSpaceDN/>
        <w:bidi w:val="0"/>
        <w:adjustRightInd/>
        <w:snapToGrid/>
        <w:spacing w:beforeAutospacing="0" w:afterAutospacing="0"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zh-CN" w:eastAsia="zh-CN"/>
        </w:rPr>
        <w:t>益阳市赫山区征补办公室单位</w:t>
      </w:r>
      <w:r>
        <w:rPr>
          <w:rFonts w:hint="eastAsia" w:ascii="仿宋" w:hAnsi="仿宋" w:eastAsia="仿宋" w:cs="仿宋"/>
          <w:sz w:val="30"/>
          <w:szCs w:val="30"/>
          <w:lang w:val="en-US" w:eastAsia="zh-CN"/>
        </w:rPr>
        <w:t>2022年</w:t>
      </w:r>
      <w:r>
        <w:rPr>
          <w:rFonts w:hint="eastAsia" w:ascii="仿宋" w:hAnsi="仿宋" w:eastAsia="仿宋" w:cs="仿宋"/>
          <w:sz w:val="30"/>
          <w:szCs w:val="30"/>
          <w:lang w:val="zh-CN" w:eastAsia="zh-CN"/>
        </w:rPr>
        <w:t>部门决算汇总公开单位构成包括：</w:t>
      </w:r>
      <w:r>
        <w:rPr>
          <w:rFonts w:hint="eastAsia" w:ascii="仿宋" w:hAnsi="仿宋" w:eastAsia="仿宋" w:cs="仿宋"/>
          <w:sz w:val="30"/>
          <w:szCs w:val="30"/>
        </w:rPr>
        <w:t>机关本级决算</w:t>
      </w:r>
      <w:r>
        <w:rPr>
          <w:rFonts w:hint="eastAsia" w:ascii="仿宋" w:hAnsi="仿宋" w:eastAsia="仿宋" w:cs="仿宋"/>
          <w:sz w:val="30"/>
          <w:szCs w:val="30"/>
          <w:lang w:eastAsia="zh-CN"/>
        </w:rPr>
        <w:t>及所属两个股级事业单位（益阳市赫山区房屋征收与补偿事务所、益阳市赫山区征地拆迁事务所）。</w:t>
      </w:r>
    </w:p>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jc w:val="both"/>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r>
        <w:rPr>
          <w:rFonts w:hint="eastAsia" w:ascii="黑体" w:hAnsi="黑体" w:eastAsia="黑体" w:cs="黑体"/>
          <w:sz w:val="72"/>
          <w:szCs w:val="72"/>
        </w:rPr>
        <w:t>第二部分</w:t>
      </w:r>
      <w:r>
        <w:rPr>
          <w:rFonts w:hint="eastAsia" w:ascii="黑体" w:hAnsi="黑体" w:eastAsia="黑体" w:cs="黑体"/>
          <w:sz w:val="72"/>
          <w:szCs w:val="72"/>
          <w:lang w:val="en-US" w:eastAsia="zh-CN"/>
        </w:rPr>
        <w:t xml:space="preserve"> </w:t>
      </w:r>
      <w:r>
        <w:rPr>
          <w:rFonts w:hint="eastAsia" w:ascii="黑体" w:hAnsi="黑体" w:eastAsia="黑体" w:cs="黑体"/>
          <w:sz w:val="72"/>
          <w:szCs w:val="72"/>
        </w:rPr>
        <w:t>部门决算表</w:t>
      </w: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6"/>
        <w:rPr>
          <w:rFonts w:hint="eastAsia" w:ascii="仿宋" w:hAnsi="仿宋" w:eastAsia="仿宋" w:cs="仿宋"/>
          <w:sz w:val="30"/>
          <w:szCs w:val="30"/>
          <w:lang w:eastAsia="zh-CN"/>
        </w:rPr>
      </w:pPr>
    </w:p>
    <w:p>
      <w:pPr>
        <w:rPr>
          <w:rFonts w:hint="eastAsia"/>
          <w:lang w:eastAsia="zh-CN"/>
        </w:rPr>
      </w:pPr>
      <w:bookmarkStart w:id="0" w:name="_GoBack"/>
      <w:bookmarkEnd w:id="0"/>
    </w:p>
    <w:p>
      <w:pPr>
        <w:rPr>
          <w:rFonts w:hint="eastAsia" w:ascii="仿宋" w:hAnsi="仿宋" w:eastAsia="仿宋" w:cs="仿宋"/>
          <w:sz w:val="30"/>
          <w:szCs w:val="30"/>
        </w:rPr>
      </w:pPr>
    </w:p>
    <w:p>
      <w:pPr>
        <w:pStyle w:val="6"/>
        <w:rPr>
          <w:rFonts w:hint="eastAsia" w:ascii="仿宋" w:hAnsi="仿宋" w:eastAsia="仿宋" w:cs="仿宋"/>
          <w:sz w:val="30"/>
          <w:szCs w:val="30"/>
        </w:rPr>
      </w:pPr>
    </w:p>
    <w:p>
      <w:pPr>
        <w:rPr>
          <w:rFonts w:hint="eastAsia" w:ascii="仿宋" w:hAnsi="仿宋" w:eastAsia="仿宋" w:cs="仿宋"/>
          <w:sz w:val="30"/>
          <w:szCs w:val="30"/>
        </w:rPr>
      </w:pPr>
    </w:p>
    <w:p>
      <w:pPr>
        <w:pStyle w:val="6"/>
        <w:rPr>
          <w:rFonts w:hint="eastAsia" w:ascii="仿宋" w:hAnsi="仿宋" w:eastAsia="仿宋" w:cs="仿宋"/>
          <w:sz w:val="30"/>
          <w:szCs w:val="30"/>
        </w:rPr>
      </w:pPr>
    </w:p>
    <w:p>
      <w:pPr>
        <w:rPr>
          <w:rFonts w:hint="eastAsia" w:ascii="仿宋" w:hAnsi="仿宋" w:eastAsia="仿宋" w:cs="仿宋"/>
          <w:sz w:val="30"/>
          <w:szCs w:val="30"/>
        </w:rPr>
      </w:pPr>
    </w:p>
    <w:p>
      <w:pPr>
        <w:pStyle w:val="6"/>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tbl>
      <w:tblPr>
        <w:tblStyle w:val="8"/>
        <w:tblpPr w:leftFromText="180" w:rightFromText="180" w:vertAnchor="text" w:horzAnchor="page" w:tblpX="947" w:tblpY="488"/>
        <w:tblOverlap w:val="never"/>
        <w:tblW w:w="11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3736"/>
        <w:gridCol w:w="656"/>
        <w:gridCol w:w="876"/>
        <w:gridCol w:w="3516"/>
        <w:gridCol w:w="6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90" w:hRule="atLeast"/>
        </w:trPr>
        <w:tc>
          <w:tcPr>
            <w:tcW w:w="11056" w:type="dxa"/>
            <w:gridSpan w:val="6"/>
            <w:tcBorders>
              <w:top w:val="nil"/>
              <w:left w:val="nil"/>
              <w:bottom w:val="nil"/>
              <w:right w:val="nil"/>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36" w:type="dxa"/>
            <w:tcBorders>
              <w:top w:val="nil"/>
              <w:left w:val="nil"/>
              <w:bottom w:val="nil"/>
              <w:right w:val="nil"/>
            </w:tcBorders>
            <w:shd w:val="clear" w:color="auto" w:fill="FFFFFF" w:themeFill="background1"/>
            <w:noWrap/>
            <w:vAlign w:val="bottom"/>
          </w:tcPr>
          <w:p>
            <w:pPr>
              <w:rPr>
                <w:rFonts w:hint="eastAsia" w:ascii="Arial" w:hAnsi="Arial" w:cs="Arial"/>
                <w:i w:val="0"/>
                <w:iCs w:val="0"/>
                <w:color w:val="000000"/>
                <w:sz w:val="20"/>
                <w:szCs w:val="20"/>
                <w:u w:val="none"/>
              </w:rPr>
            </w:pPr>
          </w:p>
        </w:tc>
        <w:tc>
          <w:tcPr>
            <w:tcW w:w="65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36" w:type="dxa"/>
            <w:tcBorders>
              <w:top w:val="nil"/>
              <w:left w:val="nil"/>
              <w:bottom w:val="nil"/>
              <w:right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部门：益阳市赫山区征补办公室</w:t>
            </w:r>
          </w:p>
        </w:tc>
        <w:tc>
          <w:tcPr>
            <w:tcW w:w="65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656"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788"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398.09</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170.46</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568.55</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7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568.55</w:t>
            </w:r>
          </w:p>
        </w:tc>
        <w:tc>
          <w:tcPr>
            <w:tcW w:w="35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1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56"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56"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hint="eastAsia" w:ascii="仿宋" w:hAnsi="仿宋" w:eastAsia="仿宋" w:cs="仿宋"/>
          <w:sz w:val="30"/>
          <w:szCs w:val="30"/>
        </w:rPr>
        <w:sectPr>
          <w:pgSz w:w="11906" w:h="16838"/>
          <w:pgMar w:top="1134" w:right="1531" w:bottom="1134" w:left="1531" w:header="851" w:footer="992" w:gutter="0"/>
          <w:cols w:space="0" w:num="1"/>
          <w:rtlGutter w:val="0"/>
          <w:docGrid w:type="lines" w:linePitch="312" w:charSpace="0"/>
        </w:sectPr>
      </w:pPr>
    </w:p>
    <w:tbl>
      <w:tblPr>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329"/>
        <w:gridCol w:w="329"/>
        <w:gridCol w:w="329"/>
        <w:gridCol w:w="4616"/>
        <w:gridCol w:w="1317"/>
        <w:gridCol w:w="1317"/>
        <w:gridCol w:w="1052"/>
        <w:gridCol w:w="1052"/>
        <w:gridCol w:w="1052"/>
        <w:gridCol w:w="105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0" w:type="dxa"/>
            <w:gridSpan w:val="11"/>
            <w:tcBorders>
              <w:top w:val="nil"/>
              <w:left w:val="nil"/>
              <w:bottom w:val="nil"/>
              <w:right w:val="nil"/>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themeFill="background1"/>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4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40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568.55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170.46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2010399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464.96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294.50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ascii="黑体" w:hAnsi="黑体" w:eastAsia="黑体" w:cs="黑体"/>
          <w:sz w:val="72"/>
          <w:szCs w:val="72"/>
        </w:rPr>
      </w:pPr>
    </w:p>
    <w:tbl>
      <w:tblPr>
        <w:tblW w:w="14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326"/>
        <w:gridCol w:w="327"/>
        <w:gridCol w:w="327"/>
        <w:gridCol w:w="4551"/>
        <w:gridCol w:w="1639"/>
        <w:gridCol w:w="1639"/>
        <w:gridCol w:w="1415"/>
        <w:gridCol w:w="1415"/>
        <w:gridCol w:w="1415"/>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90" w:hRule="atLeast"/>
        </w:trPr>
        <w:tc>
          <w:tcPr>
            <w:tcW w:w="14560" w:type="dxa"/>
            <w:gridSpan w:val="10"/>
            <w:tcBorders>
              <w:top w:val="nil"/>
              <w:left w:val="nil"/>
              <w:bottom w:val="nil"/>
              <w:right w:val="nil"/>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themeFill="background1"/>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nil"/>
              <w:left w:val="nil"/>
              <w:bottom w:val="nil"/>
              <w:right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66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6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568.55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568.55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553.50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2010399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464.96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464.96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ascii="黑体" w:hAnsi="黑体" w:eastAsia="黑体" w:cs="黑体"/>
          <w:sz w:val="72"/>
          <w:szCs w:val="72"/>
        </w:rPr>
      </w:pPr>
    </w:p>
    <w:tbl>
      <w:tblPr>
        <w:tblW w:w="14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3310"/>
        <w:gridCol w:w="587"/>
        <w:gridCol w:w="1442"/>
        <w:gridCol w:w="3530"/>
        <w:gridCol w:w="587"/>
        <w:gridCol w:w="883"/>
        <w:gridCol w:w="1454"/>
        <w:gridCol w:w="1320"/>
        <w:gridCol w:w="1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420" w:type="dxa"/>
            <w:gridSpan w:val="9"/>
            <w:tcBorders>
              <w:top w:val="nil"/>
              <w:left w:val="nil"/>
              <w:bottom w:val="nil"/>
              <w:right w:val="nil"/>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themeFill="background1"/>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86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8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46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0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8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8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48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48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6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6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302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58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0"/>
                <w:szCs w:val="20"/>
                <w:u w:val="none"/>
              </w:rPr>
            </w:pP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tbl>
      <w:tblPr>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9"/>
        <w:gridCol w:w="329"/>
        <w:gridCol w:w="329"/>
        <w:gridCol w:w="6061"/>
        <w:gridCol w:w="2243"/>
        <w:gridCol w:w="2142"/>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1" w:hRule="atLeast"/>
        </w:trPr>
        <w:tc>
          <w:tcPr>
            <w:tcW w:w="1412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4"/>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561"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155"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53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3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64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15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53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155"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253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3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398.09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2010399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tbl>
      <w:tblPr>
        <w:tblW w:w="13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20"/>
        <w:gridCol w:w="3241"/>
        <w:gridCol w:w="821"/>
        <w:gridCol w:w="720"/>
        <w:gridCol w:w="2232"/>
        <w:gridCol w:w="821"/>
        <w:gridCol w:w="720"/>
        <w:gridCol w:w="4047"/>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20" w:type="dxa"/>
            <w:gridSpan w:val="9"/>
            <w:tcBorders>
              <w:top w:val="nil"/>
              <w:left w:val="nil"/>
              <w:bottom w:val="nil"/>
              <w:right w:val="nil"/>
            </w:tcBorders>
            <w:shd w:val="clear" w:color="000000"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86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8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90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14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86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4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74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90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149.83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99.79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61.78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16.43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0.44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19.94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0.96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41.83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0.84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248.26</w:t>
            </w:r>
          </w:p>
        </w:tc>
        <w:tc>
          <w:tcPr>
            <w:tcW w:w="0" w:type="auto"/>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tbl>
      <w:tblPr>
        <w:tblW w:w="135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97"/>
        <w:gridCol w:w="397"/>
        <w:gridCol w:w="397"/>
        <w:gridCol w:w="1958"/>
        <w:gridCol w:w="1724"/>
        <w:gridCol w:w="1943"/>
        <w:gridCol w:w="1624"/>
        <w:gridCol w:w="1624"/>
        <w:gridCol w:w="1624"/>
        <w:gridCol w:w="2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40" w:type="dxa"/>
            <w:gridSpan w:val="10"/>
            <w:tcBorders>
              <w:top w:val="nil"/>
              <w:left w:val="nil"/>
              <w:bottom w:val="nil"/>
              <w:right w:val="nil"/>
            </w:tcBorders>
            <w:shd w:val="clear" w:color="000000"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92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gridSpan w:val="6"/>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注：我单位无政府性基金预算财政拨款收入支出业务，本表无数据。</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ascii="黑体" w:hAnsi="黑体" w:eastAsia="黑体" w:cs="黑体"/>
          <w:sz w:val="72"/>
          <w:szCs w:val="72"/>
        </w:rPr>
      </w:pPr>
    </w:p>
    <w:tbl>
      <w:tblPr>
        <w:tblW w:w="14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15"/>
        <w:gridCol w:w="415"/>
        <w:gridCol w:w="415"/>
        <w:gridCol w:w="2048"/>
        <w:gridCol w:w="3215"/>
        <w:gridCol w:w="2736"/>
        <w:gridCol w:w="5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94" w:hRule="atLeast"/>
        </w:trPr>
        <w:tc>
          <w:tcPr>
            <w:tcW w:w="14380" w:type="dxa"/>
            <w:gridSpan w:val="7"/>
            <w:tcBorders>
              <w:top w:val="nil"/>
              <w:left w:val="nil"/>
              <w:bottom w:val="nil"/>
              <w:right w:val="nil"/>
            </w:tcBorders>
            <w:shd w:val="clear" w:color="000000"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9375" w:type="dxa"/>
            <w:gridSpan w:val="3"/>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93"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3004"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49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3880"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9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00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9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893" w:type="dxa"/>
            <w:gridSpan w:val="3"/>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00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249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388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0" w:type="auto"/>
            <w:gridSpan w:val="7"/>
            <w:tcBorders>
              <w:top w:val="nil"/>
              <w:left w:val="nil"/>
              <w:bottom w:val="nil"/>
              <w:right w:val="nil"/>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gridSpan w:val="5"/>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注：我单位无国有资本经营预算拨款支出业务，本表无数据。</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tbl>
      <w:tblPr>
        <w:tblW w:w="14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0"/>
        <w:gridCol w:w="1139"/>
        <w:gridCol w:w="911"/>
        <w:gridCol w:w="1443"/>
        <w:gridCol w:w="1443"/>
        <w:gridCol w:w="1048"/>
        <w:gridCol w:w="911"/>
        <w:gridCol w:w="998"/>
        <w:gridCol w:w="934"/>
        <w:gridCol w:w="1443"/>
        <w:gridCol w:w="1443"/>
        <w:gridCol w:w="1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2" w:hRule="atLeast"/>
        </w:trPr>
        <w:tc>
          <w:tcPr>
            <w:tcW w:w="14380" w:type="dxa"/>
            <w:gridSpan w:val="12"/>
            <w:tcBorders>
              <w:top w:val="nil"/>
              <w:left w:val="nil"/>
              <w:bottom w:val="nil"/>
              <w:right w:val="nil"/>
            </w:tcBorders>
            <w:shd w:val="clear" w:color="000000"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1"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1" w:hRule="atLeast"/>
        </w:trPr>
        <w:tc>
          <w:tcPr>
            <w:tcW w:w="0" w:type="auto"/>
            <w:gridSpan w:val="4"/>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部门：益阳市赫山区征补办公室</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3" w:hRule="atLeast"/>
        </w:trPr>
        <w:tc>
          <w:tcPr>
            <w:tcW w:w="6804"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7576" w:type="dxa"/>
            <w:gridSpan w:val="6"/>
            <w:tcBorders>
              <w:top w:val="single" w:color="000000" w:sz="4" w:space="0"/>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3" w:hRule="atLeast"/>
        </w:trPr>
        <w:tc>
          <w:tcPr>
            <w:tcW w:w="820" w:type="dxa"/>
            <w:vMerge w:val="restart"/>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39"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797"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04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911"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998"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3820" w:type="dxa"/>
            <w:gridSpan w:val="3"/>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847" w:type="dxa"/>
            <w:vMerge w:val="restart"/>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6" w:hRule="atLeast"/>
        </w:trPr>
        <w:tc>
          <w:tcPr>
            <w:tcW w:w="82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113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1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04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1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9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c>
          <w:tcPr>
            <w:tcW w:w="93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847"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3" w:hRule="atLeast"/>
        </w:trPr>
        <w:tc>
          <w:tcPr>
            <w:tcW w:w="820" w:type="dxa"/>
            <w:tcBorders>
              <w:top w:val="nil"/>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39"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1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4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911"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998"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934"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443"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847" w:type="dxa"/>
            <w:tcBorders>
              <w:top w:val="nil"/>
              <w:left w:val="nil"/>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3" w:hRule="atLeast"/>
        </w:trPr>
        <w:tc>
          <w:tcPr>
            <w:tcW w:w="0" w:type="auto"/>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5" w:hRule="atLeast"/>
        </w:trPr>
        <w:tc>
          <w:tcPr>
            <w:tcW w:w="14380" w:type="dxa"/>
            <w:gridSpan w:val="12"/>
            <w:tcBorders>
              <w:top w:val="nil"/>
              <w:left w:val="nil"/>
              <w:bottom w:val="nil"/>
              <w:right w:val="nil"/>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1" w:hRule="atLeast"/>
        </w:trPr>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c>
          <w:tcPr>
            <w:tcW w:w="0" w:type="auto"/>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　</w:t>
            </w:r>
          </w:p>
        </w:tc>
      </w:tr>
    </w:tbl>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ascii="黑体" w:hAnsi="黑体" w:eastAsia="黑体" w:cs="黑体"/>
          <w:sz w:val="72"/>
          <w:szCs w:val="72"/>
        </w:rPr>
        <w:sectPr>
          <w:pgSz w:w="16838" w:h="11906" w:orient="landscape"/>
          <w:pgMar w:top="1531" w:right="1134" w:bottom="1531" w:left="1134" w:header="851" w:footer="992" w:gutter="0"/>
          <w:cols w:space="0" w:num="1"/>
          <w:rtlGutter w:val="0"/>
          <w:docGrid w:type="lines" w:linePitch="312" w:charSpace="0"/>
        </w:sect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p>
    <w:p>
      <w:pPr>
        <w:pStyle w:val="1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黑体" w:hAnsi="黑体" w:eastAsia="黑体" w:cs="黑体"/>
          <w:sz w:val="72"/>
          <w:szCs w:val="72"/>
        </w:rPr>
      </w:pPr>
      <w:r>
        <w:rPr>
          <w:rFonts w:hint="eastAsia" w:ascii="黑体" w:hAnsi="黑体" w:eastAsia="黑体" w:cs="黑体"/>
          <w:sz w:val="72"/>
          <w:szCs w:val="72"/>
        </w:rPr>
        <w:t>第三部分</w:t>
      </w:r>
      <w:r>
        <w:rPr>
          <w:rFonts w:hint="eastAsia" w:ascii="黑体" w:hAnsi="黑体" w:eastAsia="黑体" w:cs="黑体"/>
          <w:w w:val="50"/>
          <w:sz w:val="72"/>
          <w:szCs w:val="72"/>
          <w:lang w:val="en-US" w:eastAsia="zh-CN"/>
        </w:rPr>
        <w:t xml:space="preserve"> </w:t>
      </w:r>
      <w:r>
        <w:rPr>
          <w:rFonts w:hint="eastAsia" w:ascii="黑体" w:hAnsi="黑体" w:eastAsia="黑体" w:cs="黑体"/>
          <w:sz w:val="72"/>
          <w:szCs w:val="72"/>
        </w:rPr>
        <w:t>部门决算情况说明</w:t>
      </w:r>
    </w:p>
    <w:p>
      <w:pPr>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sz w:val="30"/>
          <w:szCs w:val="30"/>
        </w:rPr>
        <w:br w:type="page"/>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b/>
          <w:sz w:val="30"/>
          <w:szCs w:val="30"/>
        </w:rPr>
      </w:pPr>
      <w:r>
        <w:rPr>
          <w:rFonts w:hint="eastAsia" w:ascii="黑体" w:hAnsi="黑体" w:eastAsia="黑体" w:cs="黑体"/>
          <w:b w:val="0"/>
          <w:bCs/>
          <w:sz w:val="30"/>
          <w:szCs w:val="30"/>
        </w:rPr>
        <w:t>一、收入支出决算总体情况说明</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highlight w:val="none"/>
          <w:lang w:val="en-US" w:eastAsia="zh-CN" w:bidi="ar-SA"/>
        </w:rPr>
      </w:pPr>
      <w:r>
        <w:rPr>
          <w:rFonts w:hint="eastAsia" w:ascii="仿宋" w:hAnsi="仿宋" w:eastAsia="仿宋" w:cs="仿宋"/>
          <w:color w:val="000000"/>
          <w:kern w:val="0"/>
          <w:sz w:val="30"/>
          <w:szCs w:val="30"/>
          <w:lang w:val="en-US" w:eastAsia="zh-CN" w:bidi="ar-SA"/>
        </w:rPr>
        <w:t>2022年度收入总计568.55万元，与上年相比，减少32.65万元，减少5%，</w:t>
      </w:r>
      <w:r>
        <w:rPr>
          <w:rFonts w:hint="eastAsia" w:ascii="仿宋" w:hAnsi="仿宋" w:eastAsia="仿宋" w:cs="仿宋"/>
          <w:sz w:val="30"/>
          <w:szCs w:val="30"/>
        </w:rPr>
        <w:t>主要是因为</w:t>
      </w:r>
      <w:r>
        <w:rPr>
          <w:rFonts w:hint="eastAsia" w:ascii="仿宋" w:hAnsi="仿宋" w:eastAsia="仿宋" w:cs="仿宋"/>
          <w:sz w:val="30"/>
          <w:szCs w:val="30"/>
          <w:lang w:eastAsia="zh-CN"/>
        </w:rPr>
        <w:t>压</w:t>
      </w:r>
      <w:r>
        <w:rPr>
          <w:rFonts w:hint="eastAsia" w:ascii="仿宋" w:hAnsi="仿宋" w:eastAsia="仿宋" w:cs="仿宋"/>
          <w:sz w:val="30"/>
          <w:szCs w:val="30"/>
          <w:highlight w:val="none"/>
          <w:lang w:eastAsia="zh-CN"/>
        </w:rPr>
        <w:t>减了办公经费支出</w:t>
      </w:r>
      <w:r>
        <w:rPr>
          <w:rFonts w:hint="eastAsia" w:ascii="仿宋" w:hAnsi="仿宋" w:eastAsia="仿宋" w:cs="仿宋"/>
          <w:color w:val="000000"/>
          <w:kern w:val="0"/>
          <w:sz w:val="30"/>
          <w:szCs w:val="30"/>
          <w:highlight w:val="none"/>
          <w:lang w:val="en-US" w:eastAsia="zh-CN" w:bidi="ar-SA"/>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highlight w:val="none"/>
          <w:lang w:val="en-US" w:eastAsia="zh-CN" w:bidi="ar-SA"/>
        </w:rPr>
      </w:pPr>
      <w:r>
        <w:rPr>
          <w:rFonts w:hint="eastAsia" w:ascii="仿宋" w:hAnsi="仿宋" w:eastAsia="仿宋" w:cs="仿宋"/>
          <w:color w:val="000000"/>
          <w:kern w:val="0"/>
          <w:sz w:val="30"/>
          <w:szCs w:val="30"/>
          <w:highlight w:val="none"/>
          <w:lang w:val="en-US" w:eastAsia="zh-CN" w:bidi="ar-SA"/>
        </w:rPr>
        <w:t>2022年度支出总计568.55万元，与上年相比，减少32.65万元，减少5%，</w:t>
      </w:r>
      <w:r>
        <w:rPr>
          <w:rFonts w:hint="eastAsia" w:ascii="仿宋" w:hAnsi="仿宋" w:eastAsia="仿宋" w:cs="仿宋"/>
          <w:sz w:val="30"/>
          <w:szCs w:val="30"/>
          <w:highlight w:val="none"/>
        </w:rPr>
        <w:t>主要是因为</w:t>
      </w:r>
      <w:r>
        <w:rPr>
          <w:rFonts w:hint="eastAsia" w:ascii="仿宋" w:hAnsi="仿宋" w:eastAsia="仿宋" w:cs="仿宋"/>
          <w:sz w:val="30"/>
          <w:szCs w:val="30"/>
          <w:highlight w:val="none"/>
          <w:lang w:eastAsia="zh-CN"/>
        </w:rPr>
        <w:t>压减了办公经费支出</w:t>
      </w:r>
      <w:r>
        <w:rPr>
          <w:rFonts w:hint="eastAsia" w:ascii="仿宋" w:hAnsi="仿宋" w:eastAsia="仿宋" w:cs="仿宋"/>
          <w:color w:val="000000"/>
          <w:kern w:val="0"/>
          <w:sz w:val="30"/>
          <w:szCs w:val="30"/>
          <w:highlight w:val="none"/>
          <w:lang w:val="en-US" w:eastAsia="zh-CN" w:bidi="ar-SA"/>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二、收入决算情况说明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2022年</w:t>
      </w:r>
      <w:r>
        <w:rPr>
          <w:rFonts w:hint="eastAsia" w:ascii="仿宋" w:hAnsi="仿宋" w:eastAsia="仿宋" w:cs="仿宋"/>
          <w:sz w:val="30"/>
          <w:szCs w:val="30"/>
        </w:rPr>
        <w:t>度收入合计</w:t>
      </w:r>
      <w:r>
        <w:rPr>
          <w:rFonts w:hint="eastAsia" w:ascii="仿宋" w:hAnsi="仿宋" w:eastAsia="仿宋" w:cs="仿宋"/>
          <w:sz w:val="30"/>
          <w:szCs w:val="30"/>
          <w:lang w:val="en-US" w:eastAsia="zh-CN"/>
        </w:rPr>
        <w:t>568.55</w:t>
      </w:r>
      <w:r>
        <w:rPr>
          <w:rFonts w:hint="eastAsia" w:ascii="仿宋" w:hAnsi="仿宋" w:eastAsia="仿宋" w:cs="仿宋"/>
          <w:sz w:val="30"/>
          <w:szCs w:val="30"/>
        </w:rPr>
        <w:t>万元，其中：财政拨款收入</w:t>
      </w:r>
      <w:r>
        <w:rPr>
          <w:rFonts w:hint="eastAsia" w:ascii="仿宋" w:hAnsi="仿宋" w:eastAsia="仿宋" w:cs="仿宋"/>
          <w:sz w:val="30"/>
          <w:szCs w:val="30"/>
          <w:lang w:val="en-US" w:eastAsia="zh-CN"/>
        </w:rPr>
        <w:t>398.09</w:t>
      </w:r>
      <w:r>
        <w:rPr>
          <w:rFonts w:hint="eastAsia" w:ascii="仿宋" w:hAnsi="仿宋" w:eastAsia="仿宋" w:cs="仿宋"/>
          <w:sz w:val="30"/>
          <w:szCs w:val="30"/>
        </w:rPr>
        <w:t>万元，占</w:t>
      </w:r>
      <w:r>
        <w:rPr>
          <w:rFonts w:hint="eastAsia" w:ascii="仿宋" w:hAnsi="仿宋" w:eastAsia="仿宋" w:cs="仿宋"/>
          <w:sz w:val="30"/>
          <w:szCs w:val="30"/>
          <w:lang w:val="en-US" w:eastAsia="zh-CN"/>
        </w:rPr>
        <w:t>70</w:t>
      </w:r>
      <w:r>
        <w:rPr>
          <w:rFonts w:hint="eastAsia" w:ascii="仿宋" w:hAnsi="仿宋" w:eastAsia="仿宋" w:cs="仿宋"/>
          <w:sz w:val="30"/>
          <w:szCs w:val="30"/>
        </w:rPr>
        <w:t>%；上级补助收入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%；事业收入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%；经营收入</w:t>
      </w:r>
      <w:r>
        <w:rPr>
          <w:rFonts w:hint="eastAsia" w:ascii="仿宋" w:hAnsi="仿宋" w:eastAsia="仿宋" w:cs="仿宋"/>
          <w:sz w:val="30"/>
          <w:szCs w:val="30"/>
          <w:lang w:val="en-US" w:eastAsia="zh-CN"/>
        </w:rPr>
        <w:t>0</w:t>
      </w:r>
      <w:r>
        <w:rPr>
          <w:rFonts w:hint="eastAsia" w:ascii="仿宋" w:hAnsi="仿宋" w:eastAsia="仿宋" w:cs="仿宋"/>
          <w:sz w:val="30"/>
          <w:szCs w:val="30"/>
        </w:rPr>
        <w:t>元，占</w:t>
      </w:r>
      <w:r>
        <w:rPr>
          <w:rFonts w:hint="eastAsia" w:ascii="仿宋" w:hAnsi="仿宋" w:eastAsia="仿宋" w:cs="仿宋"/>
          <w:sz w:val="30"/>
          <w:szCs w:val="30"/>
          <w:lang w:val="en-US" w:eastAsia="zh-CN"/>
        </w:rPr>
        <w:t>0</w:t>
      </w:r>
      <w:r>
        <w:rPr>
          <w:rFonts w:hint="eastAsia" w:ascii="仿宋" w:hAnsi="仿宋" w:eastAsia="仿宋" w:cs="仿宋"/>
          <w:sz w:val="30"/>
          <w:szCs w:val="30"/>
        </w:rPr>
        <w:t>%；附属单位上缴收入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%；其他收入</w:t>
      </w:r>
      <w:r>
        <w:rPr>
          <w:rFonts w:hint="eastAsia" w:ascii="仿宋" w:hAnsi="仿宋" w:eastAsia="仿宋" w:cs="仿宋"/>
          <w:sz w:val="30"/>
          <w:szCs w:val="30"/>
          <w:lang w:val="en-US" w:eastAsia="zh-CN"/>
        </w:rPr>
        <w:t>170.46</w:t>
      </w:r>
      <w:r>
        <w:rPr>
          <w:rFonts w:hint="eastAsia" w:ascii="仿宋" w:hAnsi="仿宋" w:eastAsia="仿宋" w:cs="仿宋"/>
          <w:sz w:val="30"/>
          <w:szCs w:val="30"/>
        </w:rPr>
        <w:t>万元，占</w:t>
      </w:r>
      <w:r>
        <w:rPr>
          <w:rFonts w:hint="eastAsia" w:ascii="仿宋" w:hAnsi="仿宋" w:eastAsia="仿宋" w:cs="仿宋"/>
          <w:sz w:val="30"/>
          <w:szCs w:val="30"/>
          <w:lang w:val="en-US" w:eastAsia="zh-CN"/>
        </w:rPr>
        <w:t>30</w:t>
      </w:r>
      <w:r>
        <w:rPr>
          <w:rFonts w:hint="eastAsia" w:ascii="仿宋" w:hAnsi="仿宋" w:eastAsia="仿宋" w:cs="仿宋"/>
          <w:sz w:val="30"/>
          <w:szCs w:val="30"/>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三、支出决算情况说明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2022年</w:t>
      </w:r>
      <w:r>
        <w:rPr>
          <w:rFonts w:hint="eastAsia" w:ascii="仿宋" w:hAnsi="仿宋" w:eastAsia="仿宋" w:cs="仿宋"/>
          <w:sz w:val="30"/>
          <w:szCs w:val="30"/>
        </w:rPr>
        <w:t>度支出合计</w:t>
      </w:r>
      <w:r>
        <w:rPr>
          <w:rFonts w:hint="eastAsia" w:ascii="仿宋" w:hAnsi="仿宋" w:eastAsia="仿宋" w:cs="仿宋"/>
          <w:sz w:val="30"/>
          <w:szCs w:val="30"/>
          <w:lang w:val="en-US" w:eastAsia="zh-CN"/>
        </w:rPr>
        <w:t>568.88</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568.55</w:t>
      </w:r>
      <w:r>
        <w:rPr>
          <w:rFonts w:hint="eastAsia" w:ascii="仿宋" w:hAnsi="仿宋" w:eastAsia="仿宋" w:cs="仿宋"/>
          <w:sz w:val="30"/>
          <w:szCs w:val="30"/>
        </w:rPr>
        <w:t>万元，占</w:t>
      </w:r>
      <w:r>
        <w:rPr>
          <w:rFonts w:hint="eastAsia" w:ascii="仿宋" w:hAnsi="仿宋" w:eastAsia="仿宋" w:cs="仿宋"/>
          <w:sz w:val="30"/>
          <w:szCs w:val="30"/>
          <w:lang w:val="en-US" w:eastAsia="zh-CN"/>
        </w:rPr>
        <w:t>100</w:t>
      </w:r>
      <w:r>
        <w:rPr>
          <w:rFonts w:hint="eastAsia" w:ascii="仿宋" w:hAnsi="仿宋" w:eastAsia="仿宋" w:cs="仿宋"/>
          <w:sz w:val="30"/>
          <w:szCs w:val="30"/>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四、财政拨款收入支出决算总体情况说明</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2022年度财政拨款收入总计398.09万元，与上年相比，增加112.79万元，增加39.53%。财政拨款支出总计398.09万元，与上年相比，增加112.79万元，增加39.53%。财政拨款收入和支出增加</w:t>
      </w:r>
      <w:r>
        <w:rPr>
          <w:rFonts w:hint="eastAsia" w:ascii="仿宋" w:hAnsi="仿宋" w:eastAsia="仿宋" w:cs="仿宋"/>
          <w:sz w:val="30"/>
          <w:szCs w:val="30"/>
        </w:rPr>
        <w:t>主要是因为</w:t>
      </w:r>
      <w:r>
        <w:rPr>
          <w:rFonts w:hint="eastAsia" w:ascii="仿宋" w:hAnsi="仿宋" w:eastAsia="仿宋" w:cs="仿宋"/>
          <w:sz w:val="30"/>
          <w:szCs w:val="30"/>
          <w:highlight w:val="none"/>
          <w:lang w:eastAsia="zh-CN"/>
        </w:rPr>
        <w:t>征拆项目增加</w:t>
      </w:r>
      <w:r>
        <w:rPr>
          <w:rFonts w:hint="eastAsia" w:ascii="仿宋" w:hAnsi="仿宋" w:eastAsia="仿宋" w:cs="仿宋"/>
          <w:sz w:val="30"/>
          <w:szCs w:val="30"/>
          <w:lang w:eastAsia="zh-CN"/>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五、一般公共预算财政拨款支出决算情况说明</w:t>
      </w:r>
    </w:p>
    <w:p>
      <w:pPr>
        <w:pStyle w:val="12"/>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（一）财政拨款支出决算总体情况</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rPr>
      </w:pPr>
      <w:r>
        <w:rPr>
          <w:rFonts w:hint="eastAsia" w:ascii="仿宋" w:hAnsi="仿宋" w:eastAsia="仿宋" w:cs="仿宋"/>
          <w:sz w:val="30"/>
          <w:szCs w:val="30"/>
          <w:lang w:eastAsia="zh-CN"/>
        </w:rPr>
        <w:t>2022年</w:t>
      </w:r>
      <w:r>
        <w:rPr>
          <w:rFonts w:hint="eastAsia" w:ascii="仿宋" w:hAnsi="仿宋" w:eastAsia="仿宋" w:cs="仿宋"/>
          <w:sz w:val="30"/>
          <w:szCs w:val="30"/>
        </w:rPr>
        <w:t>度财政拨款支出</w:t>
      </w:r>
      <w:r>
        <w:rPr>
          <w:rFonts w:hint="eastAsia" w:ascii="仿宋" w:hAnsi="仿宋" w:eastAsia="仿宋" w:cs="仿宋"/>
          <w:sz w:val="30"/>
          <w:szCs w:val="30"/>
          <w:lang w:val="en-US" w:eastAsia="zh-CN"/>
        </w:rPr>
        <w:t>398.09</w:t>
      </w:r>
      <w:r>
        <w:rPr>
          <w:rFonts w:hint="eastAsia" w:ascii="仿宋" w:hAnsi="仿宋" w:eastAsia="仿宋" w:cs="仿宋"/>
          <w:sz w:val="30"/>
          <w:szCs w:val="30"/>
        </w:rPr>
        <w:t>万元，占本年支出合计的</w:t>
      </w:r>
      <w:r>
        <w:rPr>
          <w:rFonts w:hint="eastAsia" w:ascii="仿宋" w:hAnsi="仿宋" w:eastAsia="仿宋" w:cs="仿宋"/>
          <w:sz w:val="30"/>
          <w:szCs w:val="30"/>
          <w:lang w:val="en-US" w:eastAsia="zh-CN"/>
        </w:rPr>
        <w:t>69.98</w:t>
      </w:r>
      <w:r>
        <w:rPr>
          <w:rFonts w:hint="eastAsia" w:ascii="仿宋" w:hAnsi="仿宋" w:eastAsia="仿宋" w:cs="仿宋"/>
          <w:sz w:val="30"/>
          <w:szCs w:val="30"/>
        </w:rPr>
        <w:t>%，与上年相比，财政拨款支出</w:t>
      </w:r>
      <w:r>
        <w:rPr>
          <w:rFonts w:hint="eastAsia" w:ascii="仿宋" w:hAnsi="仿宋" w:eastAsia="仿宋" w:cs="仿宋"/>
          <w:color w:val="000000"/>
          <w:kern w:val="0"/>
          <w:sz w:val="30"/>
          <w:szCs w:val="30"/>
          <w:lang w:val="en-US" w:eastAsia="zh-CN" w:bidi="ar-SA"/>
        </w:rPr>
        <w:t>增加112.79万元，增加39.53%</w:t>
      </w:r>
      <w:r>
        <w:rPr>
          <w:rFonts w:hint="eastAsia" w:ascii="仿宋" w:hAnsi="仿宋" w:eastAsia="仿宋" w:cs="仿宋"/>
          <w:sz w:val="30"/>
          <w:szCs w:val="30"/>
        </w:rPr>
        <w:t>，主要是因为</w:t>
      </w:r>
      <w:r>
        <w:rPr>
          <w:rFonts w:hint="eastAsia" w:ascii="仿宋" w:hAnsi="仿宋" w:eastAsia="仿宋" w:cs="仿宋"/>
          <w:sz w:val="30"/>
          <w:szCs w:val="30"/>
          <w:highlight w:val="none"/>
          <w:lang w:eastAsia="zh-CN"/>
        </w:rPr>
        <w:t>征拆项目增加</w:t>
      </w:r>
      <w:r>
        <w:rPr>
          <w:rFonts w:hint="eastAsia" w:ascii="仿宋" w:hAnsi="仿宋" w:eastAsia="仿宋" w:cs="仿宋"/>
          <w:sz w:val="30"/>
          <w:szCs w:val="30"/>
          <w:lang w:eastAsia="zh-CN"/>
        </w:rPr>
        <w:t>。</w:t>
      </w:r>
    </w:p>
    <w:p>
      <w:pPr>
        <w:pStyle w:val="12"/>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（二）财政拨款支出决算结构情况</w:t>
      </w:r>
    </w:p>
    <w:p>
      <w:pPr>
        <w:keepNext/>
        <w:keepLines/>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000000"/>
          <w:kern w:val="0"/>
          <w:sz w:val="30"/>
          <w:szCs w:val="30"/>
          <w:highlight w:val="none"/>
          <w:lang w:val="en-US" w:eastAsia="zh-CN"/>
        </w:rPr>
        <w:t>2022年</w:t>
      </w:r>
      <w:r>
        <w:rPr>
          <w:rFonts w:hint="eastAsia" w:ascii="仿宋" w:hAnsi="仿宋" w:eastAsia="仿宋" w:cs="仿宋"/>
          <w:color w:val="000000"/>
          <w:kern w:val="0"/>
          <w:sz w:val="30"/>
          <w:szCs w:val="30"/>
          <w:highlight w:val="none"/>
          <w:lang w:val="en-US"/>
        </w:rPr>
        <w:t>度财政拨款支出</w:t>
      </w:r>
      <w:r>
        <w:rPr>
          <w:rFonts w:hint="eastAsia" w:ascii="仿宋" w:hAnsi="仿宋" w:eastAsia="仿宋" w:cs="仿宋"/>
          <w:color w:val="000000"/>
          <w:kern w:val="0"/>
          <w:sz w:val="30"/>
          <w:szCs w:val="30"/>
          <w:highlight w:val="none"/>
          <w:lang w:val="en-US" w:eastAsia="zh-CN"/>
        </w:rPr>
        <w:t>398.09</w:t>
      </w:r>
      <w:r>
        <w:rPr>
          <w:rFonts w:hint="eastAsia" w:ascii="仿宋" w:hAnsi="仿宋" w:eastAsia="仿宋" w:cs="仿宋"/>
          <w:color w:val="000000"/>
          <w:kern w:val="0"/>
          <w:sz w:val="30"/>
          <w:szCs w:val="30"/>
          <w:highlight w:val="none"/>
          <w:lang w:val="en-US"/>
        </w:rPr>
        <w:t>万元，主要用于以下方面：一般公共服务支出</w:t>
      </w:r>
      <w:r>
        <w:rPr>
          <w:rFonts w:hint="eastAsia" w:ascii="仿宋" w:hAnsi="仿宋" w:eastAsia="仿宋" w:cs="仿宋"/>
          <w:color w:val="000000"/>
          <w:kern w:val="0"/>
          <w:sz w:val="30"/>
          <w:szCs w:val="30"/>
          <w:highlight w:val="none"/>
          <w:lang w:val="en-US" w:eastAsia="zh-CN"/>
        </w:rPr>
        <w:t>383.05</w:t>
      </w:r>
      <w:r>
        <w:rPr>
          <w:rFonts w:hint="eastAsia" w:ascii="仿宋" w:hAnsi="仿宋" w:eastAsia="仿宋" w:cs="仿宋"/>
          <w:color w:val="000000"/>
          <w:kern w:val="0"/>
          <w:sz w:val="30"/>
          <w:szCs w:val="30"/>
          <w:highlight w:val="none"/>
          <w:lang w:val="en-US"/>
        </w:rPr>
        <w:t>万元，占</w:t>
      </w:r>
      <w:r>
        <w:rPr>
          <w:rFonts w:hint="eastAsia" w:ascii="仿宋" w:hAnsi="仿宋" w:eastAsia="仿宋" w:cs="仿宋"/>
          <w:color w:val="000000"/>
          <w:kern w:val="0"/>
          <w:sz w:val="30"/>
          <w:szCs w:val="30"/>
          <w:highlight w:val="none"/>
          <w:lang w:val="en-US" w:eastAsia="zh-CN"/>
        </w:rPr>
        <w:t>96.22</w:t>
      </w:r>
      <w:r>
        <w:rPr>
          <w:rFonts w:hint="eastAsia" w:ascii="仿宋" w:hAnsi="仿宋" w:eastAsia="仿宋" w:cs="仿宋"/>
          <w:color w:val="000000"/>
          <w:kern w:val="0"/>
          <w:sz w:val="30"/>
          <w:szCs w:val="30"/>
          <w:highlight w:val="none"/>
          <w:lang w:val="en-US"/>
        </w:rPr>
        <w:t>%；社会保障和就业支出</w:t>
      </w:r>
      <w:r>
        <w:rPr>
          <w:rFonts w:hint="eastAsia" w:ascii="仿宋" w:hAnsi="仿宋" w:eastAsia="仿宋" w:cs="仿宋"/>
          <w:color w:val="000000"/>
          <w:kern w:val="0"/>
          <w:sz w:val="30"/>
          <w:szCs w:val="30"/>
          <w:highlight w:val="none"/>
          <w:lang w:val="en-US" w:eastAsia="zh-CN"/>
        </w:rPr>
        <w:t>5.6</w:t>
      </w:r>
      <w:r>
        <w:rPr>
          <w:rFonts w:hint="eastAsia" w:ascii="仿宋" w:hAnsi="仿宋" w:eastAsia="仿宋" w:cs="仿宋"/>
          <w:color w:val="000000"/>
          <w:kern w:val="0"/>
          <w:sz w:val="30"/>
          <w:szCs w:val="30"/>
          <w:highlight w:val="none"/>
          <w:lang w:val="en-US"/>
        </w:rPr>
        <w:t>万元，占</w:t>
      </w:r>
      <w:r>
        <w:rPr>
          <w:rFonts w:hint="eastAsia" w:ascii="仿宋" w:hAnsi="仿宋" w:eastAsia="仿宋" w:cs="仿宋"/>
          <w:color w:val="000000"/>
          <w:kern w:val="0"/>
          <w:sz w:val="30"/>
          <w:szCs w:val="30"/>
          <w:highlight w:val="none"/>
          <w:lang w:val="en-US" w:eastAsia="zh-CN"/>
        </w:rPr>
        <w:t>1.41</w:t>
      </w:r>
      <w:r>
        <w:rPr>
          <w:rFonts w:hint="eastAsia" w:ascii="仿宋" w:hAnsi="仿宋" w:eastAsia="仿宋" w:cs="仿宋"/>
          <w:color w:val="000000"/>
          <w:kern w:val="0"/>
          <w:sz w:val="30"/>
          <w:szCs w:val="30"/>
          <w:highlight w:val="none"/>
          <w:lang w:val="en-US"/>
        </w:rPr>
        <w:t>%；住房保障支出</w:t>
      </w:r>
      <w:r>
        <w:rPr>
          <w:rFonts w:hint="eastAsia" w:ascii="仿宋" w:hAnsi="仿宋" w:eastAsia="仿宋" w:cs="仿宋"/>
          <w:color w:val="000000"/>
          <w:kern w:val="0"/>
          <w:sz w:val="30"/>
          <w:szCs w:val="30"/>
          <w:highlight w:val="none"/>
          <w:lang w:val="en-US" w:eastAsia="zh-CN"/>
        </w:rPr>
        <w:t>9.45</w:t>
      </w:r>
      <w:r>
        <w:rPr>
          <w:rFonts w:hint="eastAsia" w:ascii="仿宋" w:hAnsi="仿宋" w:eastAsia="仿宋" w:cs="仿宋"/>
          <w:color w:val="000000"/>
          <w:kern w:val="0"/>
          <w:sz w:val="30"/>
          <w:szCs w:val="30"/>
          <w:highlight w:val="none"/>
          <w:lang w:val="en-US"/>
        </w:rPr>
        <w:t>万元，占</w:t>
      </w:r>
      <w:r>
        <w:rPr>
          <w:rFonts w:hint="eastAsia" w:ascii="仿宋" w:hAnsi="仿宋" w:eastAsia="仿宋" w:cs="仿宋"/>
          <w:color w:val="000000"/>
          <w:kern w:val="0"/>
          <w:sz w:val="30"/>
          <w:szCs w:val="30"/>
          <w:highlight w:val="none"/>
          <w:lang w:val="en-US" w:eastAsia="zh-CN"/>
        </w:rPr>
        <w:t>2.37</w:t>
      </w:r>
      <w:r>
        <w:rPr>
          <w:rFonts w:hint="eastAsia" w:ascii="仿宋" w:hAnsi="仿宋" w:eastAsia="仿宋" w:cs="仿宋"/>
          <w:color w:val="000000"/>
          <w:kern w:val="0"/>
          <w:sz w:val="30"/>
          <w:szCs w:val="30"/>
          <w:highlight w:val="none"/>
          <w:lang w:val="en-US"/>
        </w:rPr>
        <w:t>%</w:t>
      </w:r>
      <w:r>
        <w:rPr>
          <w:rFonts w:hint="eastAsia" w:ascii="仿宋" w:hAnsi="仿宋" w:eastAsia="仿宋" w:cs="仿宋"/>
          <w:color w:val="000000"/>
          <w:kern w:val="0"/>
          <w:sz w:val="30"/>
          <w:szCs w:val="30"/>
          <w:highlight w:val="none"/>
          <w:lang w:val="en-US" w:eastAsia="zh-CN"/>
        </w:rPr>
        <w:t>。</w:t>
      </w:r>
    </w:p>
    <w:p>
      <w:pPr>
        <w:pStyle w:val="12"/>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sz w:val="30"/>
          <w:szCs w:val="30"/>
          <w:highlight w:val="none"/>
        </w:rPr>
      </w:pPr>
      <w:r>
        <w:rPr>
          <w:rFonts w:hint="eastAsia" w:ascii="仿宋" w:hAnsi="仿宋" w:eastAsia="仿宋" w:cs="仿宋"/>
          <w:b/>
          <w:sz w:val="30"/>
          <w:szCs w:val="30"/>
          <w:highlight w:val="none"/>
        </w:rPr>
        <w:t>（三）财政拨款支出决算具体情况</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color w:val="000000"/>
          <w:sz w:val="30"/>
          <w:szCs w:val="30"/>
          <w:highlight w:val="none"/>
          <w:lang w:val="zh-CN"/>
        </w:rPr>
        <w:t>2022年度财政拨款支出年初预算为</w:t>
      </w:r>
      <w:r>
        <w:rPr>
          <w:rFonts w:hint="eastAsia" w:ascii="仿宋" w:hAnsi="仿宋" w:eastAsia="仿宋" w:cs="仿宋"/>
          <w:color w:val="000000"/>
          <w:sz w:val="30"/>
          <w:szCs w:val="30"/>
          <w:highlight w:val="none"/>
          <w:lang w:val="en-US" w:eastAsia="zh-CN"/>
        </w:rPr>
        <w:t>194.6</w:t>
      </w:r>
      <w:r>
        <w:rPr>
          <w:rFonts w:hint="eastAsia" w:ascii="仿宋" w:hAnsi="仿宋" w:eastAsia="仿宋" w:cs="仿宋"/>
          <w:color w:val="000000"/>
          <w:sz w:val="30"/>
          <w:szCs w:val="30"/>
          <w:highlight w:val="none"/>
          <w:lang w:val="zh-CN"/>
        </w:rPr>
        <w:t>万元，支出决算为</w:t>
      </w:r>
      <w:r>
        <w:rPr>
          <w:rFonts w:hint="eastAsia" w:ascii="仿宋" w:hAnsi="仿宋" w:eastAsia="仿宋" w:cs="仿宋"/>
          <w:color w:val="000000"/>
          <w:sz w:val="30"/>
          <w:szCs w:val="30"/>
          <w:highlight w:val="none"/>
          <w:lang w:val="en-US" w:eastAsia="zh-CN"/>
        </w:rPr>
        <w:t>398.09</w:t>
      </w:r>
      <w:r>
        <w:rPr>
          <w:rFonts w:hint="eastAsia" w:ascii="仿宋" w:hAnsi="仿宋" w:eastAsia="仿宋" w:cs="仿宋"/>
          <w:color w:val="000000"/>
          <w:sz w:val="30"/>
          <w:szCs w:val="30"/>
          <w:highlight w:val="none"/>
          <w:lang w:val="zh-CN"/>
        </w:rPr>
        <w:t>万元，完成年初预算的</w:t>
      </w:r>
      <w:r>
        <w:rPr>
          <w:rFonts w:hint="eastAsia" w:ascii="仿宋" w:hAnsi="仿宋" w:eastAsia="仿宋" w:cs="仿宋"/>
          <w:color w:val="000000"/>
          <w:sz w:val="30"/>
          <w:szCs w:val="30"/>
          <w:highlight w:val="none"/>
          <w:lang w:val="en-US" w:eastAsia="zh-CN"/>
        </w:rPr>
        <w:t>182.75</w:t>
      </w:r>
      <w:r>
        <w:rPr>
          <w:rFonts w:hint="eastAsia" w:ascii="仿宋" w:hAnsi="仿宋" w:eastAsia="仿宋" w:cs="仿宋"/>
          <w:color w:val="000000"/>
          <w:sz w:val="30"/>
          <w:szCs w:val="30"/>
          <w:highlight w:val="none"/>
          <w:lang w:val="zh-CN"/>
        </w:rPr>
        <w:t>%</w:t>
      </w:r>
      <w:r>
        <w:rPr>
          <w:rFonts w:hint="eastAsia" w:ascii="仿宋" w:hAnsi="仿宋" w:eastAsia="仿宋" w:cs="仿宋"/>
          <w:sz w:val="30"/>
          <w:szCs w:val="30"/>
          <w:highlight w:val="none"/>
        </w:rPr>
        <w:t>，其中：</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1</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rPr>
        <w:t>一般公共服务支出</w:t>
      </w:r>
      <w:r>
        <w:rPr>
          <w:rFonts w:hint="eastAsia" w:ascii="仿宋" w:hAnsi="仿宋" w:eastAsia="仿宋" w:cs="仿宋"/>
          <w:sz w:val="30"/>
          <w:szCs w:val="30"/>
          <w:highlight w:val="none"/>
          <w:lang w:eastAsia="zh-CN"/>
        </w:rPr>
        <w:t>（类）</w:t>
      </w:r>
      <w:r>
        <w:rPr>
          <w:rFonts w:hint="eastAsia" w:ascii="仿宋" w:hAnsi="仿宋" w:eastAsia="仿宋" w:cs="仿宋"/>
          <w:sz w:val="30"/>
          <w:szCs w:val="30"/>
          <w:highlight w:val="none"/>
        </w:rPr>
        <w:t>政府办公厅（室）及相关机构事务</w:t>
      </w:r>
      <w:r>
        <w:rPr>
          <w:rFonts w:hint="eastAsia" w:ascii="仿宋" w:hAnsi="仿宋" w:eastAsia="仿宋" w:cs="仿宋"/>
          <w:sz w:val="30"/>
          <w:szCs w:val="30"/>
          <w:highlight w:val="none"/>
          <w:lang w:eastAsia="zh-CN"/>
        </w:rPr>
        <w:t>（款）行政运行（项）</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sz w:val="30"/>
          <w:szCs w:val="30"/>
          <w:highlight w:val="none"/>
        </w:rPr>
        <w:t>年初预算为</w:t>
      </w:r>
      <w:r>
        <w:rPr>
          <w:rFonts w:hint="eastAsia" w:ascii="仿宋" w:hAnsi="仿宋" w:eastAsia="仿宋" w:cs="仿宋"/>
          <w:sz w:val="30"/>
          <w:szCs w:val="30"/>
          <w:highlight w:val="none"/>
          <w:lang w:val="en-US" w:eastAsia="zh-CN"/>
        </w:rPr>
        <w:t>154.89</w:t>
      </w:r>
      <w:r>
        <w:rPr>
          <w:rFonts w:hint="eastAsia" w:ascii="仿宋" w:hAnsi="仿宋" w:eastAsia="仿宋" w:cs="仿宋"/>
          <w:sz w:val="30"/>
          <w:szCs w:val="30"/>
          <w:highlight w:val="none"/>
        </w:rPr>
        <w:t>元，支出决算为</w:t>
      </w:r>
      <w:r>
        <w:rPr>
          <w:rFonts w:hint="eastAsia" w:ascii="仿宋" w:hAnsi="仿宋" w:eastAsia="仿宋" w:cs="仿宋"/>
          <w:sz w:val="30"/>
          <w:szCs w:val="30"/>
          <w:highlight w:val="none"/>
          <w:lang w:val="en-US" w:eastAsia="zh-CN"/>
        </w:rPr>
        <w:t>383.05</w:t>
      </w:r>
      <w:r>
        <w:rPr>
          <w:rFonts w:hint="eastAsia" w:ascii="仿宋" w:hAnsi="仿宋" w:eastAsia="仿宋" w:cs="仿宋"/>
          <w:sz w:val="30"/>
          <w:szCs w:val="30"/>
          <w:highlight w:val="none"/>
        </w:rPr>
        <w:t>万元，完成年初预算的</w:t>
      </w:r>
      <w:r>
        <w:rPr>
          <w:rFonts w:hint="eastAsia" w:ascii="仿宋" w:hAnsi="仿宋" w:eastAsia="仿宋" w:cs="仿宋"/>
          <w:sz w:val="30"/>
          <w:szCs w:val="30"/>
          <w:highlight w:val="none"/>
          <w:lang w:val="en-US" w:eastAsia="zh-CN"/>
        </w:rPr>
        <w:t>247.30</w:t>
      </w:r>
      <w:r>
        <w:rPr>
          <w:rFonts w:hint="eastAsia" w:ascii="仿宋" w:hAnsi="仿宋" w:eastAsia="仿宋" w:cs="仿宋"/>
          <w:sz w:val="30"/>
          <w:szCs w:val="30"/>
          <w:highlight w:val="none"/>
        </w:rPr>
        <w:t>%，决算数大于年初预算数的主要原因是</w:t>
      </w:r>
      <w:r>
        <w:rPr>
          <w:rFonts w:hint="eastAsia" w:ascii="仿宋" w:hAnsi="仿宋" w:eastAsia="仿宋" w:cs="仿宋"/>
          <w:color w:val="auto"/>
          <w:sz w:val="30"/>
          <w:szCs w:val="30"/>
          <w:highlight w:val="none"/>
          <w:lang w:eastAsia="zh-CN"/>
        </w:rPr>
        <w:t>办公室搬迁导致物业管理费及维修费增加及创文创卫工作经费增加。</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2</w:t>
      </w:r>
      <w:r>
        <w:rPr>
          <w:rFonts w:hint="eastAsia" w:ascii="仿宋" w:hAnsi="仿宋" w:eastAsia="仿宋" w:cs="仿宋"/>
          <w:sz w:val="30"/>
          <w:szCs w:val="30"/>
          <w:highlight w:val="none"/>
          <w:lang w:val="en-US" w:eastAsia="zh-CN"/>
        </w:rPr>
        <w:t>.</w:t>
      </w:r>
      <w:r>
        <w:rPr>
          <w:rFonts w:hint="eastAsia" w:ascii="仿宋" w:hAnsi="仿宋" w:eastAsia="仿宋" w:cs="仿宋"/>
          <w:color w:val="000000"/>
          <w:kern w:val="0"/>
          <w:sz w:val="30"/>
          <w:szCs w:val="30"/>
          <w:highlight w:val="none"/>
          <w:lang w:val="en-US"/>
        </w:rPr>
        <w:t>社会保障和就业</w:t>
      </w:r>
      <w:r>
        <w:rPr>
          <w:rFonts w:hint="eastAsia" w:ascii="仿宋" w:hAnsi="仿宋" w:eastAsia="仿宋" w:cs="仿宋"/>
          <w:color w:val="000000"/>
          <w:kern w:val="0"/>
          <w:sz w:val="30"/>
          <w:szCs w:val="30"/>
          <w:highlight w:val="none"/>
          <w:lang w:val="en-US" w:eastAsia="zh-CN"/>
        </w:rPr>
        <w:t>支出</w:t>
      </w:r>
      <w:r>
        <w:rPr>
          <w:rFonts w:hint="eastAsia" w:ascii="仿宋" w:hAnsi="仿宋" w:eastAsia="仿宋" w:cs="仿宋"/>
          <w:color w:val="000000"/>
          <w:kern w:val="0"/>
          <w:sz w:val="30"/>
          <w:szCs w:val="30"/>
          <w:highlight w:val="none"/>
          <w:lang w:val="en-US"/>
        </w:rPr>
        <w:t>（类）</w:t>
      </w:r>
      <w:r>
        <w:rPr>
          <w:rFonts w:hint="eastAsia" w:ascii="仿宋" w:hAnsi="仿宋" w:eastAsia="仿宋" w:cs="仿宋"/>
          <w:color w:val="000000"/>
          <w:kern w:val="0"/>
          <w:sz w:val="30"/>
          <w:szCs w:val="30"/>
          <w:highlight w:val="none"/>
          <w:lang w:val="en-US" w:eastAsia="zh-CN"/>
        </w:rPr>
        <w:t>行政事业单位养老支出（款）机关事业单位基本养老保险缴费支出（项）</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w:t>
      </w:r>
      <w:r>
        <w:rPr>
          <w:rFonts w:hint="eastAsia" w:ascii="仿宋" w:hAnsi="仿宋" w:eastAsia="仿宋" w:cs="仿宋"/>
          <w:sz w:val="30"/>
          <w:szCs w:val="30"/>
          <w:highlight w:val="none"/>
          <w:lang w:val="en-US" w:eastAsia="zh-CN"/>
        </w:rPr>
        <w:t>16.72</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5.6</w:t>
      </w:r>
      <w:r>
        <w:rPr>
          <w:rFonts w:hint="eastAsia" w:ascii="仿宋" w:hAnsi="仿宋" w:eastAsia="仿宋" w:cs="仿宋"/>
          <w:sz w:val="30"/>
          <w:szCs w:val="30"/>
          <w:highlight w:val="none"/>
        </w:rPr>
        <w:t>万元，完成年初预算的</w:t>
      </w:r>
      <w:r>
        <w:rPr>
          <w:rFonts w:hint="eastAsia" w:ascii="仿宋" w:hAnsi="仿宋" w:eastAsia="仿宋" w:cs="仿宋"/>
          <w:sz w:val="30"/>
          <w:szCs w:val="30"/>
          <w:highlight w:val="none"/>
          <w:lang w:val="en-US" w:eastAsia="zh-CN"/>
        </w:rPr>
        <w:t>33.49</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3.</w:t>
      </w:r>
      <w:r>
        <w:rPr>
          <w:rFonts w:hint="eastAsia" w:ascii="仿宋" w:hAnsi="仿宋" w:eastAsia="仿宋" w:cs="仿宋"/>
          <w:color w:val="000000"/>
          <w:kern w:val="0"/>
          <w:sz w:val="30"/>
          <w:szCs w:val="30"/>
          <w:highlight w:val="none"/>
          <w:lang w:val="en-US"/>
        </w:rPr>
        <w:t>卫生健康支出（类）行政事业单位医疗</w:t>
      </w:r>
      <w:r>
        <w:rPr>
          <w:rFonts w:hint="eastAsia" w:ascii="仿宋" w:hAnsi="仿宋" w:eastAsia="仿宋" w:cs="仿宋"/>
          <w:color w:val="000000"/>
          <w:kern w:val="0"/>
          <w:sz w:val="30"/>
          <w:szCs w:val="30"/>
          <w:highlight w:val="none"/>
          <w:lang w:val="en-US" w:eastAsia="zh-CN"/>
        </w:rPr>
        <w:t>（款）事业单位医疗（项）</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w:t>
      </w:r>
      <w:r>
        <w:rPr>
          <w:rFonts w:hint="eastAsia" w:ascii="仿宋" w:hAnsi="仿宋" w:eastAsia="仿宋" w:cs="仿宋"/>
          <w:sz w:val="30"/>
          <w:szCs w:val="30"/>
          <w:highlight w:val="none"/>
          <w:lang w:val="en-US" w:eastAsia="zh-CN"/>
        </w:rPr>
        <w:t>10.45</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万元，完成年初预算的</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val="en-US" w:eastAsia="zh-CN"/>
        </w:rPr>
        <w:t>4.</w:t>
      </w:r>
      <w:r>
        <w:rPr>
          <w:rFonts w:hint="eastAsia" w:ascii="仿宋" w:hAnsi="仿宋" w:eastAsia="仿宋" w:cs="仿宋"/>
          <w:color w:val="000000"/>
          <w:kern w:val="0"/>
          <w:sz w:val="30"/>
          <w:szCs w:val="30"/>
          <w:highlight w:val="none"/>
          <w:lang w:val="en-US"/>
        </w:rPr>
        <w:t>住房保障支出（类）住房改革支出</w:t>
      </w:r>
      <w:r>
        <w:rPr>
          <w:rFonts w:hint="eastAsia" w:ascii="仿宋" w:hAnsi="仿宋" w:eastAsia="仿宋" w:cs="仿宋"/>
          <w:color w:val="000000"/>
          <w:kern w:val="0"/>
          <w:sz w:val="30"/>
          <w:szCs w:val="30"/>
          <w:highlight w:val="none"/>
          <w:lang w:val="en-US" w:eastAsia="zh-CN"/>
        </w:rPr>
        <w:t>（款）住房公积金（项）</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年初预算为</w:t>
      </w:r>
      <w:r>
        <w:rPr>
          <w:rFonts w:hint="eastAsia" w:ascii="仿宋" w:hAnsi="仿宋" w:eastAsia="仿宋" w:cs="仿宋"/>
          <w:sz w:val="30"/>
          <w:szCs w:val="30"/>
          <w:highlight w:val="none"/>
          <w:lang w:val="en-US" w:eastAsia="zh-CN"/>
        </w:rPr>
        <w:t>12.54</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9.45</w:t>
      </w:r>
      <w:r>
        <w:rPr>
          <w:rFonts w:hint="eastAsia" w:ascii="仿宋" w:hAnsi="仿宋" w:eastAsia="仿宋" w:cs="仿宋"/>
          <w:sz w:val="30"/>
          <w:szCs w:val="30"/>
          <w:highlight w:val="none"/>
        </w:rPr>
        <w:t>万元，完成年初预算的</w:t>
      </w:r>
      <w:r>
        <w:rPr>
          <w:rFonts w:hint="eastAsia" w:ascii="仿宋" w:hAnsi="仿宋" w:eastAsia="仿宋" w:cs="仿宋"/>
          <w:sz w:val="30"/>
          <w:szCs w:val="30"/>
          <w:highlight w:val="none"/>
          <w:lang w:val="en-US" w:eastAsia="zh-CN"/>
        </w:rPr>
        <w:t>75.36</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rPr>
        <w:t>六、一般公共预算财政拨款基本支出决算情况说明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i/>
          <w:color w:val="FF0000"/>
          <w:sz w:val="30"/>
          <w:szCs w:val="30"/>
          <w:highlight w:val="none"/>
          <w:lang w:eastAsia="zh-CN"/>
        </w:rPr>
      </w:pPr>
      <w:r>
        <w:rPr>
          <w:rFonts w:hint="eastAsia" w:ascii="仿宋" w:hAnsi="仿宋" w:eastAsia="仿宋" w:cs="仿宋"/>
          <w:sz w:val="30"/>
          <w:szCs w:val="30"/>
          <w:highlight w:val="none"/>
          <w:lang w:eastAsia="zh-CN"/>
        </w:rPr>
        <w:t>2022年</w:t>
      </w:r>
      <w:r>
        <w:rPr>
          <w:rFonts w:hint="eastAsia" w:ascii="仿宋" w:hAnsi="仿宋" w:eastAsia="仿宋" w:cs="仿宋"/>
          <w:sz w:val="30"/>
          <w:szCs w:val="30"/>
          <w:highlight w:val="none"/>
        </w:rPr>
        <w:t>度财政拨款基本支出</w:t>
      </w:r>
      <w:r>
        <w:rPr>
          <w:rFonts w:hint="eastAsia" w:ascii="仿宋" w:hAnsi="仿宋" w:eastAsia="仿宋" w:cs="仿宋"/>
          <w:sz w:val="30"/>
          <w:szCs w:val="30"/>
          <w:highlight w:val="none"/>
          <w:lang w:val="en-US" w:eastAsia="zh-CN"/>
        </w:rPr>
        <w:t>398.09</w:t>
      </w:r>
      <w:r>
        <w:rPr>
          <w:rFonts w:hint="eastAsia" w:ascii="仿宋" w:hAnsi="仿宋" w:eastAsia="仿宋" w:cs="仿宋"/>
          <w:sz w:val="30"/>
          <w:szCs w:val="30"/>
          <w:highlight w:val="none"/>
        </w:rPr>
        <w:t>万元，其中：</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1</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人员经费</w:t>
      </w:r>
      <w:r>
        <w:rPr>
          <w:rFonts w:hint="eastAsia" w:ascii="仿宋" w:hAnsi="仿宋" w:eastAsia="仿宋" w:cs="仿宋"/>
          <w:sz w:val="30"/>
          <w:szCs w:val="30"/>
          <w:highlight w:val="none"/>
          <w:lang w:val="en-US" w:eastAsia="zh-CN"/>
        </w:rPr>
        <w:t>248.26</w:t>
      </w:r>
      <w:r>
        <w:rPr>
          <w:rFonts w:hint="eastAsia" w:ascii="仿宋" w:hAnsi="仿宋" w:eastAsia="仿宋" w:cs="仿宋"/>
          <w:sz w:val="30"/>
          <w:szCs w:val="30"/>
          <w:highlight w:val="none"/>
        </w:rPr>
        <w:t>万元，占基本支出的</w:t>
      </w:r>
      <w:r>
        <w:rPr>
          <w:rFonts w:hint="eastAsia" w:ascii="仿宋" w:hAnsi="仿宋" w:eastAsia="仿宋" w:cs="仿宋"/>
          <w:sz w:val="30"/>
          <w:szCs w:val="30"/>
          <w:highlight w:val="none"/>
          <w:lang w:val="en-US" w:eastAsia="zh-CN"/>
        </w:rPr>
        <w:t>62.36</w:t>
      </w:r>
      <w:r>
        <w:rPr>
          <w:rFonts w:hint="eastAsia" w:ascii="仿宋" w:hAnsi="仿宋" w:eastAsia="仿宋" w:cs="仿宋"/>
          <w:sz w:val="30"/>
          <w:szCs w:val="30"/>
          <w:highlight w:val="none"/>
        </w:rPr>
        <w:t>%,主要包括基本工资、津贴补贴、奖金、伙食补助费</w:t>
      </w:r>
      <w:r>
        <w:rPr>
          <w:rFonts w:hint="eastAsia" w:ascii="仿宋" w:hAnsi="仿宋" w:eastAsia="仿宋" w:cs="仿宋"/>
          <w:sz w:val="30"/>
          <w:szCs w:val="30"/>
          <w:highlight w:val="none"/>
          <w:lang w:eastAsia="zh-CN"/>
        </w:rPr>
        <w:t>、社会保障缴费、绩效工资等</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2</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公用经费</w:t>
      </w:r>
      <w:r>
        <w:rPr>
          <w:rFonts w:hint="eastAsia" w:ascii="仿宋" w:hAnsi="仿宋" w:eastAsia="仿宋" w:cs="仿宋"/>
          <w:sz w:val="30"/>
          <w:szCs w:val="30"/>
          <w:highlight w:val="none"/>
          <w:lang w:val="en-US" w:eastAsia="zh-CN"/>
        </w:rPr>
        <w:t>149.83</w:t>
      </w:r>
      <w:r>
        <w:rPr>
          <w:rFonts w:hint="eastAsia" w:ascii="仿宋" w:hAnsi="仿宋" w:eastAsia="仿宋" w:cs="仿宋"/>
          <w:sz w:val="30"/>
          <w:szCs w:val="30"/>
          <w:highlight w:val="none"/>
        </w:rPr>
        <w:t>万元，占基本支出的</w:t>
      </w:r>
      <w:r>
        <w:rPr>
          <w:rFonts w:hint="eastAsia" w:ascii="仿宋" w:hAnsi="仿宋" w:eastAsia="仿宋" w:cs="仿宋"/>
          <w:sz w:val="30"/>
          <w:szCs w:val="30"/>
          <w:highlight w:val="none"/>
          <w:lang w:val="en-US" w:eastAsia="zh-CN"/>
        </w:rPr>
        <w:t>37.64</w:t>
      </w:r>
      <w:r>
        <w:rPr>
          <w:rFonts w:hint="eastAsia" w:ascii="仿宋" w:hAnsi="仿宋" w:eastAsia="仿宋" w:cs="仿宋"/>
          <w:sz w:val="30"/>
          <w:szCs w:val="30"/>
          <w:highlight w:val="none"/>
        </w:rPr>
        <w:t>%，主要包括办公费、印刷费、咨询费、</w:t>
      </w:r>
      <w:r>
        <w:rPr>
          <w:rFonts w:hint="eastAsia" w:ascii="仿宋" w:hAnsi="仿宋" w:eastAsia="仿宋" w:cs="仿宋"/>
          <w:sz w:val="30"/>
          <w:szCs w:val="30"/>
          <w:highlight w:val="none"/>
          <w:lang w:eastAsia="zh-CN"/>
        </w:rPr>
        <w:t>水费、电费、委托业务费、福利费、物业管理费、其他交通费用等。</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rPr>
        <w:t>七、一般公共预算财政拨款“三公”经费支出决算情况说明</w:t>
      </w:r>
    </w:p>
    <w:p>
      <w:pPr>
        <w:pStyle w:val="12"/>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sz w:val="30"/>
          <w:szCs w:val="30"/>
          <w:highlight w:val="none"/>
        </w:rPr>
      </w:pPr>
      <w:r>
        <w:rPr>
          <w:rFonts w:hint="eastAsia" w:ascii="仿宋" w:hAnsi="仿宋" w:eastAsia="仿宋" w:cs="仿宋"/>
          <w:b/>
          <w:sz w:val="30"/>
          <w:szCs w:val="30"/>
          <w:highlight w:val="none"/>
        </w:rPr>
        <w:t>（一）“三公”经费财政拨款支出决算总体情况说明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2022年</w:t>
      </w:r>
      <w:r>
        <w:rPr>
          <w:rFonts w:hint="eastAsia" w:ascii="仿宋" w:hAnsi="仿宋" w:eastAsia="仿宋" w:cs="仿宋"/>
          <w:sz w:val="30"/>
          <w:szCs w:val="30"/>
          <w:highlight w:val="none"/>
        </w:rPr>
        <w:t>度“三公”经费财政拨款支出预算为</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万元，完成预算的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%，其中：</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因公出国（境）费支出预算为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万元，与上年相</w:t>
      </w:r>
      <w:r>
        <w:rPr>
          <w:rFonts w:hint="eastAsia" w:ascii="仿宋" w:hAnsi="仿宋" w:eastAsia="仿宋" w:cs="仿宋"/>
          <w:sz w:val="30"/>
          <w:szCs w:val="30"/>
          <w:highlight w:val="none"/>
          <w:lang w:eastAsia="zh-CN"/>
        </w:rPr>
        <w:t>同，</w:t>
      </w:r>
      <w:r>
        <w:rPr>
          <w:rFonts w:hint="eastAsia" w:ascii="仿宋" w:hAnsi="仿宋" w:eastAsia="仿宋" w:cs="仿宋"/>
          <w:sz w:val="30"/>
          <w:szCs w:val="30"/>
          <w:lang w:val="en-US" w:eastAsia="zh-CN"/>
        </w:rPr>
        <w:t>2022年我部门未开展</w:t>
      </w:r>
      <w:r>
        <w:rPr>
          <w:rFonts w:hint="eastAsia" w:ascii="仿宋" w:hAnsi="仿宋" w:eastAsia="仿宋" w:cs="仿宋"/>
          <w:sz w:val="30"/>
          <w:szCs w:val="30"/>
        </w:rPr>
        <w:t>因公出国（境）</w:t>
      </w:r>
      <w:r>
        <w:rPr>
          <w:rFonts w:hint="eastAsia" w:ascii="仿宋" w:hAnsi="仿宋" w:eastAsia="仿宋" w:cs="仿宋"/>
          <w:sz w:val="30"/>
          <w:szCs w:val="30"/>
          <w:lang w:eastAsia="zh-CN"/>
        </w:rPr>
        <w:t>活动</w:t>
      </w:r>
      <w:r>
        <w:rPr>
          <w:rFonts w:hint="eastAsia" w:ascii="仿宋" w:hAnsi="仿宋" w:eastAsia="仿宋" w:cs="仿宋"/>
          <w:sz w:val="30"/>
          <w:szCs w:val="30"/>
        </w:rPr>
        <w:t>。</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公务接待费支出预算为</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万元，完成预算的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与上年持平。</w:t>
      </w:r>
    </w:p>
    <w:p>
      <w:pPr>
        <w:pStyle w:val="12"/>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highlight w:val="none"/>
        </w:rPr>
        <w:t>公务用车购置费支出预算为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sz w:val="30"/>
          <w:szCs w:val="30"/>
        </w:rPr>
        <w:t>与上年持平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2022年我部门未购置公务用车</w:t>
      </w:r>
      <w:r>
        <w:rPr>
          <w:rFonts w:hint="eastAsia" w:ascii="仿宋" w:hAnsi="仿宋" w:eastAsia="仿宋" w:cs="仿宋"/>
          <w:sz w:val="30"/>
          <w:szCs w:val="30"/>
        </w:rPr>
        <w:t>。</w:t>
      </w:r>
    </w:p>
    <w:p>
      <w:pPr>
        <w:pStyle w:val="12"/>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公务用车运行维护费支出预算为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万元，支出决算为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sz w:val="30"/>
          <w:szCs w:val="30"/>
        </w:rPr>
        <w:t>与上年持平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2022年我部门无公务用车</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sz w:val="30"/>
          <w:szCs w:val="30"/>
          <w:highlight w:val="none"/>
        </w:rPr>
      </w:pPr>
      <w:r>
        <w:rPr>
          <w:rFonts w:hint="eastAsia" w:ascii="仿宋" w:hAnsi="仿宋" w:eastAsia="仿宋" w:cs="仿宋"/>
          <w:b/>
          <w:sz w:val="30"/>
          <w:szCs w:val="30"/>
          <w:highlight w:val="none"/>
        </w:rPr>
        <w:t>（二）“三公”经费财政拨款支出决算具体情况说明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highlight w:val="none"/>
          <w:lang w:eastAsia="zh-CN"/>
        </w:rPr>
        <w:t>2022年</w:t>
      </w:r>
      <w:r>
        <w:rPr>
          <w:rFonts w:hint="eastAsia" w:ascii="仿宋" w:hAnsi="仿宋" w:eastAsia="仿宋" w:cs="仿宋"/>
          <w:sz w:val="30"/>
          <w:szCs w:val="30"/>
          <w:highlight w:val="none"/>
        </w:rPr>
        <w:t>度“三公”经费财政拨款支出决算中，公务接待费支出决算</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万元，占</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%,因公出国（境）费支出决算</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w:t>
      </w:r>
      <w:r>
        <w:rPr>
          <w:rFonts w:hint="eastAsia" w:ascii="仿宋" w:hAnsi="仿宋" w:eastAsia="仿宋" w:cs="仿宋"/>
          <w:sz w:val="30"/>
          <w:szCs w:val="30"/>
        </w:rPr>
        <w:t>占</w:t>
      </w:r>
      <w:r>
        <w:rPr>
          <w:rFonts w:hint="eastAsia" w:ascii="仿宋" w:hAnsi="仿宋" w:eastAsia="仿宋" w:cs="仿宋"/>
          <w:sz w:val="30"/>
          <w:szCs w:val="30"/>
          <w:lang w:val="en-US" w:eastAsia="zh-CN"/>
        </w:rPr>
        <w:t>0</w:t>
      </w:r>
      <w:r>
        <w:rPr>
          <w:rFonts w:hint="eastAsia" w:ascii="仿宋" w:hAnsi="仿宋" w:eastAsia="仿宋" w:cs="仿宋"/>
          <w:sz w:val="30"/>
          <w:szCs w:val="30"/>
        </w:rPr>
        <w:t>%,公务用车购置费及运行维护费支出决算</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%。其中：</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w:t>
      </w: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因公出国（境）费支出决算为0万元，全年安排因公出国（境）团组0个，累计0人次。</w:t>
      </w:r>
    </w:p>
    <w:p>
      <w:pPr>
        <w:keepNext/>
        <w:keepLines/>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kern w:val="0"/>
          <w:sz w:val="30"/>
          <w:szCs w:val="30"/>
          <w:highlight w:val="none"/>
          <w:lang w:val="en-US"/>
        </w:rPr>
      </w:pPr>
      <w:r>
        <w:rPr>
          <w:rFonts w:hint="eastAsia" w:ascii="仿宋" w:hAnsi="仿宋" w:eastAsia="仿宋" w:cs="仿宋"/>
          <w:sz w:val="30"/>
          <w:szCs w:val="30"/>
          <w:highlight w:val="none"/>
        </w:rPr>
        <w:t>2</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highlight w:val="none"/>
        </w:rPr>
        <w:t>公务接待费支出决算为</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万元，全年共接待来访团组</w:t>
      </w:r>
      <w:r>
        <w:rPr>
          <w:rFonts w:hint="eastAsia" w:ascii="仿宋" w:hAnsi="仿宋" w:eastAsia="仿宋" w:cs="仿宋"/>
          <w:sz w:val="30"/>
          <w:szCs w:val="30"/>
          <w:highlight w:val="none"/>
          <w:lang w:val="en-US" w:eastAsia="zh-CN"/>
        </w:rPr>
        <w:t>18</w:t>
      </w:r>
      <w:r>
        <w:rPr>
          <w:rFonts w:hint="eastAsia" w:ascii="仿宋" w:hAnsi="仿宋" w:eastAsia="仿宋" w:cs="仿宋"/>
          <w:sz w:val="30"/>
          <w:szCs w:val="30"/>
          <w:highlight w:val="none"/>
        </w:rPr>
        <w:t>个、来宾</w:t>
      </w:r>
      <w:r>
        <w:rPr>
          <w:rFonts w:hint="eastAsia" w:ascii="仿宋" w:hAnsi="仿宋" w:eastAsia="仿宋" w:cs="仿宋"/>
          <w:sz w:val="30"/>
          <w:szCs w:val="30"/>
          <w:highlight w:val="none"/>
          <w:lang w:val="en-US" w:eastAsia="zh-CN"/>
        </w:rPr>
        <w:t>150</w:t>
      </w:r>
      <w:r>
        <w:rPr>
          <w:rFonts w:hint="eastAsia" w:ascii="仿宋" w:hAnsi="仿宋" w:eastAsia="仿宋" w:cs="仿宋"/>
          <w:sz w:val="30"/>
          <w:szCs w:val="30"/>
          <w:highlight w:val="none"/>
        </w:rPr>
        <w:t>人次</w:t>
      </w:r>
      <w:r>
        <w:rPr>
          <w:rFonts w:hint="eastAsia" w:ascii="仿宋" w:hAnsi="仿宋" w:eastAsia="仿宋" w:cs="仿宋"/>
          <w:color w:val="auto"/>
          <w:sz w:val="30"/>
          <w:szCs w:val="30"/>
          <w:highlight w:val="none"/>
          <w:lang w:val="zh-CN"/>
        </w:rPr>
        <w:t>（不包括陪同人员）</w:t>
      </w:r>
      <w:r>
        <w:rPr>
          <w:rFonts w:hint="eastAsia" w:ascii="仿宋" w:hAnsi="仿宋" w:eastAsia="仿宋" w:cs="仿宋"/>
          <w:sz w:val="30"/>
          <w:szCs w:val="30"/>
          <w:highlight w:val="none"/>
        </w:rPr>
        <w:t>，主要是</w:t>
      </w:r>
      <w:r>
        <w:rPr>
          <w:rFonts w:hint="eastAsia" w:ascii="仿宋" w:hAnsi="仿宋" w:eastAsia="仿宋" w:cs="仿宋"/>
          <w:color w:val="auto"/>
          <w:sz w:val="30"/>
          <w:szCs w:val="30"/>
          <w:highlight w:val="none"/>
          <w:lang w:val="zh-CN"/>
        </w:rPr>
        <w:t>用于与有关单位交流工作情况及接受相关部门检查指导</w:t>
      </w:r>
      <w:r>
        <w:rPr>
          <w:rFonts w:hint="eastAsia" w:ascii="仿宋" w:hAnsi="仿宋" w:eastAsia="仿宋" w:cs="仿宋"/>
          <w:sz w:val="30"/>
          <w:szCs w:val="30"/>
          <w:highlight w:val="none"/>
        </w:rPr>
        <w:t>发生的接待支出。</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sz w:val="30"/>
          <w:szCs w:val="30"/>
          <w:highlight w:val="none"/>
        </w:rPr>
        <w:t>3</w:t>
      </w:r>
      <w:r>
        <w:rPr>
          <w:rFonts w:hint="eastAsia" w:ascii="仿宋" w:hAnsi="仿宋" w:eastAsia="仿宋" w:cs="仿宋"/>
          <w:sz w:val="30"/>
          <w:szCs w:val="30"/>
          <w:highlight w:val="none"/>
          <w:lang w:val="en-US" w:eastAsia="zh-CN"/>
        </w:rPr>
        <w:t>.</w:t>
      </w:r>
      <w:r>
        <w:rPr>
          <w:rFonts w:hint="eastAsia" w:ascii="仿宋" w:hAnsi="仿宋" w:eastAsia="仿宋" w:cs="仿宋"/>
          <w:sz w:val="30"/>
          <w:szCs w:val="30"/>
        </w:rPr>
        <w:t>公务用车购置费及运行维护费支出决算为0万元，其中：公务用车购置费0万元，更新公务用车0辆</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公务用车运行维护费0万元，截止</w:t>
      </w:r>
      <w:r>
        <w:rPr>
          <w:rFonts w:hint="eastAsia" w:ascii="仿宋" w:hAnsi="仿宋" w:eastAsia="仿宋" w:cs="仿宋"/>
          <w:sz w:val="30"/>
          <w:szCs w:val="30"/>
          <w:lang w:eastAsia="zh-CN"/>
        </w:rPr>
        <w:t>2022年</w:t>
      </w:r>
      <w:r>
        <w:rPr>
          <w:rFonts w:hint="eastAsia" w:ascii="仿宋" w:hAnsi="仿宋" w:eastAsia="仿宋" w:cs="仿宋"/>
          <w:sz w:val="30"/>
          <w:szCs w:val="30"/>
        </w:rPr>
        <w:t>12月31日，我单位开支财政拨款的公务用车保有量为</w:t>
      </w:r>
      <w:r>
        <w:rPr>
          <w:rFonts w:hint="eastAsia" w:ascii="仿宋" w:hAnsi="仿宋" w:eastAsia="仿宋" w:cs="仿宋"/>
          <w:sz w:val="30"/>
          <w:szCs w:val="30"/>
          <w:lang w:val="en-US" w:eastAsia="zh-CN"/>
        </w:rPr>
        <w:t>0</w:t>
      </w:r>
      <w:r>
        <w:rPr>
          <w:rFonts w:hint="eastAsia" w:ascii="仿宋" w:hAnsi="仿宋" w:eastAsia="仿宋" w:cs="仿宋"/>
          <w:sz w:val="30"/>
          <w:szCs w:val="30"/>
        </w:rPr>
        <w:t>辆。</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八、政府性基金预算收入支出决算情况</w:t>
      </w:r>
    </w:p>
    <w:p>
      <w:pPr>
        <w:keepNext/>
        <w:keepLines/>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kern w:val="0"/>
          <w:sz w:val="30"/>
          <w:szCs w:val="30"/>
          <w:highlight w:val="none"/>
          <w:lang w:val="en-US"/>
        </w:rPr>
      </w:pPr>
      <w:r>
        <w:rPr>
          <w:rFonts w:hint="eastAsia" w:ascii="仿宋" w:hAnsi="仿宋" w:eastAsia="仿宋" w:cs="仿宋"/>
          <w:color w:val="auto"/>
          <w:kern w:val="0"/>
          <w:sz w:val="30"/>
          <w:szCs w:val="30"/>
          <w:highlight w:val="none"/>
          <w:lang w:val="en-US" w:eastAsia="zh-CN"/>
        </w:rPr>
        <w:t>2022年</w:t>
      </w:r>
      <w:r>
        <w:rPr>
          <w:rFonts w:hint="eastAsia" w:ascii="仿宋" w:hAnsi="仿宋" w:eastAsia="仿宋" w:cs="仿宋"/>
          <w:color w:val="auto"/>
          <w:kern w:val="0"/>
          <w:sz w:val="30"/>
          <w:szCs w:val="30"/>
          <w:highlight w:val="none"/>
          <w:lang w:val="en-US"/>
        </w:rPr>
        <w:t>本</w:t>
      </w:r>
      <w:r>
        <w:rPr>
          <w:rFonts w:hint="eastAsia" w:ascii="仿宋" w:hAnsi="仿宋" w:eastAsia="仿宋" w:cs="仿宋"/>
          <w:color w:val="auto"/>
          <w:kern w:val="0"/>
          <w:sz w:val="30"/>
          <w:szCs w:val="30"/>
          <w:highlight w:val="none"/>
          <w:lang w:val="en-US" w:eastAsia="zh-CN"/>
        </w:rPr>
        <w:t>部门</w:t>
      </w:r>
      <w:r>
        <w:rPr>
          <w:rFonts w:hint="eastAsia" w:ascii="仿宋" w:hAnsi="仿宋" w:eastAsia="仿宋" w:cs="仿宋"/>
          <w:color w:val="auto"/>
          <w:kern w:val="0"/>
          <w:sz w:val="30"/>
          <w:szCs w:val="30"/>
          <w:highlight w:val="none"/>
          <w:lang w:val="en-US"/>
        </w:rPr>
        <w:t>没有使用政府性基金预算财政拨款安排的收支。</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九、国有资本经营预算财政拨款收入支出决算</w:t>
      </w:r>
    </w:p>
    <w:p>
      <w:pPr>
        <w:keepNext/>
        <w:keepLines/>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kern w:val="0"/>
          <w:sz w:val="30"/>
          <w:szCs w:val="30"/>
          <w:highlight w:val="none"/>
          <w:lang w:val="en-US" w:eastAsia="zh-CN"/>
        </w:rPr>
        <w:t>2022年</w:t>
      </w:r>
      <w:r>
        <w:rPr>
          <w:rFonts w:hint="eastAsia" w:ascii="仿宋" w:hAnsi="仿宋" w:eastAsia="仿宋" w:cs="仿宋"/>
          <w:color w:val="auto"/>
          <w:kern w:val="0"/>
          <w:sz w:val="30"/>
          <w:szCs w:val="30"/>
          <w:highlight w:val="none"/>
          <w:lang w:val="en-US"/>
        </w:rPr>
        <w:t>本</w:t>
      </w:r>
      <w:r>
        <w:rPr>
          <w:rFonts w:hint="eastAsia" w:ascii="仿宋" w:hAnsi="仿宋" w:eastAsia="仿宋" w:cs="仿宋"/>
          <w:color w:val="auto"/>
          <w:kern w:val="0"/>
          <w:sz w:val="30"/>
          <w:szCs w:val="30"/>
          <w:highlight w:val="none"/>
          <w:lang w:val="en-US" w:eastAsia="zh-CN"/>
        </w:rPr>
        <w:t>部门无国有资本经营预算财政拨款收支。</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highlight w:val="none"/>
        </w:rPr>
      </w:pPr>
      <w:r>
        <w:rPr>
          <w:rFonts w:hint="eastAsia" w:ascii="黑体" w:hAnsi="黑体" w:eastAsia="黑体" w:cs="黑体"/>
          <w:b w:val="0"/>
          <w:bCs/>
          <w:sz w:val="30"/>
          <w:szCs w:val="30"/>
          <w:highlight w:val="none"/>
          <w:lang w:eastAsia="zh-CN"/>
        </w:rPr>
        <w:t>十</w:t>
      </w:r>
      <w:r>
        <w:rPr>
          <w:rFonts w:hint="eastAsia" w:ascii="黑体" w:hAnsi="黑体" w:eastAsia="黑体" w:cs="黑体"/>
          <w:b w:val="0"/>
          <w:bCs/>
          <w:sz w:val="30"/>
          <w:szCs w:val="30"/>
          <w:highlight w:val="none"/>
        </w:rPr>
        <w:t>、机关运行经费支出说明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color w:val="FF0000"/>
          <w:sz w:val="30"/>
          <w:szCs w:val="30"/>
          <w:highlight w:val="yellow"/>
          <w:lang w:eastAsia="zh-CN"/>
        </w:rPr>
      </w:pPr>
      <w:r>
        <w:rPr>
          <w:rFonts w:hint="eastAsia" w:ascii="仿宋" w:hAnsi="仿宋" w:eastAsia="仿宋" w:cs="仿宋"/>
          <w:sz w:val="30"/>
          <w:szCs w:val="30"/>
        </w:rPr>
        <w:t>本部门</w:t>
      </w:r>
      <w:r>
        <w:rPr>
          <w:rFonts w:hint="eastAsia" w:ascii="仿宋" w:hAnsi="仿宋" w:eastAsia="仿宋" w:cs="仿宋"/>
          <w:sz w:val="30"/>
          <w:szCs w:val="30"/>
          <w:lang w:eastAsia="zh-CN"/>
        </w:rPr>
        <w:t>2022年</w:t>
      </w:r>
      <w:r>
        <w:rPr>
          <w:rFonts w:hint="eastAsia" w:ascii="仿宋" w:hAnsi="仿宋" w:eastAsia="仿宋" w:cs="仿宋"/>
          <w:sz w:val="30"/>
          <w:szCs w:val="30"/>
        </w:rPr>
        <w:t>度机关运行经费支出</w:t>
      </w:r>
      <w:r>
        <w:rPr>
          <w:rFonts w:hint="eastAsia" w:ascii="仿宋" w:hAnsi="仿宋" w:eastAsia="仿宋" w:cs="仿宋"/>
          <w:sz w:val="30"/>
          <w:szCs w:val="30"/>
          <w:lang w:val="en-US" w:eastAsia="zh-CN"/>
        </w:rPr>
        <w:t>149.83</w:t>
      </w:r>
      <w:r>
        <w:rPr>
          <w:rFonts w:hint="eastAsia" w:ascii="仿宋" w:hAnsi="仿宋" w:eastAsia="仿宋" w:cs="仿宋"/>
          <w:sz w:val="30"/>
          <w:szCs w:val="30"/>
        </w:rPr>
        <w:t>万元，</w:t>
      </w:r>
      <w:r>
        <w:rPr>
          <w:rFonts w:hint="eastAsia" w:ascii="仿宋" w:hAnsi="仿宋" w:eastAsia="仿宋" w:cs="仿宋"/>
          <w:sz w:val="30"/>
          <w:szCs w:val="30"/>
          <w:lang w:eastAsia="zh-CN"/>
        </w:rPr>
        <w:t>占基本支出的</w:t>
      </w:r>
      <w:r>
        <w:rPr>
          <w:rFonts w:hint="eastAsia" w:ascii="仿宋" w:hAnsi="仿宋" w:eastAsia="仿宋" w:cs="仿宋"/>
          <w:sz w:val="30"/>
          <w:szCs w:val="30"/>
          <w:lang w:val="en-US" w:eastAsia="zh-CN"/>
        </w:rPr>
        <w:t>37.64%，</w:t>
      </w:r>
      <w:r>
        <w:rPr>
          <w:rFonts w:hint="eastAsia" w:ascii="仿宋" w:hAnsi="仿宋" w:eastAsia="仿宋" w:cs="仿宋"/>
          <w:sz w:val="30"/>
          <w:szCs w:val="30"/>
        </w:rPr>
        <w:t>比上年增加</w:t>
      </w:r>
      <w:r>
        <w:rPr>
          <w:rFonts w:hint="eastAsia" w:ascii="仿宋" w:hAnsi="仿宋" w:eastAsia="仿宋" w:cs="仿宋"/>
          <w:sz w:val="30"/>
          <w:szCs w:val="30"/>
          <w:lang w:val="en-US" w:eastAsia="zh-CN"/>
        </w:rPr>
        <w:t>25.43</w:t>
      </w:r>
      <w:r>
        <w:rPr>
          <w:rFonts w:hint="eastAsia" w:ascii="仿宋" w:hAnsi="仿宋" w:eastAsia="仿宋" w:cs="仿宋"/>
          <w:sz w:val="30"/>
          <w:szCs w:val="30"/>
        </w:rPr>
        <w:t>万元，增长</w:t>
      </w:r>
      <w:r>
        <w:rPr>
          <w:rFonts w:hint="eastAsia" w:ascii="仿宋" w:hAnsi="仿宋" w:eastAsia="仿宋" w:cs="仿宋"/>
          <w:sz w:val="30"/>
          <w:szCs w:val="30"/>
          <w:lang w:val="en-US" w:eastAsia="zh-CN"/>
        </w:rPr>
        <w:t>20.44</w:t>
      </w:r>
      <w:r>
        <w:rPr>
          <w:rFonts w:hint="eastAsia" w:ascii="仿宋" w:hAnsi="仿宋" w:eastAsia="仿宋" w:cs="仿宋"/>
          <w:sz w:val="30"/>
          <w:szCs w:val="30"/>
        </w:rPr>
        <w:t>%。主要原因是</w:t>
      </w:r>
      <w:r>
        <w:rPr>
          <w:rFonts w:hint="eastAsia" w:ascii="仿宋" w:hAnsi="仿宋" w:eastAsia="仿宋" w:cs="仿宋"/>
          <w:color w:val="000000" w:themeColor="text1"/>
          <w:sz w:val="30"/>
          <w:szCs w:val="30"/>
          <w:highlight w:val="none"/>
          <w:lang w:eastAsia="zh-CN"/>
          <w14:textFill>
            <w14:solidFill>
              <w14:schemeClr w14:val="tx1"/>
            </w14:solidFill>
          </w14:textFill>
        </w:rPr>
        <w:t>办公室搬迁，导致物业管理费及维修费增加及创文创卫工作经费增加。</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highlight w:val="none"/>
          <w:lang w:eastAsia="zh-CN"/>
        </w:rPr>
      </w:pPr>
      <w:r>
        <w:rPr>
          <w:rFonts w:hint="eastAsia" w:ascii="黑体" w:hAnsi="黑体" w:eastAsia="黑体" w:cs="黑体"/>
          <w:b w:val="0"/>
          <w:bCs/>
          <w:sz w:val="30"/>
          <w:szCs w:val="30"/>
          <w:highlight w:val="none"/>
          <w:lang w:eastAsia="zh-CN"/>
        </w:rPr>
        <w:t>十一、一般性支出情况说明</w:t>
      </w:r>
    </w:p>
    <w:p>
      <w:pPr>
        <w:pStyle w:val="12"/>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highlight w:val="none"/>
          <w:lang w:val="en-US"/>
        </w:rPr>
      </w:pPr>
      <w:r>
        <w:rPr>
          <w:rFonts w:hint="eastAsia" w:ascii="仿宋" w:hAnsi="仿宋" w:eastAsia="仿宋" w:cs="仿宋"/>
          <w:color w:val="000000"/>
          <w:kern w:val="0"/>
          <w:sz w:val="30"/>
          <w:szCs w:val="30"/>
          <w:highlight w:val="none"/>
          <w:lang w:val="en-US" w:eastAsia="zh-CN"/>
        </w:rPr>
        <w:t>2022年</w:t>
      </w:r>
      <w:r>
        <w:rPr>
          <w:rFonts w:hint="eastAsia" w:ascii="仿宋" w:hAnsi="仿宋" w:eastAsia="仿宋" w:cs="仿宋"/>
          <w:color w:val="000000"/>
          <w:kern w:val="0"/>
          <w:sz w:val="30"/>
          <w:szCs w:val="30"/>
          <w:highlight w:val="none"/>
          <w:lang w:val="en-US"/>
        </w:rPr>
        <w:t>本部门</w:t>
      </w:r>
      <w:r>
        <w:rPr>
          <w:rFonts w:hint="eastAsia" w:ascii="仿宋" w:hAnsi="仿宋" w:eastAsia="仿宋" w:cs="仿宋"/>
          <w:color w:val="000000"/>
          <w:kern w:val="0"/>
          <w:sz w:val="30"/>
          <w:szCs w:val="30"/>
          <w:highlight w:val="none"/>
          <w:lang w:val="en-US" w:eastAsia="zh-CN"/>
        </w:rPr>
        <w:t>会议费支出为零</w:t>
      </w:r>
      <w:r>
        <w:rPr>
          <w:rFonts w:hint="eastAsia" w:ascii="仿宋" w:hAnsi="仿宋" w:eastAsia="仿宋" w:cs="仿宋"/>
          <w:color w:val="000000"/>
          <w:kern w:val="0"/>
          <w:sz w:val="30"/>
          <w:szCs w:val="30"/>
          <w:highlight w:val="none"/>
          <w:lang w:val="en-US"/>
        </w:rPr>
        <w:t>；培训费</w:t>
      </w:r>
      <w:r>
        <w:rPr>
          <w:rFonts w:hint="eastAsia" w:ascii="仿宋" w:hAnsi="仿宋" w:eastAsia="仿宋" w:cs="仿宋"/>
          <w:color w:val="000000"/>
          <w:kern w:val="0"/>
          <w:sz w:val="30"/>
          <w:szCs w:val="30"/>
          <w:highlight w:val="none"/>
          <w:lang w:val="en-US" w:eastAsia="zh-CN"/>
        </w:rPr>
        <w:t>支出0.96</w:t>
      </w:r>
      <w:r>
        <w:rPr>
          <w:rFonts w:hint="eastAsia" w:ascii="仿宋" w:hAnsi="仿宋" w:eastAsia="仿宋" w:cs="仿宋"/>
          <w:color w:val="000000"/>
          <w:kern w:val="0"/>
          <w:sz w:val="30"/>
          <w:szCs w:val="30"/>
          <w:highlight w:val="none"/>
          <w:lang w:val="en-US"/>
        </w:rPr>
        <w:t>万元，用于开展</w:t>
      </w:r>
      <w:r>
        <w:rPr>
          <w:rFonts w:hint="eastAsia" w:ascii="仿宋" w:hAnsi="仿宋" w:eastAsia="仿宋" w:cs="仿宋"/>
          <w:color w:val="000000"/>
          <w:kern w:val="0"/>
          <w:sz w:val="30"/>
          <w:szCs w:val="30"/>
          <w:highlight w:val="none"/>
          <w:lang w:val="en-US" w:eastAsia="zh-CN"/>
        </w:rPr>
        <w:t>事业单位人员培训及征补政策</w:t>
      </w:r>
      <w:r>
        <w:rPr>
          <w:rFonts w:hint="eastAsia" w:ascii="仿宋" w:hAnsi="仿宋" w:eastAsia="仿宋" w:cs="仿宋"/>
          <w:color w:val="000000"/>
          <w:kern w:val="0"/>
          <w:sz w:val="30"/>
          <w:szCs w:val="30"/>
          <w:highlight w:val="none"/>
          <w:lang w:val="en-US"/>
        </w:rPr>
        <w:t>培训，人数</w:t>
      </w:r>
      <w:r>
        <w:rPr>
          <w:rFonts w:hint="eastAsia" w:ascii="仿宋" w:hAnsi="仿宋" w:eastAsia="仿宋" w:cs="仿宋"/>
          <w:color w:val="000000"/>
          <w:kern w:val="0"/>
          <w:sz w:val="30"/>
          <w:szCs w:val="30"/>
          <w:highlight w:val="none"/>
          <w:lang w:val="en-US" w:eastAsia="zh-CN"/>
        </w:rPr>
        <w:t>45</w:t>
      </w:r>
      <w:r>
        <w:rPr>
          <w:rFonts w:hint="eastAsia" w:ascii="仿宋" w:hAnsi="仿宋" w:eastAsia="仿宋" w:cs="仿宋"/>
          <w:color w:val="000000"/>
          <w:kern w:val="0"/>
          <w:sz w:val="30"/>
          <w:szCs w:val="30"/>
          <w:highlight w:val="none"/>
          <w:lang w:val="en-US"/>
        </w:rPr>
        <w:t>人</w:t>
      </w:r>
      <w:r>
        <w:rPr>
          <w:rFonts w:hint="eastAsia" w:ascii="仿宋" w:hAnsi="仿宋" w:eastAsia="仿宋" w:cs="仿宋"/>
          <w:color w:val="000000"/>
          <w:kern w:val="0"/>
          <w:sz w:val="30"/>
          <w:szCs w:val="30"/>
          <w:highlight w:val="none"/>
          <w:lang w:val="en-US" w:eastAsia="zh-CN"/>
        </w:rPr>
        <w:t>次</w:t>
      </w:r>
      <w:r>
        <w:rPr>
          <w:rFonts w:hint="eastAsia" w:ascii="仿宋" w:hAnsi="仿宋" w:eastAsia="仿宋" w:cs="仿宋"/>
          <w:color w:val="000000"/>
          <w:kern w:val="0"/>
          <w:sz w:val="30"/>
          <w:szCs w:val="30"/>
          <w:highlight w:val="none"/>
          <w:lang w:val="en-US"/>
        </w:rPr>
        <w:t>，内容为</w:t>
      </w:r>
      <w:r>
        <w:rPr>
          <w:rFonts w:hint="eastAsia" w:ascii="仿宋" w:hAnsi="仿宋" w:eastAsia="仿宋" w:cs="仿宋"/>
          <w:color w:val="000000"/>
          <w:kern w:val="0"/>
          <w:sz w:val="30"/>
          <w:szCs w:val="30"/>
          <w:highlight w:val="none"/>
          <w:lang w:val="en-US" w:eastAsia="zh-CN"/>
        </w:rPr>
        <w:t>党建知识及新的征补政策培训；</w:t>
      </w:r>
      <w:r>
        <w:rPr>
          <w:rFonts w:hint="eastAsia" w:ascii="仿宋" w:hAnsi="仿宋" w:eastAsia="仿宋" w:cs="仿宋"/>
          <w:sz w:val="30"/>
          <w:szCs w:val="30"/>
          <w:lang w:eastAsia="zh-CN"/>
        </w:rPr>
        <w:t>未举办节庆、晚会、论坛、</w:t>
      </w:r>
      <w:r>
        <w:rPr>
          <w:rFonts w:hint="eastAsia" w:ascii="仿宋" w:hAnsi="仿宋" w:eastAsia="仿宋" w:cs="仿宋"/>
          <w:sz w:val="30"/>
          <w:szCs w:val="30"/>
        </w:rPr>
        <w:t>赛事</w:t>
      </w:r>
      <w:r>
        <w:rPr>
          <w:rFonts w:hint="eastAsia" w:ascii="仿宋" w:hAnsi="仿宋" w:eastAsia="仿宋" w:cs="仿宋"/>
          <w:sz w:val="30"/>
          <w:szCs w:val="30"/>
          <w:lang w:eastAsia="zh-CN"/>
        </w:rPr>
        <w:t>等</w:t>
      </w:r>
      <w:r>
        <w:rPr>
          <w:rFonts w:hint="eastAsia" w:ascii="仿宋" w:hAnsi="仿宋" w:eastAsia="仿宋" w:cs="仿宋"/>
          <w:sz w:val="30"/>
          <w:szCs w:val="30"/>
        </w:rPr>
        <w:t>活动。</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highlight w:val="none"/>
          <w:lang w:eastAsia="zh-CN"/>
        </w:rPr>
      </w:pPr>
      <w:r>
        <w:rPr>
          <w:rFonts w:hint="eastAsia" w:ascii="黑体" w:hAnsi="黑体" w:eastAsia="黑体" w:cs="黑体"/>
          <w:b w:val="0"/>
          <w:bCs/>
          <w:sz w:val="30"/>
          <w:szCs w:val="30"/>
          <w:highlight w:val="none"/>
          <w:lang w:eastAsia="zh-CN"/>
        </w:rPr>
        <w:t>十二、政府采购支出说明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本部门</w:t>
      </w:r>
      <w:r>
        <w:rPr>
          <w:rFonts w:hint="eastAsia" w:ascii="仿宋" w:hAnsi="仿宋" w:eastAsia="仿宋" w:cs="仿宋"/>
          <w:sz w:val="30"/>
          <w:szCs w:val="30"/>
          <w:highlight w:val="none"/>
          <w:lang w:eastAsia="zh-CN"/>
        </w:rPr>
        <w:t>2022年</w:t>
      </w:r>
      <w:r>
        <w:rPr>
          <w:rFonts w:hint="eastAsia" w:ascii="仿宋" w:hAnsi="仿宋" w:eastAsia="仿宋" w:cs="仿宋"/>
          <w:sz w:val="30"/>
          <w:szCs w:val="30"/>
          <w:highlight w:val="none"/>
        </w:rPr>
        <w:t>度政府采购支出总额</w:t>
      </w:r>
      <w:r>
        <w:rPr>
          <w:rFonts w:hint="eastAsia" w:ascii="仿宋" w:hAnsi="仿宋" w:eastAsia="仿宋" w:cs="仿宋"/>
          <w:sz w:val="30"/>
          <w:szCs w:val="30"/>
          <w:highlight w:val="none"/>
          <w:lang w:val="en-US" w:eastAsia="zh-CN"/>
        </w:rPr>
        <w:t>22.32</w:t>
      </w:r>
      <w:r>
        <w:rPr>
          <w:rFonts w:hint="eastAsia" w:ascii="仿宋" w:hAnsi="仿宋" w:eastAsia="仿宋" w:cs="仿宋"/>
          <w:sz w:val="30"/>
          <w:szCs w:val="30"/>
          <w:highlight w:val="none"/>
        </w:rPr>
        <w:t>万元，其中：政府采购货物支出</w:t>
      </w:r>
      <w:r>
        <w:rPr>
          <w:rFonts w:hint="eastAsia" w:ascii="仿宋" w:hAnsi="仿宋" w:eastAsia="仿宋" w:cs="仿宋"/>
          <w:sz w:val="30"/>
          <w:szCs w:val="30"/>
          <w:highlight w:val="none"/>
          <w:lang w:val="en-US" w:eastAsia="zh-CN"/>
        </w:rPr>
        <w:t>7.53</w:t>
      </w:r>
      <w:r>
        <w:rPr>
          <w:rFonts w:hint="eastAsia" w:ascii="仿宋" w:hAnsi="仿宋" w:eastAsia="仿宋" w:cs="仿宋"/>
          <w:sz w:val="30"/>
          <w:szCs w:val="30"/>
          <w:highlight w:val="none"/>
        </w:rPr>
        <w:t>万元、政府采购工程支出</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万元、政府采购服务支出</w:t>
      </w:r>
      <w:r>
        <w:rPr>
          <w:rFonts w:hint="eastAsia" w:ascii="仿宋" w:hAnsi="仿宋" w:eastAsia="仿宋" w:cs="仿宋"/>
          <w:sz w:val="30"/>
          <w:szCs w:val="30"/>
          <w:highlight w:val="none"/>
          <w:lang w:val="en-US" w:eastAsia="zh-CN"/>
        </w:rPr>
        <w:t>14.79</w:t>
      </w:r>
      <w:r>
        <w:rPr>
          <w:rFonts w:hint="eastAsia" w:ascii="仿宋" w:hAnsi="仿宋" w:eastAsia="仿宋" w:cs="仿宋"/>
          <w:sz w:val="30"/>
          <w:szCs w:val="30"/>
          <w:highlight w:val="none"/>
        </w:rPr>
        <w:t>万元。授予中小企业合同金额</w:t>
      </w:r>
      <w:r>
        <w:rPr>
          <w:rFonts w:hint="eastAsia" w:ascii="仿宋" w:hAnsi="仿宋" w:eastAsia="仿宋" w:cs="仿宋"/>
          <w:sz w:val="30"/>
          <w:szCs w:val="30"/>
          <w:highlight w:val="none"/>
          <w:lang w:val="en-US" w:eastAsia="zh-CN"/>
        </w:rPr>
        <w:t>22.32</w:t>
      </w:r>
      <w:r>
        <w:rPr>
          <w:rFonts w:hint="eastAsia" w:ascii="仿宋" w:hAnsi="仿宋" w:eastAsia="仿宋" w:cs="仿宋"/>
          <w:sz w:val="30"/>
          <w:szCs w:val="30"/>
          <w:highlight w:val="none"/>
        </w:rPr>
        <w:t>万元，占政府采购支出总额的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%，其中：授予小微企业合同金额</w:t>
      </w:r>
      <w:r>
        <w:rPr>
          <w:rFonts w:hint="eastAsia" w:ascii="仿宋" w:hAnsi="仿宋" w:eastAsia="仿宋" w:cs="仿宋"/>
          <w:sz w:val="30"/>
          <w:szCs w:val="30"/>
          <w:highlight w:val="none"/>
          <w:lang w:val="en-US" w:eastAsia="zh-CN"/>
        </w:rPr>
        <w:t>22.32</w:t>
      </w:r>
      <w:r>
        <w:rPr>
          <w:rFonts w:hint="eastAsia" w:ascii="仿宋" w:hAnsi="仿宋" w:eastAsia="仿宋" w:cs="仿宋"/>
          <w:sz w:val="30"/>
          <w:szCs w:val="30"/>
          <w:highlight w:val="none"/>
        </w:rPr>
        <w:t>万元，占授予中小企业合同金额的</w:t>
      </w:r>
      <w:r>
        <w:rPr>
          <w:rFonts w:hint="eastAsia" w:ascii="仿宋" w:hAnsi="仿宋" w:eastAsia="仿宋" w:cs="仿宋"/>
          <w:sz w:val="30"/>
          <w:szCs w:val="30"/>
          <w:highlight w:val="none"/>
          <w:lang w:val="en-US" w:eastAsia="zh-CN"/>
        </w:rPr>
        <w:t>100</w:t>
      </w:r>
      <w:r>
        <w:rPr>
          <w:rFonts w:hint="eastAsia" w:ascii="仿宋" w:hAnsi="仿宋" w:eastAsia="仿宋" w:cs="仿宋"/>
          <w:sz w:val="30"/>
          <w:szCs w:val="30"/>
          <w:highlight w:val="none"/>
        </w:rPr>
        <w:t>%；货物采购授予中小企业合同金额占货物支出金额的</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%，工程采购授予中小企业合同金额占工程支出金额的</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%，服务采购授予中小企业合同金额占服务支出金额的</w:t>
      </w:r>
      <w:r>
        <w:rPr>
          <w:rFonts w:hint="eastAsia" w:ascii="仿宋" w:hAnsi="仿宋" w:eastAsia="仿宋" w:cs="仿宋"/>
          <w:sz w:val="30"/>
          <w:szCs w:val="30"/>
          <w:highlight w:val="none"/>
          <w:lang w:val="en-US" w:eastAsia="zh-CN"/>
        </w:rPr>
        <w:t>0</w:t>
      </w:r>
      <w:r>
        <w:rPr>
          <w:rFonts w:hint="eastAsia" w:ascii="仿宋" w:hAnsi="仿宋" w:eastAsia="仿宋" w:cs="仿宋"/>
          <w:sz w:val="30"/>
          <w:szCs w:val="30"/>
          <w:highlight w:val="none"/>
        </w:rPr>
        <w:t>%。</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lang w:eastAsia="zh-CN"/>
        </w:rPr>
      </w:pPr>
      <w:r>
        <w:rPr>
          <w:rFonts w:hint="eastAsia" w:ascii="黑体" w:hAnsi="黑体" w:eastAsia="黑体" w:cs="黑体"/>
          <w:b w:val="0"/>
          <w:bCs/>
          <w:sz w:val="30"/>
          <w:szCs w:val="30"/>
          <w:lang w:eastAsia="zh-CN"/>
        </w:rPr>
        <w:t>十三、国有资产占用情况说明</w:t>
      </w:r>
    </w:p>
    <w:p>
      <w:pPr>
        <w:pStyle w:val="12"/>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截至</w:t>
      </w:r>
      <w:r>
        <w:rPr>
          <w:rFonts w:hint="eastAsia" w:ascii="仿宋" w:hAnsi="仿宋" w:eastAsia="仿宋" w:cs="仿宋"/>
          <w:sz w:val="30"/>
          <w:szCs w:val="30"/>
          <w:lang w:eastAsia="zh-CN"/>
        </w:rPr>
        <w:t>2022年</w:t>
      </w:r>
      <w:r>
        <w:rPr>
          <w:rFonts w:hint="eastAsia" w:ascii="仿宋" w:hAnsi="仿宋" w:eastAsia="仿宋" w:cs="仿宋"/>
          <w:sz w:val="30"/>
          <w:szCs w:val="30"/>
        </w:rPr>
        <w:t>12月31日，</w:t>
      </w:r>
      <w:r>
        <w:rPr>
          <w:rFonts w:hint="eastAsia" w:ascii="仿宋" w:hAnsi="仿宋" w:eastAsia="仿宋" w:cs="仿宋"/>
          <w:sz w:val="30"/>
          <w:szCs w:val="30"/>
          <w:lang w:eastAsia="zh-CN"/>
        </w:rPr>
        <w:t>本</w:t>
      </w:r>
      <w:r>
        <w:rPr>
          <w:rFonts w:hint="eastAsia" w:ascii="仿宋" w:hAnsi="仿宋" w:eastAsia="仿宋" w:cs="仿宋"/>
          <w:sz w:val="30"/>
          <w:szCs w:val="30"/>
        </w:rPr>
        <w:t>部门共有车辆</w:t>
      </w:r>
      <w:r>
        <w:rPr>
          <w:rFonts w:hint="eastAsia" w:ascii="仿宋" w:hAnsi="仿宋" w:eastAsia="仿宋" w:cs="仿宋"/>
          <w:sz w:val="30"/>
          <w:szCs w:val="30"/>
          <w:lang w:val="en-US" w:eastAsia="zh-CN"/>
        </w:rPr>
        <w:t>0</w:t>
      </w:r>
      <w:r>
        <w:rPr>
          <w:rFonts w:hint="eastAsia" w:ascii="仿宋" w:hAnsi="仿宋" w:eastAsia="仿宋" w:cs="仿宋"/>
          <w:sz w:val="30"/>
          <w:szCs w:val="30"/>
        </w:rPr>
        <w:t>辆，其中，主要领导干部用车</w:t>
      </w:r>
      <w:r>
        <w:rPr>
          <w:rFonts w:hint="eastAsia" w:ascii="仿宋" w:hAnsi="仿宋" w:eastAsia="仿宋" w:cs="仿宋"/>
          <w:sz w:val="30"/>
          <w:szCs w:val="30"/>
          <w:lang w:val="en-US" w:eastAsia="zh-CN"/>
        </w:rPr>
        <w:t>0</w:t>
      </w:r>
      <w:r>
        <w:rPr>
          <w:rFonts w:hint="eastAsia" w:ascii="仿宋" w:hAnsi="仿宋" w:eastAsia="仿宋" w:cs="仿宋"/>
          <w:sz w:val="30"/>
          <w:szCs w:val="30"/>
        </w:rPr>
        <w:t>辆，机要通信用车</w:t>
      </w:r>
      <w:r>
        <w:rPr>
          <w:rFonts w:hint="eastAsia" w:ascii="仿宋" w:hAnsi="仿宋" w:eastAsia="仿宋" w:cs="仿宋"/>
          <w:sz w:val="30"/>
          <w:szCs w:val="30"/>
          <w:lang w:val="en-US" w:eastAsia="zh-CN"/>
        </w:rPr>
        <w:t>0</w:t>
      </w:r>
      <w:r>
        <w:rPr>
          <w:rFonts w:hint="eastAsia" w:ascii="仿宋" w:hAnsi="仿宋" w:eastAsia="仿宋" w:cs="仿宋"/>
          <w:sz w:val="30"/>
          <w:szCs w:val="30"/>
        </w:rPr>
        <w:t>辆、应急保障用车</w:t>
      </w:r>
      <w:r>
        <w:rPr>
          <w:rFonts w:hint="eastAsia" w:ascii="仿宋" w:hAnsi="仿宋" w:eastAsia="仿宋" w:cs="仿宋"/>
          <w:sz w:val="30"/>
          <w:szCs w:val="30"/>
          <w:lang w:val="en-US" w:eastAsia="zh-CN"/>
        </w:rPr>
        <w:t>0</w:t>
      </w:r>
      <w:r>
        <w:rPr>
          <w:rFonts w:hint="eastAsia" w:ascii="仿宋" w:hAnsi="仿宋" w:eastAsia="仿宋" w:cs="仿宋"/>
          <w:sz w:val="30"/>
          <w:szCs w:val="30"/>
        </w:rPr>
        <w:t>辆、执法执勤用车</w:t>
      </w:r>
      <w:r>
        <w:rPr>
          <w:rFonts w:hint="eastAsia" w:ascii="仿宋" w:hAnsi="仿宋" w:eastAsia="仿宋" w:cs="仿宋"/>
          <w:sz w:val="30"/>
          <w:szCs w:val="30"/>
          <w:lang w:val="en-US" w:eastAsia="zh-CN"/>
        </w:rPr>
        <w:t>0</w:t>
      </w:r>
      <w:r>
        <w:rPr>
          <w:rFonts w:hint="eastAsia" w:ascii="仿宋" w:hAnsi="仿宋" w:eastAsia="仿宋" w:cs="仿宋"/>
          <w:sz w:val="30"/>
          <w:szCs w:val="30"/>
        </w:rPr>
        <w:t>辆、特种专业技术用车</w:t>
      </w:r>
      <w:r>
        <w:rPr>
          <w:rFonts w:hint="eastAsia" w:ascii="仿宋" w:hAnsi="仿宋" w:eastAsia="仿宋" w:cs="仿宋"/>
          <w:sz w:val="30"/>
          <w:szCs w:val="30"/>
          <w:lang w:val="en-US" w:eastAsia="zh-CN"/>
        </w:rPr>
        <w:t>0</w:t>
      </w:r>
      <w:r>
        <w:rPr>
          <w:rFonts w:hint="eastAsia" w:ascii="仿宋" w:hAnsi="仿宋" w:eastAsia="仿宋" w:cs="仿宋"/>
          <w:sz w:val="30"/>
          <w:szCs w:val="30"/>
        </w:rPr>
        <w:t>辆、其他用车</w:t>
      </w:r>
      <w:r>
        <w:rPr>
          <w:rFonts w:hint="eastAsia" w:ascii="仿宋" w:hAnsi="仿宋" w:eastAsia="仿宋" w:cs="仿宋"/>
          <w:sz w:val="30"/>
          <w:szCs w:val="30"/>
          <w:lang w:val="en-US" w:eastAsia="zh-CN"/>
        </w:rPr>
        <w:t>0</w:t>
      </w:r>
      <w:r>
        <w:rPr>
          <w:rFonts w:hint="eastAsia" w:ascii="仿宋" w:hAnsi="仿宋" w:eastAsia="仿宋" w:cs="仿宋"/>
          <w:sz w:val="30"/>
          <w:szCs w:val="30"/>
        </w:rPr>
        <w:t>辆；单位价值50万元以上通用设备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台（套）；单位价值100万元以上专用设备</w:t>
      </w:r>
      <w:r>
        <w:rPr>
          <w:rFonts w:hint="eastAsia" w:ascii="仿宋" w:hAnsi="仿宋" w:eastAsia="仿宋" w:cs="仿宋"/>
          <w:sz w:val="30"/>
          <w:szCs w:val="30"/>
          <w:lang w:val="en-US" w:eastAsia="zh-CN"/>
        </w:rPr>
        <w:t>0</w:t>
      </w:r>
      <w:r>
        <w:rPr>
          <w:rFonts w:hint="eastAsia" w:ascii="仿宋" w:hAnsi="仿宋" w:eastAsia="仿宋" w:cs="仿宋"/>
          <w:sz w:val="30"/>
          <w:szCs w:val="30"/>
        </w:rPr>
        <w:t>台（套）。</w:t>
      </w:r>
    </w:p>
    <w:p>
      <w:pPr>
        <w:pStyle w:val="12"/>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sz w:val="30"/>
          <w:szCs w:val="30"/>
          <w:lang w:eastAsia="zh-CN"/>
        </w:rPr>
      </w:pPr>
      <w:r>
        <w:rPr>
          <w:rFonts w:hint="eastAsia" w:ascii="黑体" w:hAnsi="黑体" w:eastAsia="黑体" w:cs="黑体"/>
          <w:b w:val="0"/>
          <w:bCs/>
          <w:sz w:val="30"/>
          <w:szCs w:val="30"/>
          <w:lang w:eastAsia="zh-CN"/>
        </w:rPr>
        <w:t>十四、</w:t>
      </w:r>
      <w:r>
        <w:rPr>
          <w:rFonts w:hint="eastAsia" w:hAnsi="黑体" w:cs="黑体"/>
          <w:b w:val="0"/>
          <w:bCs/>
          <w:sz w:val="30"/>
          <w:szCs w:val="30"/>
          <w:lang w:eastAsia="zh-CN"/>
        </w:rPr>
        <w:t>2022年</w:t>
      </w:r>
      <w:r>
        <w:rPr>
          <w:rFonts w:hint="eastAsia" w:ascii="黑体" w:hAnsi="黑体" w:eastAsia="黑体" w:cs="黑体"/>
          <w:b w:val="0"/>
          <w:bCs/>
          <w:sz w:val="30"/>
          <w:szCs w:val="30"/>
          <w:lang w:eastAsia="zh-CN"/>
        </w:rPr>
        <w:t>度预算绩效情况说明</w:t>
      </w:r>
    </w:p>
    <w:p>
      <w:pPr>
        <w:pageBreakBefore w:val="0"/>
        <w:kinsoku/>
        <w:wordWrap/>
        <w:overflowPunct/>
        <w:topLinePunct w:val="0"/>
        <w:autoSpaceDE w:val="0"/>
        <w:autoSpaceDN w:val="0"/>
        <w:bidi w:val="0"/>
        <w:adjustRightInd w:val="0"/>
        <w:snapToGrid/>
        <w:spacing w:line="600" w:lineRule="exact"/>
        <w:ind w:firstLine="602"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b/>
          <w:color w:val="000000"/>
          <w:kern w:val="0"/>
          <w:sz w:val="30"/>
          <w:szCs w:val="30"/>
        </w:rPr>
        <w:t>（</w:t>
      </w:r>
      <w:r>
        <w:rPr>
          <w:rFonts w:hint="eastAsia" w:ascii="仿宋" w:hAnsi="仿宋" w:eastAsia="仿宋" w:cs="仿宋"/>
          <w:b/>
          <w:color w:val="000000"/>
          <w:kern w:val="0"/>
          <w:sz w:val="30"/>
          <w:szCs w:val="30"/>
          <w:lang w:val="en-US" w:eastAsia="zh-CN"/>
        </w:rPr>
        <w:t>一</w:t>
      </w:r>
      <w:r>
        <w:rPr>
          <w:rFonts w:hint="eastAsia" w:ascii="仿宋" w:hAnsi="仿宋" w:eastAsia="仿宋" w:cs="仿宋"/>
          <w:b/>
          <w:color w:val="000000"/>
          <w:kern w:val="0"/>
          <w:sz w:val="30"/>
          <w:szCs w:val="30"/>
        </w:rPr>
        <w:t>）绩效管理评价工作开展情况</w:t>
      </w:r>
    </w:p>
    <w:p>
      <w:pPr>
        <w:pageBreakBefore w:val="0"/>
        <w:kinsoku/>
        <w:wordWrap/>
        <w:overflowPunct/>
        <w:topLinePunct w:val="0"/>
        <w:autoSpaceDE w:val="0"/>
        <w:autoSpaceDN w:val="0"/>
        <w:bidi w:val="0"/>
        <w:adjustRightInd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组织对</w:t>
      </w:r>
      <w:r>
        <w:rPr>
          <w:rFonts w:hint="eastAsia" w:ascii="仿宋" w:hAnsi="仿宋" w:eastAsia="仿宋" w:cs="仿宋"/>
          <w:color w:val="000000"/>
          <w:kern w:val="0"/>
          <w:sz w:val="30"/>
          <w:szCs w:val="30"/>
          <w:lang w:eastAsia="zh-CN"/>
        </w:rPr>
        <w:t>征补</w:t>
      </w:r>
      <w:r>
        <w:rPr>
          <w:rFonts w:hint="eastAsia" w:ascii="仿宋" w:hAnsi="仿宋" w:eastAsia="仿宋" w:cs="仿宋"/>
          <w:color w:val="000000"/>
          <w:kern w:val="0"/>
          <w:sz w:val="30"/>
          <w:szCs w:val="30"/>
          <w:lang w:val="en-US" w:eastAsia="zh-CN"/>
        </w:rPr>
        <w:t>事务中心</w:t>
      </w:r>
      <w:r>
        <w:rPr>
          <w:rFonts w:hint="eastAsia" w:ascii="仿宋" w:hAnsi="仿宋" w:eastAsia="仿宋" w:cs="仿宋"/>
          <w:color w:val="000000"/>
          <w:kern w:val="0"/>
          <w:sz w:val="30"/>
          <w:szCs w:val="30"/>
        </w:rPr>
        <w:t>等</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个单位开展整体支出绩效评价，涉及一般公共预算支出</w:t>
      </w:r>
      <w:r>
        <w:rPr>
          <w:rFonts w:hint="eastAsia" w:ascii="仿宋" w:hAnsi="仿宋" w:eastAsia="仿宋" w:cs="仿宋"/>
          <w:color w:val="000000"/>
          <w:kern w:val="0"/>
          <w:sz w:val="30"/>
          <w:szCs w:val="30"/>
          <w:lang w:val="en-US" w:eastAsia="zh-CN"/>
        </w:rPr>
        <w:t>398.09</w:t>
      </w:r>
      <w:r>
        <w:rPr>
          <w:rFonts w:hint="eastAsia" w:ascii="仿宋" w:hAnsi="仿宋" w:eastAsia="仿宋" w:cs="仿宋"/>
          <w:color w:val="000000"/>
          <w:kern w:val="0"/>
          <w:sz w:val="30"/>
          <w:szCs w:val="30"/>
        </w:rPr>
        <w:t>万元，政府性基金预算支出</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万元。从评价情况来看，</w:t>
      </w:r>
      <w:r>
        <w:rPr>
          <w:rFonts w:hint="eastAsia" w:ascii="仿宋" w:hAnsi="仿宋" w:eastAsia="仿宋" w:cs="仿宋"/>
          <w:sz w:val="30"/>
          <w:szCs w:val="30"/>
        </w:rPr>
        <w:t>本着实事求是原则，认真分析、客观评价，认为绩效目标合理，绩效指标明确，管理制度健全，资金使用合理，基础信息完善，资产管理安全，社会效率好，社会公众和服务对象满意。</w:t>
      </w:r>
    </w:p>
    <w:p>
      <w:pPr>
        <w:pageBreakBefore w:val="0"/>
        <w:kinsoku/>
        <w:wordWrap/>
        <w:overflowPunct/>
        <w:topLinePunct w:val="0"/>
        <w:autoSpaceDE w:val="0"/>
        <w:autoSpaceDN w:val="0"/>
        <w:bidi w:val="0"/>
        <w:adjustRightInd w:val="0"/>
        <w:snapToGrid/>
        <w:spacing w:line="600" w:lineRule="exact"/>
        <w:ind w:firstLine="602" w:firstLineChars="200"/>
        <w:jc w:val="left"/>
        <w:textAlignment w:val="auto"/>
        <w:rPr>
          <w:rFonts w:hint="eastAsia" w:ascii="仿宋" w:hAnsi="仿宋" w:eastAsia="仿宋" w:cs="仿宋"/>
          <w:b/>
          <w:color w:val="000000"/>
          <w:kern w:val="0"/>
          <w:sz w:val="30"/>
          <w:szCs w:val="30"/>
        </w:rPr>
      </w:pPr>
      <w:r>
        <w:rPr>
          <w:rFonts w:hint="eastAsia" w:ascii="仿宋" w:hAnsi="仿宋" w:eastAsia="仿宋" w:cs="仿宋"/>
          <w:b/>
          <w:color w:val="000000"/>
          <w:kern w:val="0"/>
          <w:sz w:val="30"/>
          <w:szCs w:val="30"/>
        </w:rPr>
        <w:t>（</w:t>
      </w:r>
      <w:r>
        <w:rPr>
          <w:rFonts w:hint="eastAsia" w:ascii="仿宋" w:hAnsi="仿宋" w:eastAsia="仿宋" w:cs="仿宋"/>
          <w:b/>
          <w:color w:val="000000"/>
          <w:kern w:val="0"/>
          <w:sz w:val="30"/>
          <w:szCs w:val="30"/>
          <w:lang w:val="en-US" w:eastAsia="zh-CN"/>
        </w:rPr>
        <w:t>二</w:t>
      </w:r>
      <w:r>
        <w:rPr>
          <w:rFonts w:hint="eastAsia" w:ascii="仿宋" w:hAnsi="仿宋" w:eastAsia="仿宋" w:cs="仿宋"/>
          <w:b/>
          <w:color w:val="000000"/>
          <w:kern w:val="0"/>
          <w:sz w:val="30"/>
          <w:szCs w:val="30"/>
        </w:rPr>
        <w:t>）部门决算中项目绩效自评结果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本部门</w:t>
      </w:r>
      <w:r>
        <w:rPr>
          <w:rFonts w:hint="eastAsia" w:ascii="仿宋" w:hAnsi="仿宋" w:eastAsia="仿宋" w:cs="仿宋"/>
          <w:sz w:val="30"/>
          <w:szCs w:val="30"/>
          <w:lang w:eastAsia="zh-CN"/>
        </w:rPr>
        <w:t>2022年</w:t>
      </w:r>
      <w:r>
        <w:rPr>
          <w:rFonts w:hint="eastAsia" w:ascii="仿宋" w:hAnsi="仿宋" w:eastAsia="仿宋" w:cs="仿宋"/>
          <w:sz w:val="30"/>
          <w:szCs w:val="30"/>
        </w:rPr>
        <w:t>无项目绩效评价。</w:t>
      </w:r>
    </w:p>
    <w:p>
      <w:pPr>
        <w:pageBreakBefore w:val="0"/>
        <w:kinsoku/>
        <w:wordWrap/>
        <w:overflowPunct/>
        <w:topLinePunct w:val="0"/>
        <w:autoSpaceDE w:val="0"/>
        <w:autoSpaceDN w:val="0"/>
        <w:bidi w:val="0"/>
        <w:adjustRightInd w:val="0"/>
        <w:snapToGrid/>
        <w:spacing w:line="600" w:lineRule="exact"/>
        <w:ind w:firstLine="602"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b/>
          <w:color w:val="000000"/>
          <w:kern w:val="0"/>
          <w:sz w:val="30"/>
          <w:szCs w:val="30"/>
        </w:rPr>
        <w:t>（</w:t>
      </w:r>
      <w:r>
        <w:rPr>
          <w:rFonts w:hint="eastAsia" w:ascii="仿宋" w:hAnsi="仿宋" w:eastAsia="仿宋" w:cs="仿宋"/>
          <w:b/>
          <w:color w:val="000000"/>
          <w:kern w:val="0"/>
          <w:sz w:val="30"/>
          <w:szCs w:val="30"/>
          <w:lang w:val="en-US" w:eastAsia="zh-CN"/>
        </w:rPr>
        <w:t>三</w:t>
      </w:r>
      <w:r>
        <w:rPr>
          <w:rFonts w:hint="eastAsia" w:ascii="仿宋" w:hAnsi="仿宋" w:eastAsia="仿宋" w:cs="仿宋"/>
          <w:b/>
          <w:color w:val="000000"/>
          <w:kern w:val="0"/>
          <w:sz w:val="30"/>
          <w:szCs w:val="30"/>
        </w:rPr>
        <w:t>）部门评价项目绩效评价结果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000000"/>
          <w:sz w:val="30"/>
          <w:szCs w:val="30"/>
          <w:lang w:eastAsia="zh-CN"/>
        </w:rPr>
        <w:t>认</w:t>
      </w:r>
      <w:r>
        <w:rPr>
          <w:rFonts w:hint="eastAsia" w:ascii="仿宋" w:hAnsi="仿宋" w:eastAsia="仿宋" w:cs="仿宋"/>
          <w:color w:val="000000"/>
          <w:sz w:val="30"/>
          <w:szCs w:val="30"/>
        </w:rPr>
        <w:t>真贯彻落实征拆政策，充分履职，攻坚克难，全力推进</w:t>
      </w:r>
      <w:r>
        <w:rPr>
          <w:rFonts w:hint="eastAsia" w:ascii="仿宋" w:hAnsi="仿宋" w:eastAsia="仿宋" w:cs="仿宋"/>
          <w:sz w:val="30"/>
          <w:szCs w:val="30"/>
        </w:rPr>
        <w:t>重点项目征拆工作</w:t>
      </w:r>
      <w:r>
        <w:rPr>
          <w:rFonts w:hint="eastAsia" w:ascii="仿宋" w:hAnsi="仿宋" w:eastAsia="仿宋" w:cs="仿宋"/>
          <w:color w:val="000000"/>
          <w:sz w:val="30"/>
          <w:szCs w:val="30"/>
        </w:rPr>
        <w:t>。积极做好了常益长高铁、宁韶高速、益平高速等项目征拆扫尾工作，保障了项目的顺利建设；</w:t>
      </w:r>
      <w:r>
        <w:rPr>
          <w:rFonts w:hint="eastAsia" w:ascii="仿宋_GB2312" w:hAnsi="仿宋_GB2312" w:eastAsia="仿宋_GB2312" w:cs="仿宋_GB2312"/>
          <w:sz w:val="32"/>
          <w:szCs w:val="32"/>
        </w:rPr>
        <w:t>攻克了一批重点难点项目。益阳火电厂第三期、G536五里牌至新市渡公路、龙洲中学改扩建、农科所棚改、桥南棚改、针织新村棚改和三周文化馆等23个项目完成征拆任务。顶鼎家具、剧院路、风山路等5个项目完成协议签订工作。特别是</w:t>
      </w:r>
      <w:r>
        <w:rPr>
          <w:rFonts w:hint="eastAsia" w:ascii="仿宋_GB2312" w:hAnsi="黑体" w:eastAsia="仿宋_GB2312"/>
          <w:sz w:val="32"/>
          <w:szCs w:val="32"/>
        </w:rPr>
        <w:t>农科所、针织新村、桥南棚改等多年遗留的项目实现重大突破，全面完成拆迁任务。</w:t>
      </w:r>
      <w:r>
        <w:rPr>
          <w:rFonts w:hint="eastAsia" w:ascii="仿宋_GB2312" w:hAnsi="仿宋_GB2312" w:eastAsia="仿宋_GB2312" w:cs="仿宋_GB2312"/>
          <w:sz w:val="32"/>
          <w:szCs w:val="32"/>
        </w:rPr>
        <w:t>G234赫山区谢林港至桃江石洞公路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团洲北路棚改项目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益阳茶厂棚改项目</w:t>
      </w:r>
      <w:r>
        <w:rPr>
          <w:rFonts w:hint="eastAsia" w:ascii="仿宋_GB2312" w:hAnsi="仿宋_GB2312" w:eastAsia="仿宋_GB2312" w:cs="仿宋_GB2312"/>
          <w:sz w:val="32"/>
          <w:szCs w:val="32"/>
          <w:lang w:val="en-US" w:eastAsia="zh-CN"/>
        </w:rPr>
        <w:t>取得了积极进展。</w:t>
      </w:r>
      <w:r>
        <w:rPr>
          <w:rFonts w:hint="eastAsia" w:ascii="仿宋" w:hAnsi="仿宋" w:eastAsia="仿宋" w:cs="仿宋"/>
          <w:color w:val="000000"/>
          <w:sz w:val="30"/>
          <w:szCs w:val="30"/>
        </w:rPr>
        <w:t>与此同时，</w:t>
      </w:r>
      <w:r>
        <w:rPr>
          <w:rFonts w:hint="eastAsia" w:ascii="仿宋" w:hAnsi="仿宋" w:eastAsia="仿宋" w:cs="仿宋"/>
          <w:sz w:val="30"/>
          <w:szCs w:val="30"/>
        </w:rPr>
        <w:t>统筹兼顾，全力做好</w:t>
      </w:r>
      <w:r>
        <w:rPr>
          <w:rFonts w:hint="eastAsia" w:ascii="仿宋" w:hAnsi="仿宋" w:eastAsia="仿宋" w:cs="仿宋"/>
          <w:sz w:val="30"/>
          <w:szCs w:val="30"/>
          <w:lang w:val="en-US" w:eastAsia="zh-CN"/>
        </w:rPr>
        <w:t>了</w:t>
      </w:r>
      <w:r>
        <w:rPr>
          <w:rFonts w:hint="eastAsia" w:ascii="仿宋" w:hAnsi="仿宋" w:eastAsia="仿宋" w:cs="仿宋"/>
          <w:sz w:val="30"/>
          <w:szCs w:val="30"/>
        </w:rPr>
        <w:t>疫情防控、乡村振兴、创文创卫等其它中心工作</w:t>
      </w:r>
      <w:r>
        <w:rPr>
          <w:rFonts w:hint="eastAsia" w:ascii="仿宋" w:hAnsi="仿宋" w:eastAsia="仿宋" w:cs="仿宋"/>
          <w:sz w:val="30"/>
          <w:szCs w:val="30"/>
          <w:lang w:eastAsia="zh-CN"/>
        </w:rPr>
        <w:t>。</w:t>
      </w:r>
    </w:p>
    <w:p>
      <w:pPr>
        <w:pStyle w:val="6"/>
        <w:rPr>
          <w:rFonts w:hint="eastAsia"/>
          <w:lang w:eastAsia="zh-CN"/>
        </w:rPr>
      </w:pPr>
    </w:p>
    <w:p>
      <w:pPr>
        <w:pStyle w:val="12"/>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kern w:val="0"/>
          <w:sz w:val="72"/>
          <w:szCs w:val="72"/>
        </w:rPr>
      </w:pPr>
      <w:r>
        <w:rPr>
          <w:rFonts w:hint="eastAsia" w:ascii="黑体" w:hAnsi="黑体" w:eastAsia="黑体" w:cs="黑体"/>
          <w:sz w:val="72"/>
          <w:szCs w:val="72"/>
        </w:rPr>
        <w:t>第四部分</w:t>
      </w:r>
      <w:r>
        <w:rPr>
          <w:rFonts w:hint="eastAsia" w:ascii="黑体" w:hAnsi="黑体" w:eastAsia="黑体" w:cs="黑体"/>
          <w:sz w:val="72"/>
          <w:szCs w:val="72"/>
          <w:lang w:val="en-US" w:eastAsia="zh-CN"/>
        </w:rPr>
        <w:t xml:space="preserve"> </w:t>
      </w:r>
      <w:r>
        <w:rPr>
          <w:rFonts w:hint="eastAsia" w:ascii="黑体" w:hAnsi="黑体" w:eastAsia="黑体" w:cs="黑体"/>
          <w:color w:val="000000"/>
          <w:kern w:val="0"/>
          <w:sz w:val="72"/>
          <w:szCs w:val="72"/>
        </w:rPr>
        <w:t>名词解释</w:t>
      </w:r>
    </w:p>
    <w:p>
      <w:pPr>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br w:type="page"/>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财政拨款收入：指本级财政当年拨付的资金。</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工资福利支出：反映单位开支的在职职工和编制外长期聘用人员的各类劳动报酬，以及为上述人员缴纳的各项社会保险费等。</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机关事业单位基本养老保险缴费：反映机关事业单位缴纳的基本养老保险费。由单位代扣的工作人员基本养老保险缴费，不在此科目反映。</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职业年金缴费：反映机关事业单位实际缴纳的职业年金支出。由单位代扣的工作人员职业年金缴费，不在此科目反映。</w:t>
      </w:r>
    </w:p>
    <w:p>
      <w:pPr>
        <w:keepNext w:val="0"/>
        <w:keepLines w:val="0"/>
        <w:pageBreakBefore w:val="0"/>
        <w:widowControl w:val="0"/>
        <w:numPr>
          <w:ilvl w:val="0"/>
          <w:numId w:val="1"/>
        </w:numPr>
        <w:kinsoku/>
        <w:wordWrap/>
        <w:overflowPunct/>
        <w:topLinePunct w:val="0"/>
        <w:bidi w:val="0"/>
        <w:snapToGrid/>
        <w:spacing w:line="60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2"/>
        <w:keepNext w:val="0"/>
        <w:keepLines w:val="0"/>
        <w:pageBreakBefore w:val="0"/>
        <w:widowControl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keepNext w:val="0"/>
        <w:keepLines w:val="0"/>
        <w:pageBreakBefore w:val="0"/>
        <w:widowControl w:val="0"/>
        <w:kinsoku/>
        <w:wordWrap/>
        <w:overflowPunct/>
        <w:topLinePunct w:val="0"/>
        <w:bidi w:val="0"/>
        <w:snapToGrid/>
        <w:spacing w:line="600" w:lineRule="exact"/>
        <w:ind w:firstLine="600" w:firstLineChars="200"/>
        <w:jc w:val="center"/>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pStyle w:val="12"/>
        <w:pageBreakBefore w:val="0"/>
        <w:kinsoku/>
        <w:wordWrap/>
        <w:overflowPunct/>
        <w:topLinePunct w:val="0"/>
        <w:bidi w:val="0"/>
        <w:snapToGrid/>
        <w:spacing w:line="600" w:lineRule="exact"/>
        <w:ind w:firstLine="600" w:firstLineChars="200"/>
        <w:jc w:val="both"/>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kern w:val="0"/>
          <w:sz w:val="72"/>
          <w:szCs w:val="72"/>
        </w:rPr>
      </w:pPr>
      <w:r>
        <w:rPr>
          <w:rFonts w:hint="eastAsia" w:ascii="黑体" w:hAnsi="黑体" w:eastAsia="黑体" w:cs="黑体"/>
          <w:sz w:val="72"/>
          <w:szCs w:val="72"/>
        </w:rPr>
        <w:t>第五部分</w:t>
      </w:r>
      <w:r>
        <w:rPr>
          <w:rFonts w:hint="eastAsia" w:ascii="黑体" w:hAnsi="黑体" w:eastAsia="黑体" w:cs="黑体"/>
          <w:sz w:val="72"/>
          <w:szCs w:val="72"/>
          <w:lang w:val="en-US" w:eastAsia="zh-CN"/>
        </w:rPr>
        <w:t xml:space="preserve"> </w:t>
      </w:r>
      <w:r>
        <w:rPr>
          <w:rFonts w:hint="eastAsia" w:ascii="黑体" w:hAnsi="黑体" w:eastAsia="黑体" w:cs="黑体"/>
          <w:color w:val="000000"/>
          <w:kern w:val="0"/>
          <w:sz w:val="72"/>
          <w:szCs w:val="72"/>
        </w:rPr>
        <w:t>附件</w:t>
      </w:r>
    </w:p>
    <w:p>
      <w:pPr>
        <w:pageBreakBefore w:val="0"/>
        <w:widowControl/>
        <w:kinsoku/>
        <w:wordWrap/>
        <w:overflowPunct/>
        <w:topLinePunct w:val="0"/>
        <w:bidi w:val="0"/>
        <w:snapToGrid/>
        <w:spacing w:line="60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br w:type="page"/>
      </w:r>
    </w:p>
    <w:p>
      <w:pPr>
        <w:pageBreakBefore w:val="0"/>
        <w:kinsoku/>
        <w:wordWrap/>
        <w:overflowPunct/>
        <w:topLinePunct w:val="0"/>
        <w:bidi w:val="0"/>
        <w:snapToGrid/>
        <w:spacing w:line="600" w:lineRule="exact"/>
        <w:ind w:firstLine="720" w:firstLineChars="200"/>
        <w:jc w:val="center"/>
        <w:textAlignment w:val="auto"/>
        <w:rPr>
          <w:rFonts w:hint="eastAsia" w:ascii="黑体" w:hAnsi="黑体" w:eastAsia="黑体" w:cs="黑体"/>
          <w:bCs/>
          <w:sz w:val="36"/>
          <w:szCs w:val="36"/>
        </w:rPr>
      </w:pPr>
    </w:p>
    <w:p>
      <w:pPr>
        <w:pageBreakBefore w:val="0"/>
        <w:kinsoku/>
        <w:wordWrap/>
        <w:overflowPunct/>
        <w:topLinePunct w:val="0"/>
        <w:bidi w:val="0"/>
        <w:snapToGrid/>
        <w:spacing w:line="600" w:lineRule="exact"/>
        <w:jc w:val="center"/>
        <w:textAlignment w:val="auto"/>
        <w:rPr>
          <w:rFonts w:hint="eastAsia" w:ascii="仿宋" w:hAnsi="仿宋" w:eastAsia="仿宋" w:cs="仿宋"/>
          <w:bCs/>
          <w:sz w:val="30"/>
          <w:szCs w:val="30"/>
        </w:rPr>
      </w:pPr>
      <w:r>
        <w:rPr>
          <w:rFonts w:hint="eastAsia" w:ascii="黑体" w:hAnsi="黑体" w:eastAsia="黑体" w:cs="黑体"/>
          <w:bCs/>
          <w:sz w:val="36"/>
          <w:szCs w:val="36"/>
        </w:rPr>
        <w:t>益阳市赫山区国有土地上房屋征收与补偿</w:t>
      </w:r>
      <w:r>
        <w:rPr>
          <w:rFonts w:hint="eastAsia" w:ascii="黑体" w:hAnsi="黑体" w:eastAsia="黑体" w:cs="黑体"/>
          <w:bCs/>
          <w:sz w:val="36"/>
          <w:szCs w:val="36"/>
          <w:lang w:eastAsia="zh-CN"/>
        </w:rPr>
        <w:t>事务中心2022年</w:t>
      </w:r>
      <w:r>
        <w:rPr>
          <w:rFonts w:hint="eastAsia" w:ascii="黑体" w:hAnsi="黑体" w:eastAsia="黑体" w:cs="黑体"/>
          <w:bCs/>
          <w:sz w:val="36"/>
          <w:szCs w:val="36"/>
        </w:rPr>
        <w:t>度部门整体支出绩效评价报告</w:t>
      </w:r>
    </w:p>
    <w:p>
      <w:pPr>
        <w:pageBreakBefore w:val="0"/>
        <w:kinsoku/>
        <w:wordWrap/>
        <w:overflowPunct/>
        <w:topLinePunct w:val="0"/>
        <w:bidi w:val="0"/>
        <w:snapToGrid/>
        <w:spacing w:line="600" w:lineRule="exact"/>
        <w:ind w:firstLine="600" w:firstLineChars="200"/>
        <w:jc w:val="center"/>
        <w:textAlignment w:val="auto"/>
        <w:rPr>
          <w:rFonts w:hint="eastAsia" w:ascii="仿宋" w:hAnsi="仿宋" w:eastAsia="仿宋" w:cs="仿宋"/>
          <w:bCs/>
          <w:sz w:val="30"/>
          <w:szCs w:val="30"/>
        </w:rPr>
      </w:pPr>
    </w:p>
    <w:p>
      <w:pPr>
        <w:pageBreakBefore w:val="0"/>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为切实做好</w:t>
      </w:r>
      <w:r>
        <w:rPr>
          <w:rFonts w:hint="eastAsia" w:ascii="仿宋" w:hAnsi="仿宋" w:eastAsia="仿宋" w:cs="仿宋"/>
          <w:sz w:val="30"/>
          <w:szCs w:val="30"/>
          <w:lang w:eastAsia="zh-CN"/>
        </w:rPr>
        <w:t>2022年</w:t>
      </w:r>
      <w:r>
        <w:rPr>
          <w:rFonts w:hint="eastAsia" w:ascii="仿宋" w:hAnsi="仿宋" w:eastAsia="仿宋" w:cs="仿宋"/>
          <w:sz w:val="30"/>
          <w:szCs w:val="30"/>
        </w:rPr>
        <w:t>度预算绩效自评工作，提高财政资金使用效益，根据《益阳市赫山区财政局关于做好</w:t>
      </w:r>
      <w:r>
        <w:rPr>
          <w:rFonts w:hint="eastAsia" w:ascii="仿宋" w:hAnsi="仿宋" w:eastAsia="仿宋" w:cs="仿宋"/>
          <w:sz w:val="30"/>
          <w:szCs w:val="30"/>
          <w:lang w:eastAsia="zh-CN"/>
        </w:rPr>
        <w:t>2022年</w:t>
      </w:r>
      <w:r>
        <w:rPr>
          <w:rFonts w:hint="eastAsia" w:ascii="仿宋" w:hAnsi="仿宋" w:eastAsia="仿宋" w:cs="仿宋"/>
          <w:sz w:val="30"/>
          <w:szCs w:val="30"/>
        </w:rPr>
        <w:t>度预算绩效自评工作的通知》（益赫财绩〔2022〕1号）文件精神，并结合实际，现将我中心整体支出绩效自评结果报告如下：</w:t>
      </w:r>
    </w:p>
    <w:p>
      <w:pPr>
        <w:pageBreakBefore w:val="0"/>
        <w:kinsoku/>
        <w:wordWrap/>
        <w:overflowPunct/>
        <w:topLinePunct w:val="0"/>
        <w:bidi w:val="0"/>
        <w:snapToGrid/>
        <w:spacing w:line="600" w:lineRule="exact"/>
        <w:ind w:firstLine="600"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一、部门基本情况</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val="0"/>
          <w:sz w:val="30"/>
          <w:szCs w:val="30"/>
        </w:rPr>
      </w:pPr>
      <w:r>
        <w:rPr>
          <w:rFonts w:hint="eastAsia" w:ascii="仿宋" w:hAnsi="仿宋" w:eastAsia="仿宋" w:cs="仿宋"/>
          <w:b/>
          <w:bCs w:val="0"/>
          <w:sz w:val="30"/>
          <w:szCs w:val="30"/>
        </w:rPr>
        <w:t>（一）机构、人员构成</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赫山区征补事务中心为区人民政府直属正科级事业单位，内</w:t>
      </w:r>
      <w:r>
        <w:rPr>
          <w:rFonts w:hint="eastAsia" w:ascii="仿宋" w:hAnsi="仿宋" w:eastAsia="仿宋" w:cs="仿宋"/>
          <w:bCs/>
          <w:sz w:val="30"/>
          <w:szCs w:val="30"/>
        </w:rPr>
        <w:t>设4个股室</w:t>
      </w:r>
      <w:r>
        <w:rPr>
          <w:rFonts w:hint="eastAsia" w:ascii="仿宋" w:hAnsi="仿宋" w:eastAsia="仿宋" w:cs="仿宋"/>
          <w:sz w:val="30"/>
          <w:szCs w:val="30"/>
        </w:rPr>
        <w:t>：办公室、财务股、安置股、法制股，另有</w:t>
      </w:r>
      <w:r>
        <w:rPr>
          <w:rFonts w:hint="eastAsia" w:ascii="仿宋" w:hAnsi="仿宋" w:eastAsia="仿宋" w:cs="仿宋"/>
          <w:bCs/>
          <w:sz w:val="30"/>
          <w:szCs w:val="30"/>
        </w:rPr>
        <w:t>归口区征补事务中心管理的两个股级公益一类事业单位益阳市赫山区房屋征收与补偿事务所和益阳市赫山区征地拆迁事务所</w:t>
      </w:r>
      <w:r>
        <w:rPr>
          <w:rFonts w:hint="eastAsia" w:ascii="仿宋" w:hAnsi="仿宋" w:eastAsia="仿宋" w:cs="仿宋"/>
          <w:sz w:val="30"/>
          <w:szCs w:val="30"/>
        </w:rPr>
        <w:t>。本单位现有在职职工2</w:t>
      </w:r>
      <w:r>
        <w:rPr>
          <w:rFonts w:hint="eastAsia" w:ascii="仿宋" w:hAnsi="仿宋" w:eastAsia="仿宋" w:cs="仿宋"/>
          <w:sz w:val="30"/>
          <w:szCs w:val="30"/>
          <w:lang w:val="en-US" w:eastAsia="zh-CN"/>
        </w:rPr>
        <w:t>3</w:t>
      </w:r>
      <w:r>
        <w:rPr>
          <w:rFonts w:hint="eastAsia" w:ascii="仿宋" w:hAnsi="仿宋" w:eastAsia="仿宋" w:cs="仿宋"/>
          <w:sz w:val="30"/>
          <w:szCs w:val="30"/>
        </w:rPr>
        <w:t>人。</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val="0"/>
          <w:sz w:val="30"/>
          <w:szCs w:val="30"/>
        </w:rPr>
      </w:pPr>
      <w:r>
        <w:rPr>
          <w:rFonts w:hint="eastAsia" w:ascii="仿宋" w:hAnsi="仿宋" w:eastAsia="仿宋" w:cs="仿宋"/>
          <w:b/>
          <w:bCs w:val="0"/>
          <w:sz w:val="30"/>
          <w:szCs w:val="30"/>
        </w:rPr>
        <w:t>（二）单位主要职能职责</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1.贯彻落实国有土地上房屋征收与补偿的有关政策、法规。</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2.负责编制全区国有土地上房屋征收与补偿年度计划；负责全区国有土地上房屋征收与补偿资金的调度和管理。</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3.组织协调全区国有土地上房屋征收及社会稳定风险评估工作，负责全区国有土地上房屋拆除资质管理的工作。</w:t>
      </w:r>
    </w:p>
    <w:p>
      <w:pPr>
        <w:pageBreakBefore w:val="0"/>
        <w:kinsoku/>
        <w:wordWrap/>
        <w:overflowPunct/>
        <w:topLinePunct w:val="0"/>
        <w:autoSpaceDN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4.负责城区农村居民住房安置工作，特别是“两转变、一纳入”工作。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受市人民政府委托负责</w:t>
      </w:r>
      <w:r>
        <w:rPr>
          <w:rFonts w:hint="eastAsia" w:ascii="仿宋" w:hAnsi="仿宋" w:eastAsia="仿宋" w:cs="仿宋"/>
          <w:sz w:val="30"/>
          <w:szCs w:val="30"/>
        </w:rPr>
        <w:t>组织开展全区集体土地上项目现状调查和登记工作；组织审核认定房屋面积的合法性和住房货币安置补助人口；组织审定征拆工作资料的真实性、合法性；组织审查需申请人民法院强制执行的事项；编制报送征地项目的补偿安置、概预算方案；组织实施征拆安置工作。</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sz w:val="30"/>
          <w:szCs w:val="30"/>
        </w:rPr>
        <w:t>6.承办区人民政府交办的其他事项。</w:t>
      </w:r>
    </w:p>
    <w:p>
      <w:pPr>
        <w:pageBreakBefore w:val="0"/>
        <w:kinsoku/>
        <w:wordWrap/>
        <w:overflowPunct/>
        <w:topLinePunct w:val="0"/>
        <w:bidi w:val="0"/>
        <w:snapToGrid/>
        <w:spacing w:line="600" w:lineRule="exact"/>
        <w:ind w:firstLine="600" w:firstLineChars="200"/>
        <w:textAlignment w:val="auto"/>
        <w:rPr>
          <w:rFonts w:hint="eastAsia" w:ascii="黑体" w:hAnsi="黑体" w:eastAsia="黑体" w:cs="黑体"/>
          <w:bCs/>
          <w:sz w:val="30"/>
          <w:szCs w:val="30"/>
        </w:rPr>
      </w:pPr>
      <w:r>
        <w:rPr>
          <w:rFonts w:hint="eastAsia" w:ascii="黑体" w:hAnsi="黑体" w:eastAsia="黑体" w:cs="黑体"/>
          <w:bCs/>
          <w:sz w:val="30"/>
          <w:szCs w:val="30"/>
        </w:rPr>
        <w:t>二、一般公共预算支出情况</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w:t>
      </w:r>
      <w:r>
        <w:rPr>
          <w:rFonts w:hint="eastAsia" w:ascii="仿宋" w:hAnsi="仿宋" w:eastAsia="仿宋" w:cs="仿宋"/>
          <w:sz w:val="30"/>
          <w:szCs w:val="30"/>
          <w:lang w:eastAsia="zh-CN"/>
        </w:rPr>
        <w:t>2022年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398.09</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w:t>
      </w:r>
      <w:r>
        <w:rPr>
          <w:rFonts w:hint="eastAsia" w:ascii="仿宋" w:hAnsi="仿宋" w:eastAsia="仿宋" w:cs="仿宋"/>
          <w:color w:val="000000"/>
          <w:kern w:val="0"/>
          <w:sz w:val="30"/>
          <w:szCs w:val="30"/>
          <w:lang w:val="en-US" w:eastAsia="zh-CN" w:bidi="ar-SA"/>
        </w:rPr>
        <w:t>增加112.79万元，增加39.53%</w:t>
      </w:r>
      <w:r>
        <w:rPr>
          <w:rFonts w:hint="eastAsia" w:ascii="仿宋" w:hAnsi="仿宋" w:eastAsia="仿宋" w:cs="仿宋"/>
          <w:i w:val="0"/>
          <w:caps w:val="0"/>
          <w:color w:val="333333"/>
          <w:spacing w:val="0"/>
          <w:kern w:val="0"/>
          <w:sz w:val="30"/>
          <w:szCs w:val="30"/>
          <w:shd w:val="clear" w:fill="FFFFFF"/>
          <w:lang w:val="en-US" w:eastAsia="zh-CN" w:bidi="ar"/>
        </w:rPr>
        <w:t>，其中人员经费支出248.26万元，占基本支出的61.83%，较上年增加54.29%，主要是由于原因:全额拨款人员增加、部分人员工资改为预算资金发放；公用经费支出支出149.83万元,占基本支出的 37.64%,较上年增加20.44%，主要是由于征拆项目增加。</w:t>
      </w:r>
    </w:p>
    <w:p>
      <w:pPr>
        <w:keepNext w:val="0"/>
        <w:keepLines w:val="0"/>
        <w:pageBreakBefore w:val="0"/>
        <w:numPr>
          <w:ilvl w:val="0"/>
          <w:numId w:val="2"/>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项目支出是指单位为完成特定行政工作任务或事业发展目标而发生的支出。2022年项目支出0万元。</w:t>
      </w:r>
    </w:p>
    <w:p>
      <w:pPr>
        <w:pStyle w:val="13"/>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三、政府性基金预算支出情况</w:t>
      </w:r>
    </w:p>
    <w:p>
      <w:pPr>
        <w:pStyle w:val="13"/>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13"/>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default" w:ascii="黑体" w:hAnsi="黑体" w:eastAsia="黑体" w:cs="黑体"/>
          <w:sz w:val="30"/>
          <w:szCs w:val="30"/>
          <w:lang w:val="en-US" w:eastAsia="zh-CN"/>
        </w:rPr>
        <w:t>四、</w:t>
      </w:r>
      <w:r>
        <w:rPr>
          <w:rFonts w:hint="eastAsia" w:ascii="黑体" w:hAnsi="黑体" w:eastAsia="黑体" w:cs="黑体"/>
          <w:sz w:val="30"/>
          <w:szCs w:val="30"/>
          <w:lang w:val="en-US" w:eastAsia="zh-CN"/>
        </w:rPr>
        <w:t>国有资本经营预算支出情况</w:t>
      </w:r>
    </w:p>
    <w:p>
      <w:pPr>
        <w:pStyle w:val="13"/>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13"/>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五、社会保险基金预算支出情况</w:t>
      </w:r>
    </w:p>
    <w:p>
      <w:pPr>
        <w:pStyle w:val="13"/>
        <w:pageBreakBefore w:val="0"/>
        <w:kinsoku/>
        <w:wordWrap/>
        <w:overflowPunct/>
        <w:topLinePunct w:val="0"/>
        <w:bidi w:val="0"/>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无</w:t>
      </w:r>
    </w:p>
    <w:p>
      <w:pPr>
        <w:pStyle w:val="13"/>
        <w:pageBreakBefore w:val="0"/>
        <w:kinsoku/>
        <w:wordWrap/>
        <w:overflowPunct/>
        <w:topLinePunct w:val="0"/>
        <w:bidi w:val="0"/>
        <w:snapToGrid/>
        <w:spacing w:line="60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六、部门整体支出绩效评价情况</w:t>
      </w:r>
    </w:p>
    <w:p>
      <w:pPr>
        <w:pStyle w:val="7"/>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lang w:eastAsia="zh-CN"/>
        </w:rPr>
        <w:t>2022年</w:t>
      </w:r>
      <w:r>
        <w:rPr>
          <w:rFonts w:hint="eastAsia" w:ascii="仿宋" w:hAnsi="仿宋" w:eastAsia="仿宋" w:cs="仿宋"/>
          <w:color w:val="333333"/>
          <w:sz w:val="30"/>
          <w:szCs w:val="30"/>
        </w:rPr>
        <w:t>按照上级要求，我中心在赫山区门户网站上进行了预决算公开，严格按照年初预算进行部门整体支出。</w:t>
      </w:r>
    </w:p>
    <w:p>
      <w:pPr>
        <w:pStyle w:val="7"/>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（一）资产管理：</w:t>
      </w:r>
      <w:r>
        <w:rPr>
          <w:rFonts w:hint="eastAsia" w:ascii="仿宋" w:hAnsi="仿宋" w:eastAsia="仿宋" w:cs="仿宋"/>
          <w:color w:val="333333"/>
          <w:sz w:val="30"/>
          <w:szCs w:val="30"/>
        </w:rPr>
        <w:t>我中心加强资产管理，将管理制度落实到经费使用全过程，明确了具体责任人，严格报批、销审等手续，单位无任何资产流失现象。</w:t>
      </w:r>
    </w:p>
    <w:p>
      <w:pPr>
        <w:pStyle w:val="7"/>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（二）“三公经费”控制情况：</w:t>
      </w:r>
      <w:r>
        <w:rPr>
          <w:rFonts w:hint="eastAsia" w:ascii="仿宋" w:hAnsi="仿宋" w:eastAsia="仿宋" w:cs="仿宋"/>
          <w:color w:val="333333"/>
          <w:sz w:val="30"/>
          <w:szCs w:val="30"/>
        </w:rPr>
        <w:t>贯彻落实上级有关精神，严格控制“三公经费”支出，“三公”经费支出总额较上年度减少。</w:t>
      </w:r>
    </w:p>
    <w:p>
      <w:pPr>
        <w:pStyle w:val="7"/>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（三）运行成本：</w:t>
      </w:r>
      <w:r>
        <w:rPr>
          <w:rFonts w:hint="eastAsia" w:ascii="仿宋" w:hAnsi="仿宋" w:eastAsia="仿宋" w:cs="仿宋"/>
          <w:color w:val="333333"/>
          <w:sz w:val="30"/>
          <w:szCs w:val="30"/>
        </w:rPr>
        <w:t>本年预算配置控制较好，财政供养人员控制在预算编制以内，编制内在职人员控制率100%。</w:t>
      </w:r>
    </w:p>
    <w:p>
      <w:pPr>
        <w:pStyle w:val="7"/>
        <w:pageBreakBefore w:val="0"/>
        <w:shd w:val="clear" w:color="auto" w:fill="FFFFFF"/>
        <w:kinsoku/>
        <w:wordWrap/>
        <w:overflowPunct/>
        <w:topLinePunct w:val="0"/>
        <w:bidi w:val="0"/>
        <w:snapToGrid/>
        <w:spacing w:before="0" w:beforeAutospacing="0" w:after="0" w:afterAutospacing="0" w:line="600" w:lineRule="exact"/>
        <w:ind w:firstLine="602" w:firstLineChars="200"/>
        <w:jc w:val="both"/>
        <w:textAlignment w:val="auto"/>
        <w:rPr>
          <w:rFonts w:hint="eastAsia" w:ascii="仿宋" w:hAnsi="仿宋" w:eastAsia="仿宋" w:cs="仿宋"/>
          <w:color w:val="333333"/>
          <w:sz w:val="30"/>
          <w:szCs w:val="30"/>
        </w:rPr>
      </w:pPr>
      <w:r>
        <w:rPr>
          <w:rFonts w:hint="eastAsia" w:ascii="仿宋" w:hAnsi="仿宋" w:eastAsia="仿宋" w:cs="仿宋"/>
          <w:b/>
          <w:bCs/>
          <w:color w:val="333333"/>
          <w:sz w:val="30"/>
          <w:szCs w:val="30"/>
        </w:rPr>
        <w:t>（四）管理效率：</w:t>
      </w:r>
      <w:r>
        <w:rPr>
          <w:rFonts w:hint="eastAsia" w:ascii="仿宋" w:hAnsi="仿宋" w:eastAsia="仿宋" w:cs="仿宋"/>
          <w:color w:val="333333"/>
          <w:sz w:val="30"/>
          <w:szCs w:val="30"/>
        </w:rPr>
        <w:t>根据资金到位的情况，按照年初计划，加强自身建设，忠诚履职，如期完成了各项工作，取得了明显成效。</w:t>
      </w:r>
    </w:p>
    <w:p>
      <w:pPr>
        <w:pageBreakBefore w:val="0"/>
        <w:kinsoku/>
        <w:wordWrap/>
        <w:overflowPunct/>
        <w:topLinePunct w:val="0"/>
        <w:bidi w:val="0"/>
        <w:snapToGrid/>
        <w:spacing w:line="600" w:lineRule="exact"/>
        <w:ind w:firstLine="602" w:firstLineChars="200"/>
        <w:textAlignment w:val="auto"/>
        <w:rPr>
          <w:rFonts w:hint="eastAsia" w:ascii="仿宋" w:hAnsi="仿宋" w:eastAsia="仿宋" w:cs="仿宋"/>
          <w:sz w:val="30"/>
          <w:szCs w:val="30"/>
          <w:lang w:eastAsia="zh-CN"/>
        </w:rPr>
      </w:pPr>
      <w:r>
        <w:rPr>
          <w:rFonts w:hint="eastAsia" w:ascii="仿宋" w:hAnsi="仿宋" w:eastAsia="仿宋" w:cs="仿宋"/>
          <w:b/>
          <w:bCs/>
          <w:color w:val="333333"/>
          <w:sz w:val="30"/>
          <w:szCs w:val="30"/>
        </w:rPr>
        <w:t>（五）社会效应：</w:t>
      </w:r>
      <w:r>
        <w:rPr>
          <w:rFonts w:hint="eastAsia" w:ascii="仿宋" w:hAnsi="仿宋" w:eastAsia="仿宋" w:cs="仿宋"/>
          <w:color w:val="000000"/>
          <w:sz w:val="30"/>
          <w:szCs w:val="30"/>
          <w:lang w:eastAsia="zh-CN"/>
        </w:rPr>
        <w:t>认</w:t>
      </w:r>
      <w:r>
        <w:rPr>
          <w:rFonts w:hint="eastAsia" w:ascii="仿宋" w:hAnsi="仿宋" w:eastAsia="仿宋" w:cs="仿宋"/>
          <w:color w:val="000000"/>
          <w:sz w:val="30"/>
          <w:szCs w:val="30"/>
        </w:rPr>
        <w:t>真贯彻落实征拆政策，充分履职，攻坚克难，全力推进</w:t>
      </w:r>
      <w:r>
        <w:rPr>
          <w:rFonts w:hint="eastAsia" w:ascii="仿宋" w:hAnsi="仿宋" w:eastAsia="仿宋" w:cs="仿宋"/>
          <w:sz w:val="30"/>
          <w:szCs w:val="30"/>
        </w:rPr>
        <w:t>重点项目征拆工作</w:t>
      </w:r>
      <w:r>
        <w:rPr>
          <w:rFonts w:hint="eastAsia" w:ascii="仿宋" w:hAnsi="仿宋" w:eastAsia="仿宋" w:cs="仿宋"/>
          <w:color w:val="000000"/>
          <w:sz w:val="30"/>
          <w:szCs w:val="30"/>
        </w:rPr>
        <w:t>。积极做好了常益长高铁、宁韶高速、益平高速等项目征拆扫尾工作，保障了项目的顺利建设；</w:t>
      </w:r>
      <w:r>
        <w:rPr>
          <w:rFonts w:hint="eastAsia" w:ascii="仿宋_GB2312" w:hAnsi="仿宋_GB2312" w:eastAsia="仿宋_GB2312" w:cs="仿宋_GB2312"/>
          <w:sz w:val="32"/>
          <w:szCs w:val="32"/>
        </w:rPr>
        <w:t>攻克了一批重点难点项目。益阳火电厂第三期、G536五里牌至新市渡公路、龙洲中学改扩建、农科所棚改、桥南棚改、针织新村棚改和三周文化馆等23个项目完成征拆任务。顶鼎家具、剧院路、风山路等5个项目完成协议签订工作。特别是</w:t>
      </w:r>
      <w:r>
        <w:rPr>
          <w:rFonts w:hint="eastAsia" w:ascii="仿宋_GB2312" w:hAnsi="黑体" w:eastAsia="仿宋_GB2312"/>
          <w:sz w:val="32"/>
          <w:szCs w:val="32"/>
        </w:rPr>
        <w:t>农科所、针织新村、桥南棚改等多年遗留的项目实现重大突破，全面完成拆迁任务。</w:t>
      </w:r>
      <w:r>
        <w:rPr>
          <w:rFonts w:hint="eastAsia" w:ascii="仿宋_GB2312" w:hAnsi="仿宋_GB2312" w:eastAsia="仿宋_GB2312" w:cs="仿宋_GB2312"/>
          <w:sz w:val="32"/>
          <w:szCs w:val="32"/>
        </w:rPr>
        <w:t>G234赫山区谢林港至桃江石洞公路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团洲北路棚改项目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益阳茶厂棚改项目</w:t>
      </w:r>
      <w:r>
        <w:rPr>
          <w:rFonts w:hint="eastAsia" w:ascii="仿宋_GB2312" w:hAnsi="仿宋_GB2312" w:eastAsia="仿宋_GB2312" w:cs="仿宋_GB2312"/>
          <w:sz w:val="32"/>
          <w:szCs w:val="32"/>
          <w:lang w:val="en-US" w:eastAsia="zh-CN"/>
        </w:rPr>
        <w:t>取得了积极进展。</w:t>
      </w:r>
      <w:r>
        <w:rPr>
          <w:rFonts w:hint="eastAsia" w:ascii="仿宋" w:hAnsi="仿宋" w:eastAsia="仿宋" w:cs="仿宋"/>
          <w:color w:val="000000"/>
          <w:sz w:val="30"/>
          <w:szCs w:val="30"/>
        </w:rPr>
        <w:t>与此同时，</w:t>
      </w:r>
      <w:r>
        <w:rPr>
          <w:rFonts w:hint="eastAsia" w:ascii="仿宋" w:hAnsi="仿宋" w:eastAsia="仿宋" w:cs="仿宋"/>
          <w:sz w:val="30"/>
          <w:szCs w:val="30"/>
        </w:rPr>
        <w:t>统筹兼顾，全力做好</w:t>
      </w:r>
      <w:r>
        <w:rPr>
          <w:rFonts w:hint="eastAsia" w:ascii="仿宋" w:hAnsi="仿宋" w:eastAsia="仿宋" w:cs="仿宋"/>
          <w:sz w:val="30"/>
          <w:szCs w:val="30"/>
          <w:lang w:val="en-US" w:eastAsia="zh-CN"/>
        </w:rPr>
        <w:t>了</w:t>
      </w:r>
      <w:r>
        <w:rPr>
          <w:rFonts w:hint="eastAsia" w:ascii="仿宋" w:hAnsi="仿宋" w:eastAsia="仿宋" w:cs="仿宋"/>
          <w:sz w:val="30"/>
          <w:szCs w:val="30"/>
        </w:rPr>
        <w:t>疫情防控、乡村振兴、创文创卫等其它中心工作</w:t>
      </w:r>
      <w:r>
        <w:rPr>
          <w:rFonts w:hint="eastAsia" w:ascii="仿宋" w:hAnsi="仿宋" w:eastAsia="仿宋" w:cs="仿宋"/>
          <w:sz w:val="30"/>
          <w:szCs w:val="30"/>
          <w:lang w:eastAsia="zh-CN"/>
        </w:rPr>
        <w:t>。</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p>
    <w:p>
      <w:pPr>
        <w:pStyle w:val="7"/>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黑体" w:hAnsi="黑体" w:eastAsia="黑体" w:cs="黑体"/>
          <w:bCs/>
          <w:sz w:val="30"/>
          <w:szCs w:val="30"/>
        </w:rPr>
      </w:pPr>
      <w:r>
        <w:rPr>
          <w:rFonts w:hint="eastAsia" w:ascii="黑体" w:hAnsi="黑体" w:eastAsia="黑体" w:cs="黑体"/>
          <w:color w:val="333333"/>
          <w:sz w:val="30"/>
          <w:szCs w:val="30"/>
        </w:rPr>
        <w:t>七、</w:t>
      </w:r>
      <w:r>
        <w:rPr>
          <w:rFonts w:hint="eastAsia" w:ascii="黑体" w:hAnsi="黑体" w:eastAsia="黑体" w:cs="黑体"/>
          <w:bCs/>
          <w:sz w:val="30"/>
          <w:szCs w:val="30"/>
        </w:rPr>
        <w:t>存在的问题及原因分析</w:t>
      </w:r>
    </w:p>
    <w:p>
      <w:pPr>
        <w:pageBreakBefore w:val="0"/>
        <w:kinsoku/>
        <w:wordWrap/>
        <w:overflowPunct/>
        <w:topLinePunct w:val="0"/>
        <w:bidi w:val="0"/>
        <w:snapToGrid/>
        <w:spacing w:line="60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color w:val="333333"/>
          <w:sz w:val="30"/>
          <w:szCs w:val="30"/>
          <w:shd w:val="clear" w:color="auto" w:fill="FFFFFF"/>
        </w:rPr>
        <w:t>部分制度不够健全，执行不够严格，内部控制有待进一步加强。</w:t>
      </w:r>
    </w:p>
    <w:p>
      <w:pPr>
        <w:pStyle w:val="7"/>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lang w:val="en-US" w:eastAsia="zh-CN"/>
        </w:rPr>
        <w:t>八、</w:t>
      </w:r>
      <w:r>
        <w:rPr>
          <w:rFonts w:hint="eastAsia" w:ascii="黑体" w:hAnsi="黑体" w:eastAsia="黑体" w:cs="黑体"/>
          <w:color w:val="333333"/>
          <w:sz w:val="30"/>
          <w:szCs w:val="30"/>
        </w:rPr>
        <w:t>下一步改进措施</w:t>
      </w:r>
    </w:p>
    <w:p>
      <w:pPr>
        <w:pStyle w:val="7"/>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（一）细化预算编制工作，进一步提高预算编制的科学性、合理性、严谨性和可控性。</w:t>
      </w:r>
    </w:p>
    <w:p>
      <w:pPr>
        <w:pStyle w:val="7"/>
        <w:pageBreakBefore w:val="0"/>
        <w:shd w:val="clear" w:color="auto" w:fill="FFFFFF"/>
        <w:kinsoku/>
        <w:wordWrap/>
        <w:overflowPunct/>
        <w:topLinePunct w:val="0"/>
        <w:bidi w:val="0"/>
        <w:snapToGrid/>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（二）在日常预算管理过程中，进一步加强预算支出的审核、跟踪及预算执行情况分析。</w:t>
      </w:r>
    </w:p>
    <w:p>
      <w:pPr>
        <w:ind w:firstLine="640" w:firstLineChars="200"/>
        <w:jc w:val="left"/>
        <w:rPr>
          <w:rFonts w:cs="黑体" w:asciiTheme="minorEastAsia" w:hAnsiTheme="minorEastAsia"/>
          <w:color w:val="000000"/>
          <w:kern w:val="0"/>
          <w:sz w:val="32"/>
          <w:szCs w:val="32"/>
        </w:rPr>
      </w:pPr>
    </w:p>
    <w:sectPr>
      <w:pgSz w:w="11906" w:h="16838"/>
      <w:pgMar w:top="1134" w:right="1531" w:bottom="113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DEBB9"/>
    <w:multiLevelType w:val="singleLevel"/>
    <w:tmpl w:val="14DDEBB9"/>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4B7D5222"/>
    <w:multiLevelType w:val="singleLevel"/>
    <w:tmpl w:val="4B7D522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YWM3MTVlYjIyNmZmYjg4M2Y5MDQ4MDhkYWYyYT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43BF5"/>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A3FDF"/>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553F6E"/>
    <w:rsid w:val="071916D6"/>
    <w:rsid w:val="0B697AD8"/>
    <w:rsid w:val="0B967106"/>
    <w:rsid w:val="0C194A5A"/>
    <w:rsid w:val="0F277BF2"/>
    <w:rsid w:val="104C2951"/>
    <w:rsid w:val="11CB1D14"/>
    <w:rsid w:val="12107727"/>
    <w:rsid w:val="133D0DDE"/>
    <w:rsid w:val="153425B3"/>
    <w:rsid w:val="15C30CA1"/>
    <w:rsid w:val="1A656DD1"/>
    <w:rsid w:val="1AD56DC2"/>
    <w:rsid w:val="1B6B20DE"/>
    <w:rsid w:val="1E155965"/>
    <w:rsid w:val="1F417171"/>
    <w:rsid w:val="2154235D"/>
    <w:rsid w:val="21630AD9"/>
    <w:rsid w:val="224408B1"/>
    <w:rsid w:val="28921A39"/>
    <w:rsid w:val="292B2153"/>
    <w:rsid w:val="2FC8743B"/>
    <w:rsid w:val="31201A1E"/>
    <w:rsid w:val="32224348"/>
    <w:rsid w:val="32A60720"/>
    <w:rsid w:val="35E0707D"/>
    <w:rsid w:val="35E509EC"/>
    <w:rsid w:val="387B2ECD"/>
    <w:rsid w:val="39F727BE"/>
    <w:rsid w:val="3C243C4B"/>
    <w:rsid w:val="3E5C21B7"/>
    <w:rsid w:val="3E7D521D"/>
    <w:rsid w:val="3FFF47B3"/>
    <w:rsid w:val="42215AD8"/>
    <w:rsid w:val="477901EF"/>
    <w:rsid w:val="4AA037A5"/>
    <w:rsid w:val="4D634893"/>
    <w:rsid w:val="4DD16FFA"/>
    <w:rsid w:val="4ED24C6B"/>
    <w:rsid w:val="4F755E28"/>
    <w:rsid w:val="50886614"/>
    <w:rsid w:val="51107F72"/>
    <w:rsid w:val="540F68E3"/>
    <w:rsid w:val="59B83147"/>
    <w:rsid w:val="5A85738C"/>
    <w:rsid w:val="5CB77B83"/>
    <w:rsid w:val="5FC50C55"/>
    <w:rsid w:val="635A4F4C"/>
    <w:rsid w:val="68F361EA"/>
    <w:rsid w:val="6BBE3D22"/>
    <w:rsid w:val="6F677E76"/>
    <w:rsid w:val="724B66A3"/>
    <w:rsid w:val="73BE3A62"/>
    <w:rsid w:val="742E22AA"/>
    <w:rsid w:val="77AC6F6D"/>
    <w:rsid w:val="78634363"/>
    <w:rsid w:val="7A8A5C1C"/>
    <w:rsid w:val="7BFF12C3"/>
    <w:rsid w:val="7CA97E50"/>
    <w:rsid w:val="7D513695"/>
    <w:rsid w:val="7FCD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opLinePunct/>
    </w:pPr>
    <w:rPr>
      <w:rFonts w:hint="eastAsia"/>
      <w:szCs w:val="24"/>
    </w:rPr>
  </w:style>
  <w:style w:type="paragraph" w:styleId="7">
    <w:name w:val="Normal (Web)"/>
    <w:basedOn w:val="1"/>
    <w:next w:val="1"/>
    <w:unhideWhenUsed/>
    <w:qFormat/>
    <w:uiPriority w:val="99"/>
    <w:pPr>
      <w:spacing w:before="100" w:beforeAutospacing="1" w:after="100" w:afterAutospacing="1"/>
      <w:jc w:val="left"/>
    </w:pPr>
    <w:rPr>
      <w:rFonts w:hint="default"/>
      <w:kern w:val="0"/>
      <w:sz w:val="24"/>
      <w:szCs w:val="24"/>
      <w:lang w:val="en-US" w:eastAsia="zh-CN"/>
    </w:r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sz w:val="18"/>
      <w:szCs w:val="18"/>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5911</Words>
  <Characters>6396</Characters>
  <Lines>69</Lines>
  <Paragraphs>19</Paragraphs>
  <TotalTime>20</TotalTime>
  <ScaleCrop>false</ScaleCrop>
  <LinksUpToDate>false</LinksUpToDate>
  <CharactersWithSpaces>6413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lenovo</cp:lastModifiedBy>
  <cp:lastPrinted>2022-07-27T12:55:00Z</cp:lastPrinted>
  <dcterms:modified xsi:type="dcterms:W3CDTF">2023-09-18T08:42:21Z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BC3CD6086C314A14ABCAF3CDA04707DF_13</vt:lpwstr>
  </property>
</Properties>
</file>