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2022年度益阳市赫山区</w:t>
      </w: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志溪河水利工程事务中心</w:t>
      </w: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9"/>
        <w:jc w:val="center"/>
        <w:rPr>
          <w:rFonts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Ansi="黑体"/>
          <w:bCs/>
          <w:sz w:val="28"/>
          <w:szCs w:val="28"/>
        </w:rPr>
      </w:pPr>
      <w:r>
        <w:rPr>
          <w:rFonts w:hint="eastAsia" w:hAnsi="黑体"/>
          <w:bCs/>
          <w:sz w:val="28"/>
          <w:szCs w:val="28"/>
        </w:rPr>
        <w:t>第一部分XX部门（单位）概况</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Ansi="黑体"/>
          <w:bCs/>
          <w:sz w:val="28"/>
          <w:szCs w:val="28"/>
        </w:rPr>
      </w:pPr>
      <w:r>
        <w:rPr>
          <w:rFonts w:hint="eastAsia" w:hAnsi="黑体"/>
          <w:bCs/>
          <w:sz w:val="28"/>
          <w:szCs w:val="28"/>
        </w:rPr>
        <w:t>第二部分部门决算表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Ansi="黑体"/>
          <w:bCs/>
          <w:sz w:val="28"/>
          <w:szCs w:val="28"/>
        </w:rPr>
      </w:pPr>
      <w:r>
        <w:rPr>
          <w:rFonts w:hint="eastAsia" w:hAnsi="黑体"/>
          <w:bCs/>
          <w:sz w:val="28"/>
          <w:szCs w:val="28"/>
        </w:rPr>
        <w:t>第三部分部门决算情况说明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Ansi="黑体"/>
          <w:bCs/>
          <w:sz w:val="28"/>
          <w:szCs w:val="28"/>
        </w:rPr>
      </w:pPr>
      <w:r>
        <w:rPr>
          <w:rFonts w:hint="eastAsia" w:hAnsi="黑体"/>
          <w:bCs/>
          <w:sz w:val="28"/>
          <w:szCs w:val="28"/>
        </w:rPr>
        <w:t>第四部分名词解释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ascii="方正小标宋_GBK" w:hAnsi="方正小标宋_GBK" w:eastAsia="方正小标宋_GBK" w:cs="方正小标宋_GBK"/>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志溪河水利工程事务中心</w:t>
      </w: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概况</w:t>
      </w:r>
    </w:p>
    <w:p>
      <w:pPr>
        <w:jc w:val="center"/>
        <w:rPr>
          <w:rFonts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（1）负责所辖水闸、电站、河道的管理及水资源开发和利用。</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（2）负责志溪河灌区的供水调度，制定志溪河防汛抗灾调度方案并组织实施，保障水利枢纽工程和灌区干渠的运行安全。</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（3）负责志溪河灌区配套改造、新建等工程项目的评估、立项；会同有关部门组织工程建设项目招标；协助有关单位搞好工程项目的勘测设计、质量监理和竣工验收工作。</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（4）负责管理志溪河水利工程和灌区国有资产，保护水利工程设施的完整，依法制止和查处破坏水利工程设施设备的行为，承担节水灌溉技术的推广工作。</w:t>
      </w: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widowControl/>
        <w:spacing w:line="600" w:lineRule="exact"/>
        <w:textAlignment w:val="baseline"/>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ascii="Times New Roman" w:hAnsi="Times New Roman" w:eastAsia="仿宋_GB2312" w:cs="黑体"/>
          <w:color w:val="000000"/>
          <w:kern w:val="0"/>
          <w:sz w:val="32"/>
          <w:szCs w:val="32"/>
        </w:rPr>
        <w:t>益阳市志溪河水利工程事务中心为益阳市赫山区水利局所属副科级公益一类事业单位，现有全额拨款事业编制</w:t>
      </w:r>
      <w:r>
        <w:rPr>
          <w:rFonts w:hint="eastAsia" w:ascii="Times New Roman" w:hAnsi="Times New Roman" w:eastAsia="仿宋_GB2312" w:cs="黑体"/>
          <w:color w:val="000000"/>
          <w:kern w:val="0"/>
          <w:sz w:val="32"/>
          <w:szCs w:val="32"/>
        </w:rPr>
        <w:t>4人，自收自支事业编制24人，其他人员2人，设主任1名，副主任2名。</w:t>
      </w:r>
    </w:p>
    <w:p>
      <w:pPr>
        <w:pStyle w:val="9"/>
        <w:spacing w:line="600" w:lineRule="exact"/>
        <w:ind w:firstLine="640" w:firstLineChars="200"/>
        <w:jc w:val="both"/>
        <w:textAlignment w:val="baseline"/>
        <w:rPr>
          <w:rFonts w:ascii="Times New Roman" w:hAnsi="Times New Roman" w:eastAsia="仿宋_GB2312"/>
          <w:sz w:val="32"/>
          <w:szCs w:val="32"/>
        </w:rPr>
      </w:pPr>
      <w:r>
        <w:rPr>
          <w:rFonts w:hint="eastAsia" w:ascii="Times New Roman" w:hAnsi="Times New Roman" w:eastAsia="仿宋_GB2312"/>
          <w:sz w:val="32"/>
          <w:szCs w:val="32"/>
        </w:rPr>
        <w:t>。</w:t>
      </w:r>
    </w:p>
    <w:p>
      <w:pPr>
        <w:widowControl/>
        <w:numPr>
          <w:ilvl w:val="0"/>
          <w:numId w:val="2"/>
        </w:numPr>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pStyle w:val="9"/>
        <w:spacing w:line="60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益阳市志溪河水利工程事务中心</w:t>
      </w:r>
      <w:r>
        <w:rPr>
          <w:rFonts w:hint="eastAsia" w:ascii="Times New Roman" w:hAnsi="Times New Roman" w:eastAsia="仿宋_GB2312"/>
          <w:sz w:val="32"/>
          <w:szCs w:val="32"/>
        </w:rPr>
        <w:t>2022年部门决算汇总公开单位构成包括：</w:t>
      </w:r>
      <w:r>
        <w:rPr>
          <w:rFonts w:ascii="Times New Roman" w:hAnsi="Times New Roman" w:eastAsia="仿宋_GB2312"/>
          <w:sz w:val="32"/>
          <w:szCs w:val="32"/>
        </w:rPr>
        <w:t>益阳市志溪河水利工程事务中心</w:t>
      </w:r>
      <w:r>
        <w:rPr>
          <w:rFonts w:hint="eastAsia" w:ascii="Times New Roman" w:hAnsi="Times New Roman" w:eastAsia="仿宋_GB2312"/>
          <w:sz w:val="32"/>
          <w:szCs w:val="32"/>
        </w:rPr>
        <w:t>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ascii="方正小标宋_GBK" w:hAnsi="方正小标宋_GBK" w:eastAsia="方正小标宋_GBK" w:cs="方正小标宋_GBK"/>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left"/>
        <w:rPr>
          <w:rFonts w:asciiTheme="minorEastAsia" w:hAnsiTheme="minorEastAsia"/>
          <w:sz w:val="32"/>
          <w:szCs w:val="32"/>
        </w:rPr>
      </w:pPr>
    </w:p>
    <w:p>
      <w:pPr>
        <w:jc w:val="left"/>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left"/>
      </w:pPr>
      <w:r>
        <w:drawing>
          <wp:inline distT="0" distB="0" distL="114300" distR="114300">
            <wp:extent cx="6636385" cy="2616835"/>
            <wp:effectExtent l="0" t="0" r="1206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616835"/>
                    </a:xfrm>
                    <a:prstGeom prst="rect">
                      <a:avLst/>
                    </a:prstGeom>
                    <a:noFill/>
                    <a:ln>
                      <a:noFill/>
                    </a:ln>
                  </pic:spPr>
                </pic:pic>
              </a:graphicData>
            </a:graphic>
          </wp:inline>
        </w:drawing>
      </w:r>
    </w:p>
    <w:p>
      <w:pPr>
        <w:jc w:val="left"/>
      </w:pPr>
    </w:p>
    <w:p>
      <w:pPr>
        <w:jc w:val="left"/>
      </w:pPr>
      <w:r>
        <w:drawing>
          <wp:inline distT="0" distB="0" distL="114300" distR="114300">
            <wp:extent cx="6644640" cy="2919730"/>
            <wp:effectExtent l="0" t="0" r="381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919730"/>
                    </a:xfrm>
                    <a:prstGeom prst="rect">
                      <a:avLst/>
                    </a:prstGeom>
                    <a:noFill/>
                    <a:ln>
                      <a:noFill/>
                    </a:ln>
                  </pic:spPr>
                </pic:pic>
              </a:graphicData>
            </a:graphic>
          </wp:inline>
        </w:drawing>
      </w:r>
    </w:p>
    <w:p>
      <w:pPr>
        <w:jc w:val="left"/>
      </w:pPr>
    </w:p>
    <w:p>
      <w:pPr>
        <w:jc w:val="left"/>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jc w:val="left"/>
      </w:pPr>
    </w:p>
    <w:p>
      <w:pPr>
        <w:jc w:val="left"/>
      </w:pPr>
      <w:r>
        <w:drawing>
          <wp:inline distT="0" distB="0" distL="114300" distR="114300">
            <wp:extent cx="6640830" cy="3742690"/>
            <wp:effectExtent l="0" t="0" r="762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742690"/>
                    </a:xfrm>
                    <a:prstGeom prst="rect">
                      <a:avLst/>
                    </a:prstGeom>
                    <a:noFill/>
                    <a:ln>
                      <a:noFill/>
                    </a:ln>
                  </pic:spPr>
                </pic:pic>
              </a:graphicData>
            </a:graphic>
          </wp:inline>
        </w:drawing>
      </w:r>
    </w:p>
    <w:p>
      <w:pPr>
        <w:jc w:val="left"/>
      </w:pPr>
    </w:p>
    <w:p>
      <w:pPr>
        <w:jc w:val="left"/>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jc w:val="left"/>
      </w:pPr>
    </w:p>
    <w:p>
      <w:pPr>
        <w:jc w:val="left"/>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jc w:val="left"/>
        <w:rPr>
          <w:rFonts w:hint="eastAsia" w:eastAsiaTheme="minorEastAsia"/>
          <w:lang w:eastAsia="zh-CN"/>
        </w:rPr>
      </w:pPr>
      <w:r>
        <w:rPr>
          <w:rFonts w:hint="eastAsia"/>
          <w:lang w:eastAsia="zh-CN"/>
        </w:rPr>
        <w:t>本年本单位无此业务发生，本表无数据。</w:t>
      </w:r>
    </w:p>
    <w:p>
      <w:pPr>
        <w:jc w:val="left"/>
      </w:pPr>
    </w:p>
    <w:p>
      <w:pPr>
        <w:jc w:val="left"/>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jc w:val="left"/>
        <w:rPr>
          <w:rFonts w:hint="eastAsia"/>
          <w:lang w:eastAsia="zh-CN"/>
        </w:rPr>
      </w:pPr>
      <w:r>
        <w:rPr>
          <w:rFonts w:hint="eastAsia"/>
          <w:lang w:eastAsia="zh-CN"/>
        </w:rPr>
        <w:t>本年本单位无此业务发生，本表无数据。</w:t>
      </w:r>
    </w:p>
    <w:p>
      <w:pPr>
        <w:jc w:val="left"/>
        <w:rPr>
          <w:rFonts w:hint="eastAsia"/>
          <w:lang w:eastAsia="zh-CN"/>
        </w:rPr>
      </w:pPr>
    </w:p>
    <w:p>
      <w:pPr>
        <w:jc w:val="left"/>
        <w:rPr>
          <w:rFonts w:hint="eastAsia"/>
          <w:lang w:eastAsia="zh-CN"/>
        </w:rPr>
      </w:pPr>
    </w:p>
    <w:p>
      <w:pPr>
        <w:jc w:val="left"/>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jc w:val="left"/>
      </w:pPr>
    </w:p>
    <w:p>
      <w:pPr>
        <w:jc w:val="left"/>
        <w:rPr>
          <w:rFonts w:hint="eastAsia" w:eastAsiaTheme="minorEastAsia"/>
          <w:lang w:eastAsia="zh-CN"/>
        </w:rPr>
      </w:pPr>
      <w:r>
        <w:rPr>
          <w:rFonts w:hint="eastAsia"/>
          <w:lang w:eastAsia="zh-CN"/>
        </w:rPr>
        <w:t>本年本单位无此业务发生，本表无数据。</w:t>
      </w:r>
    </w:p>
    <w:p>
      <w:pPr>
        <w:jc w:val="left"/>
        <w:sectPr>
          <w:pgSz w:w="11906" w:h="16838"/>
          <w:pgMar w:top="720" w:right="720" w:bottom="720" w:left="720" w:header="851" w:footer="992" w:gutter="0"/>
          <w:cols w:space="425" w:num="1"/>
          <w:docGrid w:type="lines" w:linePitch="312" w:charSpace="0"/>
        </w:sectPr>
      </w:pPr>
      <w:bookmarkStart w:id="0" w:name="_GoBack"/>
      <w:bookmarkEnd w:id="0"/>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ascii="方正小标宋_GBK" w:hAnsi="方正小标宋_GBK" w:eastAsia="方正小标宋_GBK" w:cs="方正小标宋_GBK"/>
          <w:sz w:val="70"/>
          <w:szCs w:val="70"/>
        </w:rPr>
      </w:pPr>
    </w:p>
    <w:p>
      <w:pPr>
        <w:pStyle w:val="9"/>
        <w:jc w:val="center"/>
        <w:rPr>
          <w:rFonts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2022年度部门决算情况说明</w:t>
      </w:r>
    </w:p>
    <w:p>
      <w:pPr>
        <w:widowControl/>
        <w:jc w:val="left"/>
        <w:rPr>
          <w:rFonts w:asciiTheme="minorEastAsia" w:hAnsiTheme="minorEastAsia"/>
          <w:sz w:val="32"/>
          <w:szCs w:val="32"/>
        </w:rPr>
      </w:pPr>
      <w:r>
        <w:rPr>
          <w:rFonts w:hint="eastAsia" w:ascii="方正小标宋_GBK" w:hAnsi="方正小标宋_GBK" w:eastAsia="方正小标宋_GBK" w:cs="方正小标宋_GBK"/>
          <w:sz w:val="70"/>
          <w:szCs w:val="70"/>
        </w:rPr>
        <w:br w:type="page"/>
      </w:r>
    </w:p>
    <w:p>
      <w:pPr>
        <w:pStyle w:val="9"/>
        <w:spacing w:line="600" w:lineRule="exact"/>
        <w:ind w:firstLine="640" w:firstLineChars="200"/>
        <w:rPr>
          <w:rFonts w:hAnsi="黑体"/>
          <w:bCs/>
          <w:sz w:val="32"/>
          <w:szCs w:val="32"/>
        </w:rPr>
      </w:pPr>
      <w:r>
        <w:rPr>
          <w:rFonts w:hint="eastAsia" w:hAnsi="黑体"/>
          <w:bCs/>
          <w:sz w:val="32"/>
          <w:szCs w:val="32"/>
        </w:rPr>
        <w:t>一、收入支出决算总体情况说明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2022年度收、支总计357.37万元。与上年相比，增加33.2万元，增长10.24%，主要是因为人员经费及公用经费增加。</w:t>
      </w:r>
    </w:p>
    <w:p>
      <w:pPr>
        <w:pStyle w:val="9"/>
        <w:spacing w:line="600" w:lineRule="exact"/>
        <w:ind w:firstLine="640" w:firstLineChars="200"/>
        <w:rPr>
          <w:rFonts w:hAnsi="黑体"/>
          <w:bCs/>
          <w:sz w:val="32"/>
          <w:szCs w:val="32"/>
        </w:rPr>
      </w:pPr>
      <w:r>
        <w:rPr>
          <w:rFonts w:hint="eastAsia" w:hAnsi="黑体"/>
          <w:bCs/>
          <w:sz w:val="32"/>
          <w:szCs w:val="32"/>
        </w:rPr>
        <w:t>二、收入决算情况说明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2022年度收入合计357.37万元，其中：财政拨款收入188.15万元，占52.65%；上级补助收入0万元，占0%；事业收入0万元，占0%；经营收入0万元，占0%；附属单位上缴收入0万元，占0%；其他收入169.22万元，占47.35%。</w:t>
      </w:r>
    </w:p>
    <w:p>
      <w:pPr>
        <w:pStyle w:val="9"/>
        <w:spacing w:line="600" w:lineRule="exact"/>
        <w:ind w:firstLine="640" w:firstLineChars="200"/>
        <w:rPr>
          <w:rFonts w:hAnsi="黑体"/>
          <w:bCs/>
          <w:sz w:val="32"/>
          <w:szCs w:val="32"/>
        </w:rPr>
      </w:pPr>
      <w:r>
        <w:rPr>
          <w:rFonts w:hint="eastAsia" w:hAnsi="黑体"/>
          <w:bCs/>
          <w:sz w:val="32"/>
          <w:szCs w:val="32"/>
        </w:rPr>
        <w:t>三、支出决算情况说明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2022年度支出合计357.37万元，其中：基本支出292.46万元，占81.84%；项目支出64.9万元，占18.16%；上缴上级支出0万元，占0%；经营支出0万元，占0%；对附属单位补助支出0万元，占0%。</w:t>
      </w:r>
    </w:p>
    <w:p>
      <w:pPr>
        <w:pStyle w:val="9"/>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9"/>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2022年度财政拨款收、支总计188.14万元，与上年相比，增加74.11万元,增长64.99%，主要是因为人员经费及公益运转经费增加</w:t>
      </w:r>
    </w:p>
    <w:p>
      <w:pPr>
        <w:pStyle w:val="9"/>
        <w:spacing w:line="600" w:lineRule="exact"/>
        <w:ind w:firstLine="640" w:firstLineChars="200"/>
        <w:rPr>
          <w:rFonts w:hAnsi="黑体"/>
          <w:bCs/>
          <w:sz w:val="32"/>
          <w:szCs w:val="32"/>
        </w:rPr>
      </w:pPr>
      <w:r>
        <w:rPr>
          <w:rFonts w:hint="eastAsia" w:hAnsi="黑体"/>
          <w:bCs/>
          <w:sz w:val="32"/>
          <w:szCs w:val="32"/>
        </w:rPr>
        <w:t>五、一般公共预算财政拨款支出决算情况说明</w:t>
      </w:r>
    </w:p>
    <w:p>
      <w:pPr>
        <w:pStyle w:val="9"/>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9"/>
        <w:spacing w:line="600" w:lineRule="exact"/>
        <w:rPr>
          <w:rFonts w:ascii="Times New Roman" w:hAnsi="Times New Roman" w:eastAsia="仿宋_GB2312"/>
          <w:sz w:val="32"/>
          <w:szCs w:val="32"/>
        </w:rPr>
      </w:pPr>
      <w:r>
        <w:rPr>
          <w:rFonts w:hint="eastAsia" w:ascii="Times New Roman" w:hAnsi="Times New Roman" w:eastAsia="仿宋_GB2312"/>
          <w:sz w:val="32"/>
          <w:szCs w:val="32"/>
        </w:rPr>
        <w:t>　　2022年度财政拨款支出188.14万元，占本年支出合计的52.65%，与上年相比，财政拨款支出增加74.11万元，增长64.99%，主要是因为人员经费及公用经费增加。</w:t>
      </w:r>
    </w:p>
    <w:p>
      <w:pPr>
        <w:pStyle w:val="9"/>
        <w:spacing w:line="600" w:lineRule="exact"/>
        <w:ind w:firstLine="480" w:firstLineChars="1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2022年度财政拨款支出188.14万元，主要用于以下方面：农林水支出180.83万元，占比96.11%；社会保障和就业支出4.5万元，占比2.39%,卫生健康支出2.81万元, 占比1.5%。</w:t>
      </w:r>
    </w:p>
    <w:p>
      <w:pPr>
        <w:pStyle w:val="9"/>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2022年度财政拨款支出年初预算数为79.13万元，支出决算数为188.14万元，完成年初预算的237.74%，其中：</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1、农林水支出（类）水利（款）行政运行（项）。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年初预算为68.44万元，支出决算为180.83万元，完成年初预算的264.21%，决算数大于年初预算数的主要原因是：单位人员预发绩效增加，</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2、社会保障和就业支出（类）行政事业单位养老支出（款）  机关事业单位基本养老保险缴费支出（项）。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年初预算为4.5万元，支出决算为4.5万元，完成年初预算的100%，决算数等于年初预算数</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3、卫生健康支出（类）行政事业单位医疗（款）  事业单位医疗（项）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 xml:space="preserve"> 年初预算为2.81万元，支出决算为2.81万元，决算数等于年初预算数。</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6、住房保障支出（类）住房改革支出（款）  住房公积金（项）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年初预算为3.38万元，支出决算为0万元，完成年初预算的0%，决算数小于年初预算数的主要原因是财政拨款调整了预算，公积金支出在农林水支出的人员经费中列支。</w:t>
      </w:r>
    </w:p>
    <w:p>
      <w:pPr>
        <w:pStyle w:val="9"/>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2022年度财政拨款基本支出188.14万元，其中：</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167.66万元，占基本支出的89.11%,主要包括基本工资、津贴补贴、奖金、伙食补助费、养老保险、职业年金、医保、住房公积金、医疗补助。</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20.48万元，占基本支出的10.89%，主要包括办公费、水费、电费、工会经费、税金及附加、印刷费、邮电费、其他商品服务支出。</w:t>
      </w:r>
    </w:p>
    <w:p>
      <w:pPr>
        <w:pStyle w:val="9"/>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p>
    <w:p>
      <w:pPr>
        <w:pStyle w:val="9"/>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“三公”经费财政拨款支出预算为0万元，支出决算为0万元，其中：</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公务接待费支出预算为0万元，支出决算为0万元。</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w:t>
      </w:r>
      <w:r>
        <w:rPr>
          <w:rFonts w:ascii="Times New Roman" w:hAnsi="Times New Roman" w:eastAsia="仿宋_GB2312"/>
          <w:sz w:val="32"/>
          <w:szCs w:val="32"/>
        </w:rPr>
        <w:t xml:space="preserve"> </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公务用车运行维护费支出预算为0万元，支出决算为0万元。</w:t>
      </w:r>
    </w:p>
    <w:p>
      <w:pPr>
        <w:pStyle w:val="9"/>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2022年度“三公”经费财政拨款支出决算中，公务接待费支出决算0万元，占0%,因公出国（境）费支出决算0万元，占0%,公务用车购置费及运行维护费支出决算0万元，占0%。其中：</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1、因公出国（境）费支出决算为0万元，全年安排因公出国（境）团组0个，累计0人次</w:t>
      </w:r>
      <w:r>
        <w:rPr>
          <w:rFonts w:hint="eastAsia" w:ascii="楷体" w:hAnsi="楷体" w:eastAsia="楷体" w:cs="楷体"/>
          <w:b/>
          <w:bCs/>
          <w:i/>
          <w:color w:val="auto"/>
          <w:sz w:val="32"/>
          <w:szCs w:val="32"/>
        </w:rPr>
        <w:t>。</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2、公务接待费支出决算为0万元，全年共接待来访团组0个、来宾0人次</w:t>
      </w:r>
      <w:r>
        <w:rPr>
          <w:rFonts w:hint="eastAsia" w:ascii="楷体" w:hAnsi="楷体" w:eastAsia="楷体" w:cs="楷体"/>
          <w:b/>
          <w:bCs/>
          <w:i/>
          <w:color w:val="auto"/>
          <w:sz w:val="32"/>
          <w:szCs w:val="32"/>
        </w:rPr>
        <w:t>。</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3、公务用车购置费及运行维护费支出决算为0万元，其中：公务用车购置费0万元，单位本级更新公务用车0辆</w:t>
      </w:r>
      <w:r>
        <w:rPr>
          <w:rFonts w:hint="eastAsia" w:ascii="Times New Roman" w:hAnsi="Times New Roman" w:eastAsia="仿宋_GB2312"/>
          <w:color w:val="000000" w:themeColor="text1"/>
          <w:sz w:val="32"/>
          <w:szCs w:val="32"/>
        </w:rPr>
        <w:t>。</w:t>
      </w:r>
      <w:r>
        <w:rPr>
          <w:rFonts w:hint="eastAsia" w:ascii="Times New Roman" w:hAnsi="Times New Roman" w:eastAsia="仿宋_GB2312"/>
          <w:sz w:val="32"/>
          <w:szCs w:val="32"/>
        </w:rPr>
        <w:t>公务用车运行维护费0万元，截止2022年12月31日，我单位开支财政拨款的公务用车保有量为0辆。</w:t>
      </w:r>
    </w:p>
    <w:p>
      <w:pPr>
        <w:pStyle w:val="9"/>
        <w:spacing w:line="600" w:lineRule="exact"/>
        <w:ind w:firstLine="640" w:firstLineChars="200"/>
        <w:rPr>
          <w:rFonts w:hAnsi="黑体"/>
          <w:bCs/>
          <w:sz w:val="32"/>
          <w:szCs w:val="32"/>
        </w:rPr>
      </w:pPr>
      <w:r>
        <w:rPr>
          <w:rFonts w:hint="eastAsia" w:hAnsi="黑体"/>
          <w:bCs/>
          <w:sz w:val="32"/>
          <w:szCs w:val="32"/>
        </w:rPr>
        <w:t>八、政府性基金预算收入支出决算情况</w:t>
      </w:r>
    </w:p>
    <w:p>
      <w:pPr>
        <w:pStyle w:val="9"/>
        <w:spacing w:line="600" w:lineRule="exact"/>
        <w:rPr>
          <w:rFonts w:ascii="楷体" w:hAnsi="楷体" w:eastAsia="楷体" w:cs="楷体"/>
          <w:b/>
          <w:bCs/>
          <w:i/>
          <w:color w:val="auto"/>
          <w:sz w:val="32"/>
          <w:szCs w:val="32"/>
        </w:rPr>
      </w:pPr>
      <w:r>
        <w:rPr>
          <w:rFonts w:hint="eastAsia" w:ascii="Times New Roman" w:hAnsi="Times New Roman" w:eastAsia="仿宋_GB2312"/>
          <w:sz w:val="32"/>
          <w:szCs w:val="32"/>
        </w:rPr>
        <w:t xml:space="preserve">     2022年度政府性基金预算财政拨款收入0万元；年初结转和结余0万元；支出0万元，其中基本支出0万元，项目支出0万元；年末结转和结余0万元。具体情况如下：</w:t>
      </w:r>
    </w:p>
    <w:p>
      <w:pPr>
        <w:pStyle w:val="9"/>
        <w:spacing w:line="600" w:lineRule="exact"/>
        <w:rPr>
          <w:rFonts w:ascii="Times New Roman" w:hAnsi="Times New Roman" w:eastAsia="仿宋_GB2312"/>
          <w:sz w:val="32"/>
          <w:szCs w:val="32"/>
        </w:rPr>
      </w:pPr>
      <w:r>
        <w:rPr>
          <w:rFonts w:hint="eastAsia" w:ascii="楷体" w:hAnsi="楷体" w:eastAsia="楷体" w:cs="楷体"/>
          <w:b/>
          <w:bCs/>
          <w:i/>
          <w:color w:val="auto"/>
          <w:sz w:val="32"/>
          <w:szCs w:val="32"/>
        </w:rPr>
        <w:t xml:space="preserve">   </w:t>
      </w:r>
      <w:r>
        <w:rPr>
          <w:rFonts w:hint="eastAsia" w:ascii="Times New Roman" w:hAnsi="Times New Roman" w:eastAsia="仿宋_GB2312"/>
          <w:sz w:val="32"/>
          <w:szCs w:val="32"/>
        </w:rPr>
        <w:t>本单位无政府性基金预算收支</w:t>
      </w:r>
    </w:p>
    <w:p>
      <w:pPr>
        <w:pStyle w:val="9"/>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本部门2022年度机关运行经费支出20.48万元，比上年决算数增加17.76 万元，主要原因是：本单位公用经费增加。</w:t>
      </w:r>
    </w:p>
    <w:p>
      <w:pPr>
        <w:pStyle w:val="9"/>
        <w:spacing w:line="600" w:lineRule="exact"/>
        <w:ind w:firstLine="640" w:firstLineChars="200"/>
        <w:rPr>
          <w:rFonts w:hAnsi="黑体"/>
          <w:bCs/>
          <w:sz w:val="32"/>
          <w:szCs w:val="32"/>
        </w:rPr>
      </w:pPr>
      <w:r>
        <w:rPr>
          <w:rFonts w:hint="eastAsia" w:hAnsi="黑体"/>
          <w:bCs/>
          <w:sz w:val="32"/>
          <w:szCs w:val="32"/>
        </w:rPr>
        <w:t>十、一般性支出情况说明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2022年本部门开支会议费0万元，用于召开0会议，人数0人；开支培训费0万元。</w:t>
      </w:r>
    </w:p>
    <w:p>
      <w:pPr>
        <w:pStyle w:val="9"/>
        <w:spacing w:line="600" w:lineRule="exact"/>
        <w:ind w:firstLine="640" w:firstLineChars="200"/>
        <w:rPr>
          <w:rFonts w:hAnsi="黑体"/>
          <w:bCs/>
          <w:sz w:val="32"/>
          <w:szCs w:val="32"/>
        </w:rPr>
      </w:pPr>
      <w:r>
        <w:rPr>
          <w:rFonts w:hint="eastAsia" w:hAnsi="黑体"/>
          <w:bCs/>
          <w:sz w:val="32"/>
          <w:szCs w:val="32"/>
        </w:rPr>
        <w:t>十一、关于政府采购支出说明</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本部门2022年度政府采购支出总额0万元，其中：政府采购货物支出0 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w:t>
      </w:r>
    </w:p>
    <w:p>
      <w:pPr>
        <w:pStyle w:val="9"/>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辆0辆，其中，主要领导干部用车0辆，机要通信用车0辆、应急保障用车0辆、执法执勤用车0辆、特种专业技术用车0辆、其他用车0辆，其他用车主要是0；单位价值50万元以上通用设备0台（套）；单位价值100万元以上专用设备0台（套）。</w:t>
      </w:r>
    </w:p>
    <w:p>
      <w:pPr>
        <w:pStyle w:val="9"/>
        <w:spacing w:line="600" w:lineRule="exact"/>
        <w:ind w:firstLine="640" w:firstLineChars="200"/>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9"/>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在上级业务主管部门的领导下，本单位2022年所有支出严格按照国家财经法规、预算资金管理办法、财务管理制度的规定，遵循先预算、再审批、后支出的原则，保证资金的合理使用。</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本单位的整体支出绩效情况如下：</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一是保障了单位有效运转。干部职工待遇严格按政策文件进行，严格按照厉行节约的要求，量入为出，合理配置，提高保障能力。</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二是强化了资产管理。严格按照行政事业单位资产管理系统进行登记、核销和管理，做到账账、账证、账实相符，基本无闲置浪费现象。</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三是严格控制了“三公”经费。“三公”经费支出按照年初预算执行。</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四是加强了预决算管理。建立健全了单位《财务管理制度》内部管理制度，按照区财政统一部署公开了部门预决算，建立单位评价监督机制，对预决算管理中发现的问题及时整改。</w:t>
      </w:r>
    </w:p>
    <w:p>
      <w:pPr>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五是完成了年度工作任务。今年，单位为改善水闸的现状，单位踌躇有限的资金，对所辖水闸的部分闸门进行了更新，共更换闸门14张，工字钢10要，公母铰10套，对北峰山水闸、洋溪江水闸、船形山水闸出水口进行疏通，并对北峰山水闸出水口垮塌的部分浆砌石进行了修复，很大程度上提高了发电量，并解决了来年正常的蓄水保水和安全度汛问题。</w:t>
      </w:r>
    </w:p>
    <w:p>
      <w:pPr>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通过与谢林港镇政府积极对接，竹荆寺水闸已完成了更新改造，更换了闸门11张，桥面加宽50厘米，泄洪闸启闭设备由原来的人工手摇改造成为电动启闭设备。</w:t>
      </w:r>
    </w:p>
    <w:p>
      <w:pPr>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今年汛期，全处共组织召开了5次防汛工作布置会议，2次抗旱工作会议。根据天气、雨情、水情精准研判，统筹调度10处水闸对志溪河水位进行科学控制，确保了沿线5个乡镇街道的防洪保安和灌溉用水。事务中心落实水闸全面巡查处险10次，电站安全检查15次，发现并处置水闸安全隐患10处，及时为电站和水闸配备救生衣、巡查手电安全帽等防汛物质及安全用具。</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我单位能够按照国家的法律法规加强预算管理，不断完善内控制度，财务管理和会计基础工作日益完善，取得了较好的预算执行效果。</w:t>
      </w:r>
    </w:p>
    <w:p>
      <w:pPr>
        <w:pStyle w:val="9"/>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由于我单位自收自支人员较多，经费缺口较大，建议增加部分人员经费。</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ascii="方正小标宋_GBK" w:hAnsi="方正小标宋_GBK" w:eastAsia="方正小标宋_GBK" w:cs="方正小标宋_GBK"/>
          <w:color w:val="000000"/>
          <w:kern w:val="0"/>
          <w:sz w:val="70"/>
          <w:szCs w:val="70"/>
        </w:rPr>
      </w:pPr>
    </w:p>
    <w:p>
      <w:pPr>
        <w:jc w:val="center"/>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br w:type="page"/>
      </w:r>
    </w:p>
    <w:p>
      <w:pPr>
        <w:widowControl/>
        <w:jc w:val="left"/>
        <w:rPr>
          <w:rFonts w:ascii="方正小标宋_GBK" w:hAnsi="方正小标宋_GBK" w:eastAsia="方正小标宋_GBK" w:cs="方正小标宋_GBK"/>
          <w:color w:val="000000"/>
          <w:kern w:val="0"/>
          <w:sz w:val="70"/>
          <w:szCs w:val="70"/>
        </w:rPr>
      </w:pP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财政拨款收入：指本级财政当年拨付的资金。</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9"/>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4F1A0"/>
    <w:multiLevelType w:val="singleLevel"/>
    <w:tmpl w:val="FEA4F1A0"/>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402A74"/>
    <w:multiLevelType w:val="singleLevel"/>
    <w:tmpl w:val="3A402A74"/>
    <w:lvl w:ilvl="0" w:tentative="0">
      <w:start w:val="1"/>
      <w:numFmt w:val="chineseCounting"/>
      <w:suff w:val="nothing"/>
      <w:lvlText w:val="%1、"/>
      <w:lvlJc w:val="left"/>
      <w:pPr>
        <w:ind w:left="0" w:firstLine="420"/>
      </w:pPr>
      <w:rPr>
        <w:rFonts w:hint="eastAsia" w:ascii="仿宋" w:hAnsi="仿宋" w:eastAsia="仿宋" w:cs="仿宋"/>
        <w:sz w:val="30"/>
        <w:szCs w:val="3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QwMWI3N2NjZmIwMzYwOTRiMjY0NmRlZmM2ODQyYjMifQ=="/>
  </w:docVars>
  <w:rsids>
    <w:rsidRoot w:val="004506F9"/>
    <w:rsid w:val="0001264B"/>
    <w:rsid w:val="0002229B"/>
    <w:rsid w:val="000273BD"/>
    <w:rsid w:val="000361DD"/>
    <w:rsid w:val="00040CBC"/>
    <w:rsid w:val="000415B7"/>
    <w:rsid w:val="00041E3F"/>
    <w:rsid w:val="00055DAA"/>
    <w:rsid w:val="00061F7B"/>
    <w:rsid w:val="000658A3"/>
    <w:rsid w:val="00074155"/>
    <w:rsid w:val="000A3F69"/>
    <w:rsid w:val="000D6E7F"/>
    <w:rsid w:val="00103957"/>
    <w:rsid w:val="00152C6D"/>
    <w:rsid w:val="00162D39"/>
    <w:rsid w:val="001678BD"/>
    <w:rsid w:val="00182373"/>
    <w:rsid w:val="001A67DB"/>
    <w:rsid w:val="001C3C29"/>
    <w:rsid w:val="001C565A"/>
    <w:rsid w:val="001D51E5"/>
    <w:rsid w:val="001E080D"/>
    <w:rsid w:val="001E53D0"/>
    <w:rsid w:val="001F0C3B"/>
    <w:rsid w:val="001F53EC"/>
    <w:rsid w:val="00202C82"/>
    <w:rsid w:val="00214427"/>
    <w:rsid w:val="00223325"/>
    <w:rsid w:val="00226CB7"/>
    <w:rsid w:val="002539C0"/>
    <w:rsid w:val="00264552"/>
    <w:rsid w:val="00264EF9"/>
    <w:rsid w:val="00265724"/>
    <w:rsid w:val="0027426B"/>
    <w:rsid w:val="002D4EC3"/>
    <w:rsid w:val="002E0A30"/>
    <w:rsid w:val="00302F7E"/>
    <w:rsid w:val="003130C4"/>
    <w:rsid w:val="00316C4B"/>
    <w:rsid w:val="0032192B"/>
    <w:rsid w:val="00342871"/>
    <w:rsid w:val="003479BD"/>
    <w:rsid w:val="0037197D"/>
    <w:rsid w:val="003768D5"/>
    <w:rsid w:val="003926B9"/>
    <w:rsid w:val="003C47E6"/>
    <w:rsid w:val="003C4FC2"/>
    <w:rsid w:val="003F7C28"/>
    <w:rsid w:val="00416E61"/>
    <w:rsid w:val="0042790C"/>
    <w:rsid w:val="004506F9"/>
    <w:rsid w:val="004717A2"/>
    <w:rsid w:val="00473DF3"/>
    <w:rsid w:val="00487911"/>
    <w:rsid w:val="00491741"/>
    <w:rsid w:val="004B0CEE"/>
    <w:rsid w:val="004C3719"/>
    <w:rsid w:val="00500E5F"/>
    <w:rsid w:val="005122EF"/>
    <w:rsid w:val="0051441A"/>
    <w:rsid w:val="00517C33"/>
    <w:rsid w:val="00517D5F"/>
    <w:rsid w:val="00523644"/>
    <w:rsid w:val="005264AB"/>
    <w:rsid w:val="0054069E"/>
    <w:rsid w:val="00544866"/>
    <w:rsid w:val="005767CC"/>
    <w:rsid w:val="00590D9F"/>
    <w:rsid w:val="00595D26"/>
    <w:rsid w:val="005A74E6"/>
    <w:rsid w:val="005B404E"/>
    <w:rsid w:val="005C7084"/>
    <w:rsid w:val="005D4D55"/>
    <w:rsid w:val="005D511D"/>
    <w:rsid w:val="005E2CFB"/>
    <w:rsid w:val="005E6EA1"/>
    <w:rsid w:val="005F2103"/>
    <w:rsid w:val="005F3D1C"/>
    <w:rsid w:val="00604795"/>
    <w:rsid w:val="0062378F"/>
    <w:rsid w:val="00641842"/>
    <w:rsid w:val="0064606E"/>
    <w:rsid w:val="00651EEC"/>
    <w:rsid w:val="0066029F"/>
    <w:rsid w:val="00660F8C"/>
    <w:rsid w:val="00685BD2"/>
    <w:rsid w:val="00686673"/>
    <w:rsid w:val="00691E8C"/>
    <w:rsid w:val="006A22C4"/>
    <w:rsid w:val="006A351B"/>
    <w:rsid w:val="006A4ACC"/>
    <w:rsid w:val="006B0422"/>
    <w:rsid w:val="006C1B53"/>
    <w:rsid w:val="006D7730"/>
    <w:rsid w:val="006E5284"/>
    <w:rsid w:val="006F12EF"/>
    <w:rsid w:val="006F3EB5"/>
    <w:rsid w:val="00702E34"/>
    <w:rsid w:val="00704395"/>
    <w:rsid w:val="00710FE7"/>
    <w:rsid w:val="00717621"/>
    <w:rsid w:val="00720FF1"/>
    <w:rsid w:val="00727A53"/>
    <w:rsid w:val="00787B42"/>
    <w:rsid w:val="007C4539"/>
    <w:rsid w:val="007D6B22"/>
    <w:rsid w:val="007F3657"/>
    <w:rsid w:val="00812ED5"/>
    <w:rsid w:val="00823350"/>
    <w:rsid w:val="008277D9"/>
    <w:rsid w:val="00835099"/>
    <w:rsid w:val="0084478C"/>
    <w:rsid w:val="00861F40"/>
    <w:rsid w:val="0086638C"/>
    <w:rsid w:val="008A3E8D"/>
    <w:rsid w:val="00902410"/>
    <w:rsid w:val="00910D22"/>
    <w:rsid w:val="009237C4"/>
    <w:rsid w:val="00944C48"/>
    <w:rsid w:val="00950252"/>
    <w:rsid w:val="0095311E"/>
    <w:rsid w:val="00967F5D"/>
    <w:rsid w:val="00983F81"/>
    <w:rsid w:val="009A0F95"/>
    <w:rsid w:val="009B3ADF"/>
    <w:rsid w:val="009B67C4"/>
    <w:rsid w:val="009C3B52"/>
    <w:rsid w:val="009C48C1"/>
    <w:rsid w:val="009E6817"/>
    <w:rsid w:val="009E6E9A"/>
    <w:rsid w:val="009F0966"/>
    <w:rsid w:val="00A01D2B"/>
    <w:rsid w:val="00A11B04"/>
    <w:rsid w:val="00A3430D"/>
    <w:rsid w:val="00A3763E"/>
    <w:rsid w:val="00A42218"/>
    <w:rsid w:val="00A70249"/>
    <w:rsid w:val="00A70B02"/>
    <w:rsid w:val="00A71D9F"/>
    <w:rsid w:val="00A80ED2"/>
    <w:rsid w:val="00A8652F"/>
    <w:rsid w:val="00A92E9F"/>
    <w:rsid w:val="00AA4838"/>
    <w:rsid w:val="00AB18FF"/>
    <w:rsid w:val="00B33BEA"/>
    <w:rsid w:val="00B344EF"/>
    <w:rsid w:val="00B57C9F"/>
    <w:rsid w:val="00B61E9B"/>
    <w:rsid w:val="00B63572"/>
    <w:rsid w:val="00B845B3"/>
    <w:rsid w:val="00B85D8B"/>
    <w:rsid w:val="00B87798"/>
    <w:rsid w:val="00BA3FB5"/>
    <w:rsid w:val="00BB4A40"/>
    <w:rsid w:val="00BD6C3E"/>
    <w:rsid w:val="00BE3674"/>
    <w:rsid w:val="00BF32E6"/>
    <w:rsid w:val="00C10681"/>
    <w:rsid w:val="00C3049A"/>
    <w:rsid w:val="00C31B1E"/>
    <w:rsid w:val="00C77645"/>
    <w:rsid w:val="00CA42A4"/>
    <w:rsid w:val="00CE04C3"/>
    <w:rsid w:val="00CE76A0"/>
    <w:rsid w:val="00D148C6"/>
    <w:rsid w:val="00D17A8A"/>
    <w:rsid w:val="00D415BA"/>
    <w:rsid w:val="00D63780"/>
    <w:rsid w:val="00D644EE"/>
    <w:rsid w:val="00D95C96"/>
    <w:rsid w:val="00DD06FF"/>
    <w:rsid w:val="00DD1785"/>
    <w:rsid w:val="00DD5FE9"/>
    <w:rsid w:val="00DF2C93"/>
    <w:rsid w:val="00E00C7A"/>
    <w:rsid w:val="00E153F7"/>
    <w:rsid w:val="00E37D6C"/>
    <w:rsid w:val="00E4745C"/>
    <w:rsid w:val="00E55B68"/>
    <w:rsid w:val="00E561AE"/>
    <w:rsid w:val="00E67BE6"/>
    <w:rsid w:val="00E74122"/>
    <w:rsid w:val="00E765F1"/>
    <w:rsid w:val="00E80490"/>
    <w:rsid w:val="00E8683C"/>
    <w:rsid w:val="00EA2B72"/>
    <w:rsid w:val="00EE1220"/>
    <w:rsid w:val="00F74360"/>
    <w:rsid w:val="00FB462F"/>
    <w:rsid w:val="00FE16FA"/>
    <w:rsid w:val="00FE328A"/>
    <w:rsid w:val="00FE6269"/>
    <w:rsid w:val="00FF2A44"/>
    <w:rsid w:val="00FF5CD6"/>
    <w:rsid w:val="1E856484"/>
    <w:rsid w:val="3285584A"/>
    <w:rsid w:val="530D1306"/>
    <w:rsid w:val="5777D4F5"/>
    <w:rsid w:val="5AC47F4C"/>
    <w:rsid w:val="5FC6BB1E"/>
    <w:rsid w:val="5FF720F1"/>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697</Words>
  <Characters>3976</Characters>
  <Lines>33</Lines>
  <Paragraphs>9</Paragraphs>
  <TotalTime>4</TotalTime>
  <ScaleCrop>false</ScaleCrop>
  <LinksUpToDate>false</LinksUpToDate>
  <CharactersWithSpaces>4664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2023-09-19T07:24:32Z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