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赫山区种子技术推广与储备中心</w:t>
      </w:r>
      <w:r>
        <w:rPr>
          <w:rFonts w:hint="eastAsia" w:ascii="方正小标宋_GBK" w:hAnsi="方正小标宋_GBK" w:eastAsia="方正小标宋_GBK" w:cs="方正小标宋_GBK"/>
          <w:sz w:val="84"/>
          <w:szCs w:val="84"/>
        </w:rPr>
        <w:t>部门决算</w:t>
      </w:r>
    </w:p>
    <w:p>
      <w:pPr>
        <w:pStyle w:val="9"/>
        <w:jc w:val="center"/>
        <w:rPr>
          <w:rFonts w:hint="eastAsia" w:ascii="方正小标宋_GBK" w:hAnsi="方正小标宋_GBK" w:eastAsia="方正小标宋_GBK" w:cs="方正小标宋_GBK"/>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00" w:lineRule="exact"/>
        <w:jc w:val="center"/>
        <w:rPr>
          <w:b/>
          <w:sz w:val="36"/>
          <w:szCs w:val="28"/>
        </w:rPr>
      </w:pPr>
      <w:r>
        <w:rPr>
          <w:rFonts w:hint="eastAsia"/>
          <w:b/>
          <w:sz w:val="36"/>
          <w:szCs w:val="28"/>
        </w:rPr>
        <w:t>目录</w:t>
      </w:r>
    </w:p>
    <w:p>
      <w:pPr>
        <w:pStyle w:val="9"/>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赫山区种子技术推广与储备中心</w:t>
      </w:r>
      <w:r>
        <w:rPr>
          <w:rFonts w:hint="eastAsia" w:ascii="黑体" w:hAnsi="黑体" w:eastAsia="黑体" w:cs="黑体"/>
          <w:b w:val="0"/>
          <w:bCs/>
          <w:sz w:val="28"/>
          <w:szCs w:val="28"/>
        </w:rPr>
        <w:t>概况</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9"/>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9"/>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pStyle w:val="9"/>
        <w:spacing w:line="500" w:lineRule="exact"/>
        <w:ind w:firstLine="700" w:firstLineChars="2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十三、关于预算绩效情况的说明</w:t>
      </w:r>
    </w:p>
    <w:p>
      <w:pPr>
        <w:rPr>
          <w:sz w:val="72"/>
          <w:szCs w:val="72"/>
        </w:rPr>
      </w:pPr>
      <w:r>
        <w:rPr>
          <w:sz w:val="72"/>
          <w:szCs w:val="72"/>
        </w:rPr>
        <w:br w:type="page"/>
      </w: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赫山区种子技术推广与储备中心</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9"/>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eastAsia="zh-CN"/>
        </w:rPr>
        <w:t>一、</w:t>
      </w:r>
      <w:r>
        <w:rPr>
          <w:rFonts w:hint="eastAsia" w:ascii="黑体" w:hAnsi="黑体" w:eastAsia="黑体" w:cs="黑体"/>
          <w:b w:val="0"/>
          <w:bCs/>
          <w:sz w:val="28"/>
          <w:szCs w:val="28"/>
        </w:rPr>
        <w:t>部门职责</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（一）基本情况。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1.管理种子事宜，促进农业发展。</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 xml:space="preserve">2.负责农作物新品种区域试验、示范推广，种质资源保护。 </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3.农作物新品种审定，种子质量管理及备荒农作物种子储备。</w:t>
      </w:r>
    </w:p>
    <w:p>
      <w:pPr>
        <w:pStyle w:val="9"/>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二、机构设置及决算单位构成</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（一）内设机构设置。内设三个股室，分别为办公室，财会室，业务室。</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（二）决算单位构成。赫山区种子技术推广与储备中心2022年部门决算汇总公开单位构成只包括：赫山区种子技术推广与储备中心单位本级。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9"/>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pStyle w:val="9"/>
      </w:pPr>
    </w:p>
    <w:p>
      <w:pPr>
        <w:pStyle w:val="9"/>
      </w:pPr>
    </w:p>
    <w:p>
      <w:pPr>
        <w:pStyle w:val="9"/>
      </w:pPr>
    </w:p>
    <w:p>
      <w:pPr>
        <w:pStyle w:val="9"/>
      </w:pPr>
      <w:r>
        <w:drawing>
          <wp:inline distT="0" distB="0" distL="114300" distR="114300">
            <wp:extent cx="6636385" cy="2390140"/>
            <wp:effectExtent l="0" t="0" r="12065"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636385" cy="2390140"/>
                    </a:xfrm>
                    <a:prstGeom prst="rect">
                      <a:avLst/>
                    </a:prstGeom>
                    <a:noFill/>
                    <a:ln>
                      <a:noFill/>
                    </a:ln>
                  </pic:spPr>
                </pic:pic>
              </a:graphicData>
            </a:graphic>
          </wp:inline>
        </w:drawing>
      </w:r>
    </w:p>
    <w:p>
      <w:pPr>
        <w:pStyle w:val="9"/>
        <w:rPr>
          <w:sz w:val="72"/>
          <w:szCs w:val="72"/>
        </w:rPr>
      </w:pPr>
    </w:p>
    <w:p>
      <w:pPr>
        <w:pStyle w:val="9"/>
        <w:rPr>
          <w:sz w:val="72"/>
          <w:szCs w:val="72"/>
        </w:rPr>
      </w:pPr>
    </w:p>
    <w:p>
      <w:pPr>
        <w:pStyle w:val="9"/>
        <w:jc w:val="center"/>
      </w:pPr>
      <w:r>
        <w:drawing>
          <wp:inline distT="0" distB="0" distL="114300" distR="114300">
            <wp:extent cx="6644640" cy="2666365"/>
            <wp:effectExtent l="0" t="0" r="381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644640" cy="2666365"/>
                    </a:xfrm>
                    <a:prstGeom prst="rect">
                      <a:avLst/>
                    </a:prstGeom>
                    <a:noFill/>
                    <a:ln>
                      <a:noFill/>
                    </a:ln>
                  </pic:spPr>
                </pic:pic>
              </a:graphicData>
            </a:graphic>
          </wp:inline>
        </w:drawing>
      </w:r>
    </w:p>
    <w:p>
      <w:pPr>
        <w:pStyle w:val="9"/>
        <w:jc w:val="center"/>
      </w:pPr>
    </w:p>
    <w:p>
      <w:pPr>
        <w:pStyle w:val="9"/>
        <w:jc w:val="center"/>
      </w:pPr>
    </w:p>
    <w:p>
      <w:pPr>
        <w:pStyle w:val="9"/>
        <w:jc w:val="center"/>
      </w:pPr>
    </w:p>
    <w:p>
      <w:pPr>
        <w:pStyle w:val="9"/>
        <w:jc w:val="center"/>
      </w:pPr>
      <w:r>
        <w:drawing>
          <wp:inline distT="0" distB="0" distL="114300" distR="114300">
            <wp:extent cx="6642735" cy="4806315"/>
            <wp:effectExtent l="0" t="0" r="5715" b="133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r>
        <w:drawing>
          <wp:inline distT="0" distB="0" distL="114300" distR="114300">
            <wp:extent cx="6640830" cy="3571875"/>
            <wp:effectExtent l="0" t="0" r="762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6640830" cy="3571875"/>
                    </a:xfrm>
                    <a:prstGeom prst="rect">
                      <a:avLst/>
                    </a:prstGeom>
                    <a:noFill/>
                    <a:ln>
                      <a:noFill/>
                    </a:ln>
                  </pic:spPr>
                </pic:pic>
              </a:graphicData>
            </a:graphic>
          </wp:inline>
        </w:drawing>
      </w:r>
    </w:p>
    <w:p>
      <w:pPr>
        <w:pStyle w:val="9"/>
        <w:jc w:val="center"/>
      </w:pPr>
    </w:p>
    <w:p>
      <w:pPr>
        <w:pStyle w:val="9"/>
        <w:jc w:val="center"/>
      </w:pPr>
    </w:p>
    <w:p>
      <w:pPr>
        <w:pStyle w:val="9"/>
        <w:jc w:val="center"/>
      </w:pPr>
    </w:p>
    <w:p>
      <w:pPr>
        <w:pStyle w:val="9"/>
        <w:jc w:val="center"/>
      </w:pPr>
      <w:r>
        <w:drawing>
          <wp:inline distT="0" distB="0" distL="114300" distR="114300">
            <wp:extent cx="6639560" cy="4467225"/>
            <wp:effectExtent l="0" t="0" r="889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6639560" cy="4467225"/>
                    </a:xfrm>
                    <a:prstGeom prst="rect">
                      <a:avLst/>
                    </a:prstGeom>
                    <a:noFill/>
                    <a:ln>
                      <a:noFill/>
                    </a:ln>
                  </pic:spPr>
                </pic:pic>
              </a:graphicData>
            </a:graphic>
          </wp:inline>
        </w:drawing>
      </w:r>
    </w:p>
    <w:p>
      <w:pPr>
        <w:pStyle w:val="9"/>
        <w:jc w:val="center"/>
      </w:pPr>
    </w:p>
    <w:p>
      <w:pPr>
        <w:pStyle w:val="9"/>
        <w:jc w:val="center"/>
      </w:pPr>
    </w:p>
    <w:p>
      <w:pPr>
        <w:pStyle w:val="9"/>
        <w:jc w:val="center"/>
      </w:pPr>
    </w:p>
    <w:p>
      <w:pPr>
        <w:pStyle w:val="9"/>
        <w:jc w:val="center"/>
      </w:pPr>
    </w:p>
    <w:p>
      <w:pPr>
        <w:pStyle w:val="9"/>
        <w:jc w:val="center"/>
      </w:pPr>
      <w:r>
        <w:drawing>
          <wp:inline distT="0" distB="0" distL="114300" distR="114300">
            <wp:extent cx="6645275" cy="1998345"/>
            <wp:effectExtent l="0" t="0" r="3175"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tretch>
                      <a:fillRect/>
                    </a:stretch>
                  </pic:blipFill>
                  <pic:spPr>
                    <a:xfrm>
                      <a:off x="0" y="0"/>
                      <a:ext cx="6645275" cy="1998345"/>
                    </a:xfrm>
                    <a:prstGeom prst="rect">
                      <a:avLst/>
                    </a:prstGeom>
                    <a:noFill/>
                    <a:ln>
                      <a:noFill/>
                    </a:ln>
                  </pic:spPr>
                </pic:pic>
              </a:graphicData>
            </a:graphic>
          </wp:inline>
        </w:drawing>
      </w:r>
    </w:p>
    <w:p>
      <w:pPr>
        <w:pStyle w:val="9"/>
        <w:jc w:val="center"/>
        <w:rPr>
          <w:rFonts w:hint="eastAsia" w:eastAsia="黑体"/>
          <w:lang w:eastAsia="zh-CN"/>
        </w:rPr>
      </w:pPr>
      <w:r>
        <w:rPr>
          <w:rFonts w:hint="eastAsia"/>
          <w:lang w:eastAsia="zh-CN"/>
        </w:rPr>
        <w:t>本年本单位无此支出，故本表无数据。</w:t>
      </w:r>
    </w:p>
    <w:p>
      <w:pPr>
        <w:pStyle w:val="9"/>
        <w:jc w:val="center"/>
      </w:pPr>
    </w:p>
    <w:p>
      <w:pPr>
        <w:pStyle w:val="9"/>
        <w:jc w:val="center"/>
      </w:pPr>
      <w:bookmarkStart w:id="0" w:name="_GoBack"/>
      <w:bookmarkEnd w:id="0"/>
    </w:p>
    <w:p>
      <w:pPr>
        <w:pStyle w:val="9"/>
        <w:jc w:val="center"/>
      </w:pPr>
    </w:p>
    <w:p>
      <w:pPr>
        <w:pStyle w:val="9"/>
        <w:jc w:val="center"/>
      </w:pPr>
    </w:p>
    <w:p>
      <w:pPr>
        <w:pStyle w:val="9"/>
        <w:jc w:val="center"/>
      </w:pPr>
      <w:r>
        <w:drawing>
          <wp:inline distT="0" distB="0" distL="114300" distR="114300">
            <wp:extent cx="6334125" cy="28670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stretch>
                      <a:fillRect/>
                    </a:stretch>
                  </pic:blipFill>
                  <pic:spPr>
                    <a:xfrm>
                      <a:off x="0" y="0"/>
                      <a:ext cx="6334125" cy="2867025"/>
                    </a:xfrm>
                    <a:prstGeom prst="rect">
                      <a:avLst/>
                    </a:prstGeom>
                    <a:noFill/>
                    <a:ln>
                      <a:noFill/>
                    </a:ln>
                  </pic:spPr>
                </pic:pic>
              </a:graphicData>
            </a:graphic>
          </wp:inline>
        </w:drawing>
      </w:r>
    </w:p>
    <w:p>
      <w:pPr>
        <w:pStyle w:val="9"/>
        <w:jc w:val="center"/>
        <w:rPr>
          <w:rFonts w:hint="eastAsia" w:eastAsia="黑体"/>
          <w:lang w:eastAsia="zh-CN"/>
        </w:rPr>
      </w:pPr>
      <w:r>
        <w:rPr>
          <w:rFonts w:hint="eastAsia"/>
          <w:lang w:eastAsia="zh-CN"/>
        </w:rPr>
        <w:t>本年本单位无此支出，故本表无数据。</w:t>
      </w: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r>
        <w:drawing>
          <wp:inline distT="0" distB="0" distL="114300" distR="114300">
            <wp:extent cx="6645910" cy="1130300"/>
            <wp:effectExtent l="0" t="0" r="2540" b="1270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2"/>
                    <a:stretch>
                      <a:fillRect/>
                    </a:stretch>
                  </pic:blipFill>
                  <pic:spPr>
                    <a:xfrm>
                      <a:off x="0" y="0"/>
                      <a:ext cx="6645910" cy="1130300"/>
                    </a:xfrm>
                    <a:prstGeom prst="rect">
                      <a:avLst/>
                    </a:prstGeom>
                    <a:noFill/>
                    <a:ln>
                      <a:noFill/>
                    </a:ln>
                  </pic:spPr>
                </pic:pic>
              </a:graphicData>
            </a:graphic>
          </wp:inline>
        </w:drawing>
      </w:r>
    </w:p>
    <w:p>
      <w:pPr>
        <w:pStyle w:val="9"/>
        <w:jc w:val="center"/>
        <w:rPr>
          <w:rFonts w:hint="eastAsia" w:eastAsia="黑体"/>
          <w:lang w:eastAsia="zh-CN"/>
        </w:rPr>
      </w:pPr>
      <w:r>
        <w:rPr>
          <w:rFonts w:hint="eastAsia"/>
          <w:lang w:eastAsia="zh-CN"/>
        </w:rPr>
        <w:t>本年本单位无此支出，故本表无数据。</w:t>
      </w: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9"/>
        <w:jc w:val="center"/>
        <w:rPr>
          <w:rFonts w:hint="eastAsia" w:ascii="方正小标宋_GBK" w:hAnsi="方正小标宋_GBK" w:eastAsia="方正小标宋_GBK" w:cs="方正小标宋_GBK"/>
          <w:sz w:val="70"/>
          <w:szCs w:val="70"/>
        </w:rPr>
      </w:pPr>
    </w:p>
    <w:p>
      <w:pPr>
        <w:pStyle w:val="9"/>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9"/>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一、收入支出决算总体情况说明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2022年度收、支总计</w:t>
      </w:r>
      <w:r>
        <w:rPr>
          <w:rFonts w:hint="default" w:ascii="仿宋_GB2312" w:hAnsi="仿宋_GB2312" w:eastAsia="仿宋_GB2312" w:cs="仿宋_GB2312"/>
          <w:color w:val="000000"/>
          <w:kern w:val="0"/>
          <w:sz w:val="28"/>
          <w:szCs w:val="28"/>
          <w:lang w:val="en" w:eastAsia="zh-CN"/>
        </w:rPr>
        <w:t>302.06</w:t>
      </w:r>
      <w:r>
        <w:rPr>
          <w:rFonts w:hint="eastAsia" w:ascii="仿宋_GB2312" w:hAnsi="仿宋_GB2312" w:eastAsia="仿宋_GB2312" w:cs="仿宋_GB2312"/>
          <w:color w:val="000000"/>
          <w:kern w:val="0"/>
          <w:sz w:val="28"/>
          <w:szCs w:val="28"/>
          <w:lang w:val="en-US" w:eastAsia="zh-CN"/>
        </w:rPr>
        <w:t>万元，本单位为新增一级预算单位，故与上年度无对比。</w:t>
      </w:r>
    </w:p>
    <w:p>
      <w:pPr>
        <w:pStyle w:val="9"/>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2022年度收入合计302.06万元，其中：财政拨款收入302.06万元，占100%；上级补助收入0万元，事业收入0万元，经营收入0万元，附属单位上缴收入0万元，其他收入0万元。</w:t>
      </w:r>
    </w:p>
    <w:p>
      <w:pPr>
        <w:pStyle w:val="9"/>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2022年度支出合计302.06万元，其中：基本支出296.06万元，占98%；项目支出6万元，占2%；上缴上级支出0万元，经营支出0万元，对附属单位补助支出0万元。</w:t>
      </w:r>
    </w:p>
    <w:p>
      <w:pPr>
        <w:pStyle w:val="9"/>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四、财政拨款收入支出决算总体情况说明</w:t>
      </w:r>
    </w:p>
    <w:p>
      <w:pPr>
        <w:pStyle w:val="9"/>
        <w:keepNext w:val="0"/>
        <w:keepLines w:val="0"/>
        <w:pageBreakBefore w:val="0"/>
        <w:widowControl w:val="0"/>
        <w:kinsoku/>
        <w:wordWrap/>
        <w:overflowPunct/>
        <w:topLinePunct w:val="0"/>
        <w:bidi w:val="0"/>
        <w:snapToGrid/>
        <w:spacing w:line="600" w:lineRule="exact"/>
        <w:textAlignment w:val="auto"/>
        <w:rPr>
          <w:rFonts w:hint="eastAsia" w:ascii="仿宋_GB2312" w:hAnsi="仿宋_GB2312" w:eastAsia="仿宋_GB2312" w:cs="仿宋_GB2312"/>
          <w:color w:val="000000"/>
          <w:kern w:val="0"/>
          <w:sz w:val="28"/>
          <w:szCs w:val="28"/>
          <w:lang w:val="en-US" w:eastAsia="zh-CN" w:bidi="ar-SA"/>
        </w:rPr>
      </w:pPr>
      <w:r>
        <w:rPr>
          <w:rFonts w:hint="eastAsia" w:ascii="Times New Roman" w:hAnsi="Times New Roman" w:eastAsia="仿宋_GB2312"/>
          <w:sz w:val="32"/>
          <w:szCs w:val="32"/>
        </w:rPr>
        <w:t xml:space="preserve">   </w:t>
      </w:r>
      <w:r>
        <w:rPr>
          <w:rFonts w:hint="eastAsia" w:ascii="仿宋_GB2312" w:hAnsi="仿宋_GB2312" w:eastAsia="仿宋_GB2312" w:cs="仿宋_GB2312"/>
          <w:color w:val="000000"/>
          <w:kern w:val="0"/>
          <w:sz w:val="28"/>
          <w:szCs w:val="28"/>
          <w:lang w:val="en-US" w:eastAsia="zh-CN" w:bidi="ar-SA"/>
        </w:rPr>
        <w:t xml:space="preserve"> 2022年度财政拨款收、支总计302.06万元.</w:t>
      </w:r>
    </w:p>
    <w:p>
      <w:pPr>
        <w:pStyle w:val="9"/>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（一）财政拨款支出决算总体情况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2022年度财政拨款支出302.06万元，占本年支出合计的100%。</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（二）财政拨款支出决算结构情况</w:t>
      </w:r>
    </w:p>
    <w:p>
      <w:pPr>
        <w:autoSpaceDE w:val="0"/>
        <w:autoSpaceDN w:val="0"/>
        <w:adjustRightInd w:val="0"/>
        <w:spacing w:line="500" w:lineRule="exact"/>
        <w:ind w:firstLine="700" w:firstLineChars="250"/>
        <w:jc w:val="left"/>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2022年度财政拨款支出302.06万元，主要用于以下方面：一般公共服务（类）社会保障就业支出17.29万元，占5.7%；卫生健康支出12.67万元，占4.2%;农林水支出272.11万元，占90.1%。</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（三）财政拨款支出决算具体情况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2022年度财政拨款支出年初预算数为273.48万元，支出决算数为302.06万元，完成年初预算的110.5%，原因全区差额编制人员提标。其中：</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1、一般公共服务（类）农林水支出（项）。</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年初预算为242.94万元，支出决算为272.11万元，完成年初预算的112%。</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2、一般公共服务（类）社会保障和就业支出（项）。</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年初预算为17.60万元，支出决算为17.29万元，完成年初预算的98%，决算数略小于年初预算数的主要原因是指标调济用于农林水开支一项了。</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一般公共服务（类）卫生健康支出（项）</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年初预算数12.93万元，支出决算数为12.67，完成年初预算数的98%。决算数略小于年初预算数的主要原因是指标调济用于农林水开支一项了。</w:t>
      </w:r>
    </w:p>
    <w:p>
      <w:pPr>
        <w:autoSpaceDE w:val="0"/>
        <w:autoSpaceDN w:val="0"/>
        <w:adjustRightInd w:val="0"/>
        <w:spacing w:line="500" w:lineRule="exact"/>
        <w:ind w:firstLine="700" w:firstLineChars="250"/>
        <w:jc w:val="left"/>
        <w:rPr>
          <w:rFonts w:hint="default" w:ascii="仿宋_GB2312" w:hAnsi="仿宋_GB2312" w:eastAsia="仿宋_GB2312" w:cs="仿宋_GB2312"/>
          <w:color w:val="000000"/>
          <w:kern w:val="0"/>
          <w:sz w:val="28"/>
          <w:szCs w:val="28"/>
          <w:lang w:val="en-US" w:eastAsia="zh-CN"/>
        </w:rPr>
      </w:pPr>
    </w:p>
    <w:p>
      <w:pPr>
        <w:pStyle w:val="9"/>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2022年度财政拨款基本支出296.06万元，其中：</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人员经费290.76万元，占基本支出的98%,主要包括基本工资、津贴补贴、奖金、伙食补助费。公用经费5.3万元，占基本支的2%。</w:t>
      </w:r>
    </w:p>
    <w:p>
      <w:pPr>
        <w:pStyle w:val="9"/>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七、财政拨款三公经费支出决算情况说明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（一）“三公”经费财政拨款支出决算总体情况说明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“三公”经费财政拨款支出预算为1万元，支出决算为0万元，完成预算的0%，其中：因公出国（境）费支出预算为0万元，支出决算为0万元。</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公务接待费支出预算为1万元，支出决算为0万元。</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公务用车购置费支出预算为0万元，支出决算为0万元。</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公务用车运行维护费支出预算为0万元，支出决算为0万元。</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（二）“三公”经费财政拨款支出决算具体情况说明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2022年度“三公”经费财政拨款支出决算中，公务接待费支出决算0万元，因公出国（境）费支出决算0万元,公务用车购置费及运行维护费支出决算0万元。其中：</w:t>
      </w:r>
    </w:p>
    <w:p>
      <w:pPr>
        <w:pStyle w:val="9"/>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2022年度政府性基金预算财政拨款收入0万元；年初结转和结余0万元；支出0万元，其中基本支出0万元，项目支出0万元；年末结转和结余0万元。</w:t>
      </w:r>
    </w:p>
    <w:p>
      <w:pPr>
        <w:pStyle w:val="9"/>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本部门2022年度机关运行经费支出5.3万元</w:t>
      </w:r>
    </w:p>
    <w:p>
      <w:pPr>
        <w:pStyle w:val="9"/>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2022年本部门开支会议费0万元，举办节庆、晚会、论坛、赛事活动，开支0万元。</w:t>
      </w:r>
    </w:p>
    <w:p>
      <w:pPr>
        <w:pStyle w:val="9"/>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十一、关于政府采购支出说明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本部门2022年度政府采购支出总额0万元，其中：政府采购货物支出0万元、政府采购工程支出0万元、政府采购服务支出0万元。</w:t>
      </w:r>
    </w:p>
    <w:p>
      <w:pPr>
        <w:pStyle w:val="9"/>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十二、关于国有资产占用情况说明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截至2022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9"/>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十三、关于202</w:t>
      </w:r>
      <w:r>
        <w:rPr>
          <w:rFonts w:hint="eastAsia" w:ascii="黑体" w:hAnsi="黑体" w:eastAsia="黑体" w:cs="黑体"/>
          <w:b w:val="0"/>
          <w:bCs/>
          <w:sz w:val="28"/>
          <w:szCs w:val="28"/>
          <w:lang w:val="en-US" w:eastAsia="zh-CN"/>
        </w:rPr>
        <w:t>2</w:t>
      </w:r>
      <w:r>
        <w:rPr>
          <w:rFonts w:hint="eastAsia" w:ascii="黑体" w:hAnsi="黑体" w:eastAsia="黑体" w:cs="黑体"/>
          <w:b w:val="0"/>
          <w:bCs/>
          <w:sz w:val="28"/>
          <w:szCs w:val="28"/>
        </w:rPr>
        <w:t>年度预算绩效情况的说明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（一）部门整体支出绩效情况</w:t>
      </w:r>
    </w:p>
    <w:p>
      <w:pPr>
        <w:autoSpaceDE w:val="0"/>
        <w:autoSpaceDN w:val="0"/>
        <w:adjustRightInd w:val="0"/>
        <w:spacing w:line="500" w:lineRule="exact"/>
        <w:ind w:firstLine="700" w:firstLineChars="250"/>
        <w:jc w:val="left"/>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本单位全年开展新品种试验示范近百个，按质按量完成种子储备任务3万公斤，其他主要保基本运转和稳定。</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（二）存在的问题及原因分析</w:t>
      </w:r>
    </w:p>
    <w:p>
      <w:pPr>
        <w:autoSpaceDE w:val="0"/>
        <w:autoSpaceDN w:val="0"/>
        <w:adjustRightInd w:val="0"/>
        <w:spacing w:line="500" w:lineRule="exact"/>
        <w:ind w:firstLine="700" w:firstLineChars="250"/>
        <w:jc w:val="left"/>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本单位收入只有财政预算收入一项，差额人员较多，财政拨款不足，资金有很大缺口，故只能以保运转为主，事业支出主要是为保障单位机构正常运转，完成日常工作任务而发生的各项支出，包括用于基本工资 ，津补贴，三金，职工用餐等人员经费以及办公费，维修费，水电费等日常公用经费，其它非必需的费用一律缩减，一贯坚持励行节约的原则。</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val="en-US" w:eastAsia="zh-CN"/>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br w:type="page"/>
      </w: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t>名词解释</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1.机关运行经费</w:t>
      </w:r>
      <w:r>
        <w:rPr>
          <w:rFonts w:hint="eastAsia" w:ascii="仿宋" w:hAnsi="仿宋" w:eastAsia="仿宋" w:cs="仿宋"/>
          <w:sz w:val="30"/>
          <w:szCs w:val="30"/>
          <w:lang w:eastAsia="zh-CN"/>
        </w:rPr>
        <w:t>：</w:t>
      </w:r>
      <w:r>
        <w:rPr>
          <w:rFonts w:hint="eastAsia" w:ascii="仿宋" w:hAnsi="仿宋" w:eastAsia="仿宋" w:cs="仿宋"/>
          <w:sz w:val="30"/>
          <w:szCs w:val="30"/>
        </w:rPr>
        <w:t>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2.“三公”经费</w:t>
      </w:r>
      <w:r>
        <w:rPr>
          <w:rFonts w:hint="eastAsia" w:ascii="仿宋" w:hAnsi="仿宋" w:eastAsia="仿宋" w:cs="仿宋"/>
          <w:sz w:val="30"/>
          <w:szCs w:val="30"/>
          <w:lang w:eastAsia="zh-CN"/>
        </w:rPr>
        <w:t>：</w:t>
      </w:r>
      <w:r>
        <w:rPr>
          <w:rFonts w:hint="eastAsia" w:ascii="仿宋" w:hAnsi="仿宋" w:eastAsia="仿宋" w:cs="仿宋"/>
          <w:sz w:val="30"/>
          <w:szCs w:val="30"/>
        </w:rPr>
        <w:t>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5687CD1"/>
    <w:rsid w:val="2E6DC7B5"/>
    <w:rsid w:val="325F4CE6"/>
    <w:rsid w:val="3285584A"/>
    <w:rsid w:val="530D1306"/>
    <w:rsid w:val="541062F7"/>
    <w:rsid w:val="5777D4F5"/>
    <w:rsid w:val="5D344E92"/>
    <w:rsid w:val="5EE5A8AC"/>
    <w:rsid w:val="5FC6BB1E"/>
    <w:rsid w:val="5FDB4485"/>
    <w:rsid w:val="5FF720F1"/>
    <w:rsid w:val="61910313"/>
    <w:rsid w:val="65111248"/>
    <w:rsid w:val="6FB7B124"/>
    <w:rsid w:val="737D59BA"/>
    <w:rsid w:val="77C37683"/>
    <w:rsid w:val="79FF515B"/>
    <w:rsid w:val="7E9F11B4"/>
    <w:rsid w:val="7FC69637"/>
    <w:rsid w:val="7FCF4257"/>
    <w:rsid w:val="7FFDB408"/>
    <w:rsid w:val="CBFF70E0"/>
    <w:rsid w:val="DF78BEAF"/>
    <w:rsid w:val="EEABED75"/>
    <w:rsid w:val="EFFFD1E0"/>
    <w:rsid w:val="FB36E1A6"/>
    <w:rsid w:val="FDF2D83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character" w:customStyle="1" w:styleId="12">
    <w:name w:val="font01"/>
    <w:basedOn w:val="6"/>
    <w:qFormat/>
    <w:uiPriority w:val="0"/>
    <w:rPr>
      <w:rFonts w:hint="eastAsia" w:ascii="宋体" w:hAnsi="宋体" w:eastAsia="宋体" w:cs="宋体"/>
      <w:color w:val="000000"/>
      <w:sz w:val="22"/>
      <w:szCs w:val="22"/>
      <w:u w:val="none"/>
    </w:rPr>
  </w:style>
  <w:style w:type="character" w:customStyle="1" w:styleId="13">
    <w:name w:val="font21"/>
    <w:basedOn w:val="6"/>
    <w:qFormat/>
    <w:uiPriority w:val="0"/>
    <w:rPr>
      <w:rFonts w:hint="eastAsia" w:ascii="宋体" w:hAnsi="宋体" w:eastAsia="宋体" w:cs="宋体"/>
      <w:color w:val="000000"/>
      <w:sz w:val="24"/>
      <w:szCs w:val="24"/>
      <w:u w:val="none"/>
    </w:rPr>
  </w:style>
  <w:style w:type="character" w:customStyle="1" w:styleId="14">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2582</Words>
  <Characters>2786</Characters>
  <Lines>63</Lines>
  <Paragraphs>18</Paragraphs>
  <TotalTime>6</TotalTime>
  <ScaleCrop>false</ScaleCrop>
  <LinksUpToDate>false</LinksUpToDate>
  <CharactersWithSpaces>2802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2020-07-07T10:32:00Z</dcterms:created>
  <dc:creator>李航 null</dc:creator>
  <cp:lastModifiedBy>Administrator</cp:lastModifiedBy>
  <cp:lastPrinted>2023-08-18T01:28:00Z</cp:lastPrinted>
  <dcterms:modified xsi:type="dcterms:W3CDTF">2023-09-19T05:02:59Z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42EE840FE793418E979121974836694A_13</vt:lpwstr>
  </property>
</Properties>
</file>