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00690">
      <w:pPr>
        <w:spacing w:line="560" w:lineRule="exact"/>
        <w:rPr>
          <w:rFonts w:ascii="仿宋_GB2312" w:eastAsia="仿宋_GB2312"/>
          <w:sz w:val="32"/>
          <w:szCs w:val="32"/>
          <w:highlight w:val="white"/>
        </w:rPr>
      </w:pPr>
    </w:p>
    <w:p w14:paraId="2751F363">
      <w:pPr>
        <w:spacing w:line="560" w:lineRule="exact"/>
        <w:jc w:val="center"/>
        <w:rPr>
          <w:rFonts w:ascii="方正小标宋简体" w:eastAsia="方正小标宋简体"/>
          <w:sz w:val="38"/>
          <w:szCs w:val="38"/>
          <w:highlight w:val="white"/>
        </w:rPr>
      </w:pPr>
      <w:bookmarkStart w:id="1" w:name="_GoBack"/>
      <w:r>
        <w:rPr>
          <w:rFonts w:hint="eastAsia" w:ascii="方正小标宋简体" w:eastAsia="方正小标宋简体"/>
          <w:sz w:val="38"/>
          <w:szCs w:val="38"/>
          <w:highlight w:val="white"/>
        </w:rPr>
        <w:t>2020年度益阳市赫山区全民健身服务中心部门决算</w:t>
      </w:r>
    </w:p>
    <w:bookmarkEnd w:id="1"/>
    <w:p w14:paraId="0D9F447C">
      <w:pPr>
        <w:spacing w:line="560" w:lineRule="exact"/>
        <w:rPr>
          <w:rFonts w:ascii="仿宋_GB2312" w:eastAsia="仿宋_GB2312"/>
          <w:sz w:val="32"/>
          <w:szCs w:val="32"/>
          <w:highlight w:val="white"/>
        </w:rPr>
      </w:pPr>
    </w:p>
    <w:p w14:paraId="23829F00">
      <w:pPr>
        <w:spacing w:line="560" w:lineRule="exact"/>
        <w:jc w:val="center"/>
        <w:rPr>
          <w:rFonts w:ascii="黑体" w:eastAsia="黑体"/>
          <w:sz w:val="32"/>
          <w:szCs w:val="32"/>
          <w:highlight w:val="white"/>
        </w:rPr>
      </w:pPr>
      <w:r>
        <w:rPr>
          <w:rFonts w:hint="eastAsia" w:ascii="黑体" w:eastAsia="黑体"/>
          <w:sz w:val="32"/>
          <w:szCs w:val="32"/>
          <w:highlight w:val="white"/>
        </w:rPr>
        <w:t>目 录</w:t>
      </w:r>
    </w:p>
    <w:p w14:paraId="0A9B6BB9">
      <w:pPr>
        <w:spacing w:line="560" w:lineRule="exact"/>
        <w:ind w:firstLine="640" w:firstLineChars="200"/>
        <w:jc w:val="left"/>
        <w:rPr>
          <w:rFonts w:ascii="黑体" w:eastAsia="黑体"/>
          <w:sz w:val="32"/>
          <w:szCs w:val="32"/>
          <w:highlight w:val="white"/>
        </w:rPr>
      </w:pPr>
      <w:r>
        <w:rPr>
          <w:rFonts w:hint="eastAsia" w:ascii="黑体" w:eastAsia="黑体"/>
          <w:sz w:val="32"/>
          <w:szCs w:val="32"/>
          <w:highlight w:val="white"/>
        </w:rPr>
        <w:t>第一部分  益阳市赫山区全民健身服务中心概况</w:t>
      </w:r>
    </w:p>
    <w:p w14:paraId="3D01DFCE">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14:paraId="69EA5010">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p>
    <w:p w14:paraId="69C7A42A">
      <w:pPr>
        <w:spacing w:line="560" w:lineRule="exact"/>
        <w:ind w:firstLine="640" w:firstLineChars="200"/>
        <w:jc w:val="left"/>
        <w:rPr>
          <w:rFonts w:ascii="黑体" w:eastAsia="黑体"/>
          <w:sz w:val="32"/>
          <w:szCs w:val="32"/>
          <w:highlight w:val="white"/>
        </w:rPr>
      </w:pPr>
      <w:r>
        <w:rPr>
          <w:rFonts w:hint="eastAsia" w:ascii="黑体" w:eastAsia="黑体"/>
          <w:sz w:val="32"/>
          <w:szCs w:val="32"/>
          <w:highlight w:val="white"/>
        </w:rPr>
        <w:t>第二部分  2020年度部门决算表</w:t>
      </w:r>
    </w:p>
    <w:p w14:paraId="744F8BF0">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14:paraId="42DFB084">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14:paraId="2AA8ED68">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14:paraId="42CC61EC">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14:paraId="0CA8EFBE">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14:paraId="27D4E82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14:paraId="77EB24F2">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14:paraId="431BBB8E">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14:paraId="51E1E28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14:paraId="77A589C7">
      <w:pPr>
        <w:spacing w:line="560" w:lineRule="exact"/>
        <w:ind w:firstLine="640" w:firstLineChars="200"/>
        <w:rPr>
          <w:rFonts w:ascii="仿宋_GB2312" w:eastAsia="仿宋_GB2312"/>
          <w:sz w:val="32"/>
          <w:szCs w:val="32"/>
          <w:highlight w:val="white"/>
        </w:rPr>
      </w:pPr>
      <w:r>
        <w:rPr>
          <w:rFonts w:hint="eastAsia" w:ascii="仿宋_GB2312" w:eastAsia="仿宋_GB2312"/>
          <w:bCs/>
          <w:sz w:val="32"/>
          <w:szCs w:val="32"/>
        </w:rPr>
        <w:t>注：以上部门预算报表中，空表表示本部门无相关收支情况</w:t>
      </w:r>
    </w:p>
    <w:p w14:paraId="78F857B0">
      <w:pPr>
        <w:spacing w:line="560" w:lineRule="exact"/>
        <w:ind w:firstLine="640" w:firstLineChars="200"/>
        <w:jc w:val="left"/>
        <w:rPr>
          <w:rFonts w:ascii="黑体" w:eastAsia="黑体"/>
          <w:sz w:val="32"/>
          <w:szCs w:val="32"/>
          <w:highlight w:val="white"/>
        </w:rPr>
      </w:pPr>
      <w:r>
        <w:rPr>
          <w:rFonts w:hint="eastAsia" w:ascii="黑体" w:eastAsia="黑体"/>
          <w:sz w:val="32"/>
          <w:szCs w:val="32"/>
          <w:highlight w:val="white"/>
        </w:rPr>
        <w:t>第三部分  2020年度部门决算情况说明</w:t>
      </w:r>
    </w:p>
    <w:p w14:paraId="61060282">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14:paraId="6168BBDA">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14:paraId="492D8D26">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14:paraId="2F6D3B5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14:paraId="0F405FB2">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14:paraId="5CA6BCF4">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14:paraId="6945CA07">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14:paraId="72BC21E6">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14:paraId="49CCA95B">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14:paraId="17036ABC">
      <w:pPr>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14:paraId="579422C8">
      <w:pPr>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14:paraId="37D415F4">
      <w:pPr>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14:paraId="0C113768">
      <w:pPr>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14:paraId="23EFA0C7">
      <w:pPr>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14:paraId="7FB3545B">
      <w:pPr>
        <w:spacing w:line="560" w:lineRule="exact"/>
        <w:ind w:firstLine="640" w:firstLineChars="200"/>
        <w:jc w:val="left"/>
        <w:rPr>
          <w:rFonts w:ascii="黑体" w:eastAsia="黑体"/>
          <w:sz w:val="32"/>
          <w:szCs w:val="32"/>
          <w:highlight w:val="white"/>
        </w:rPr>
      </w:pPr>
      <w:r>
        <w:rPr>
          <w:rFonts w:hint="eastAsia" w:ascii="黑体" w:eastAsia="黑体"/>
          <w:sz w:val="32"/>
          <w:szCs w:val="32"/>
          <w:highlight w:val="white"/>
        </w:rPr>
        <w:t>第四部分  名词解释</w:t>
      </w:r>
    </w:p>
    <w:p w14:paraId="0D7317D9">
      <w:pPr>
        <w:spacing w:line="560" w:lineRule="exact"/>
        <w:ind w:firstLine="640" w:firstLineChars="200"/>
        <w:jc w:val="left"/>
        <w:rPr>
          <w:rFonts w:ascii="黑体" w:eastAsia="黑体"/>
          <w:sz w:val="32"/>
          <w:szCs w:val="32"/>
          <w:highlight w:val="white"/>
        </w:rPr>
      </w:pPr>
      <w:r>
        <w:rPr>
          <w:rFonts w:hint="eastAsia" w:ascii="黑体" w:eastAsia="黑体"/>
          <w:sz w:val="32"/>
          <w:szCs w:val="32"/>
          <w:highlight w:val="white"/>
        </w:rPr>
        <w:t>第五部分  附 件</w:t>
      </w:r>
    </w:p>
    <w:p w14:paraId="3B102B5D">
      <w:pPr>
        <w:jc w:val="left"/>
        <w:rPr>
          <w:rFonts w:ascii="仿宋_GB2312" w:eastAsia="仿宋_GB2312"/>
          <w:sz w:val="32"/>
          <w:szCs w:val="32"/>
        </w:rPr>
      </w:pPr>
      <w:r>
        <w:rPr>
          <w:rFonts w:ascii="仿宋_GB2312" w:eastAsia="仿宋_GB2312"/>
          <w:sz w:val="32"/>
          <w:szCs w:val="32"/>
        </w:rPr>
        <w:br w:type="page"/>
      </w:r>
    </w:p>
    <w:p w14:paraId="0C2115AA">
      <w:pPr>
        <w:spacing w:line="560" w:lineRule="exact"/>
        <w:rPr>
          <w:rFonts w:ascii="黑体" w:eastAsia="黑体"/>
          <w:sz w:val="32"/>
          <w:szCs w:val="32"/>
          <w:highlight w:val="white"/>
        </w:rPr>
      </w:pPr>
      <w:r>
        <w:rPr>
          <w:rFonts w:hint="eastAsia" w:ascii="黑体" w:eastAsia="黑体"/>
          <w:sz w:val="32"/>
          <w:szCs w:val="32"/>
          <w:highlight w:val="white"/>
        </w:rPr>
        <w:t>第一部分</w:t>
      </w:r>
    </w:p>
    <w:p w14:paraId="170BB1B1">
      <w:pPr>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益阳市赫山区全民健身服务中心概况</w:t>
      </w:r>
    </w:p>
    <w:p w14:paraId="1AC96420">
      <w:pPr>
        <w:spacing w:line="560" w:lineRule="exact"/>
        <w:rPr>
          <w:rFonts w:ascii="仿宋_GB2312" w:eastAsia="仿宋_GB2312"/>
          <w:sz w:val="32"/>
          <w:szCs w:val="32"/>
          <w:highlight w:val="white"/>
        </w:rPr>
      </w:pPr>
    </w:p>
    <w:p w14:paraId="3D9897D0">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一、部门职责</w:t>
      </w:r>
    </w:p>
    <w:p w14:paraId="3C202ADF">
      <w:pPr>
        <w:spacing w:line="560" w:lineRule="exact"/>
        <w:ind w:firstLine="640" w:firstLineChars="200"/>
        <w:rPr>
          <w:rFonts w:ascii="仿宋_GB2312" w:eastAsia="仿宋_GB2312"/>
          <w:sz w:val="32"/>
          <w:szCs w:val="32"/>
        </w:rPr>
      </w:pPr>
      <w:r>
        <w:rPr>
          <w:rFonts w:hint="eastAsia" w:ascii="仿宋_GB2312" w:eastAsia="仿宋_GB2312"/>
          <w:sz w:val="32"/>
          <w:szCs w:val="32"/>
        </w:rPr>
        <w:t>（一）负责指导全民健身运动项目的开展、普及和提高；</w:t>
      </w:r>
    </w:p>
    <w:p w14:paraId="0EC371F8">
      <w:pPr>
        <w:spacing w:line="560" w:lineRule="exact"/>
        <w:ind w:firstLine="640" w:firstLineChars="200"/>
        <w:rPr>
          <w:rFonts w:ascii="仿宋_GB2312" w:eastAsia="仿宋_GB2312"/>
          <w:sz w:val="32"/>
          <w:szCs w:val="32"/>
        </w:rPr>
      </w:pPr>
      <w:r>
        <w:rPr>
          <w:rFonts w:hint="eastAsia" w:ascii="仿宋_GB2312" w:eastAsia="仿宋_GB2312"/>
          <w:sz w:val="32"/>
          <w:szCs w:val="32"/>
        </w:rPr>
        <w:t>（二）负责培训、推广和开发体育健身项目；</w:t>
      </w:r>
    </w:p>
    <w:p w14:paraId="77B38910">
      <w:pPr>
        <w:spacing w:line="560" w:lineRule="exact"/>
        <w:ind w:firstLine="640" w:firstLineChars="200"/>
        <w:rPr>
          <w:rFonts w:ascii="仿宋_GB2312" w:eastAsia="仿宋_GB2312"/>
          <w:sz w:val="32"/>
          <w:szCs w:val="32"/>
        </w:rPr>
      </w:pPr>
      <w:r>
        <w:rPr>
          <w:rFonts w:hint="eastAsia" w:ascii="仿宋_GB2312" w:eastAsia="仿宋_GB2312"/>
          <w:sz w:val="32"/>
          <w:szCs w:val="32"/>
        </w:rPr>
        <w:t>（三）负责协调组织社会体育赛事及交流活动；</w:t>
      </w:r>
    </w:p>
    <w:p w14:paraId="20FCD2A6">
      <w:pPr>
        <w:spacing w:line="560" w:lineRule="exact"/>
        <w:ind w:firstLine="640" w:firstLineChars="200"/>
        <w:rPr>
          <w:rFonts w:ascii="仿宋_GB2312" w:eastAsia="仿宋_GB2312"/>
          <w:sz w:val="32"/>
          <w:szCs w:val="32"/>
        </w:rPr>
      </w:pPr>
      <w:r>
        <w:rPr>
          <w:rFonts w:hint="eastAsia" w:ascii="仿宋_GB2312" w:eastAsia="仿宋_GB2312"/>
          <w:sz w:val="32"/>
          <w:szCs w:val="32"/>
        </w:rPr>
        <w:t>（四）配合做好重大社会体育活动的组织实施工作；</w:t>
      </w:r>
    </w:p>
    <w:p w14:paraId="610E1113">
      <w:pPr>
        <w:spacing w:line="560" w:lineRule="exact"/>
        <w:ind w:firstLine="640" w:firstLineChars="200"/>
        <w:rPr>
          <w:rFonts w:ascii="仿宋_GB2312" w:eastAsia="仿宋_GB2312"/>
          <w:sz w:val="32"/>
          <w:szCs w:val="32"/>
        </w:rPr>
      </w:pPr>
      <w:r>
        <w:rPr>
          <w:rFonts w:hint="eastAsia" w:ascii="仿宋_GB2312" w:eastAsia="仿宋_GB2312"/>
          <w:sz w:val="32"/>
          <w:szCs w:val="32"/>
        </w:rPr>
        <w:t>（五）组织各类体育培训班、学术讲座、专业技术报告会，开展科研活动，发挥咨询作用；</w:t>
      </w:r>
    </w:p>
    <w:p w14:paraId="739CB086">
      <w:pPr>
        <w:spacing w:line="560" w:lineRule="exact"/>
        <w:ind w:firstLine="640" w:firstLineChars="200"/>
        <w:rPr>
          <w:rFonts w:ascii="仿宋_GB2312" w:eastAsia="仿宋_GB2312"/>
          <w:sz w:val="32"/>
          <w:szCs w:val="32"/>
        </w:rPr>
      </w:pPr>
      <w:r>
        <w:rPr>
          <w:rFonts w:hint="eastAsia" w:ascii="仿宋_GB2312" w:eastAsia="仿宋_GB2312"/>
          <w:sz w:val="32"/>
          <w:szCs w:val="32"/>
        </w:rPr>
        <w:t>（六）做好青少年体育培训、指导、教研等工作；</w:t>
      </w:r>
    </w:p>
    <w:p w14:paraId="6C8092C0">
      <w:pPr>
        <w:spacing w:line="560" w:lineRule="exact"/>
        <w:ind w:firstLine="640" w:firstLineChars="200"/>
        <w:rPr>
          <w:rFonts w:ascii="仿宋_GB2312" w:eastAsia="仿宋_GB2312"/>
          <w:sz w:val="32"/>
          <w:szCs w:val="32"/>
        </w:rPr>
      </w:pPr>
      <w:r>
        <w:rPr>
          <w:rFonts w:hint="eastAsia" w:ascii="仿宋_GB2312" w:eastAsia="仿宋_GB2312"/>
          <w:sz w:val="32"/>
          <w:szCs w:val="32"/>
        </w:rPr>
        <w:t>（七）协助做好体育项目裁判员、教练员及运动员的培训、使用工作。</w:t>
      </w:r>
    </w:p>
    <w:p w14:paraId="7FE7DE3C">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二、机构设置</w:t>
      </w:r>
    </w:p>
    <w:p w14:paraId="5E78714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（一）内设机构设置</w:t>
      </w:r>
    </w:p>
    <w:p w14:paraId="7C25985F">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益阳市赫山区全民健身服务中心单位内设机构包括：业余体校、办公室、财务室、群体股、体育馆。</w:t>
      </w:r>
    </w:p>
    <w:p w14:paraId="7B4DB126">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（二）决算单位构成</w:t>
      </w:r>
    </w:p>
    <w:p w14:paraId="4E3FD06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益阳市赫山区全民健身服务中心单位2020年部门决算汇总公开单位构成仅只包括机关本级决算，无二级财务独立机构。</w:t>
      </w:r>
    </w:p>
    <w:p w14:paraId="3D44D5A4">
      <w:pPr>
        <w:spacing w:line="560" w:lineRule="exact"/>
        <w:ind w:firstLine="640" w:firstLineChars="200"/>
        <w:rPr>
          <w:rFonts w:ascii="仿宋_GB2312" w:eastAsia="仿宋_GB2312"/>
          <w:sz w:val="32"/>
          <w:szCs w:val="32"/>
          <w:highlight w:val="white"/>
        </w:rPr>
      </w:pPr>
    </w:p>
    <w:p w14:paraId="14FEB81E">
      <w:pPr>
        <w:spacing w:line="560" w:lineRule="exact"/>
        <w:rPr>
          <w:rFonts w:ascii="黑体" w:eastAsia="黑体"/>
          <w:sz w:val="32"/>
          <w:szCs w:val="32"/>
          <w:highlight w:val="white"/>
        </w:rPr>
      </w:pPr>
    </w:p>
    <w:p w14:paraId="1BDA7AD6">
      <w:pPr>
        <w:spacing w:line="560" w:lineRule="exact"/>
        <w:rPr>
          <w:rFonts w:ascii="黑体" w:eastAsia="黑体"/>
          <w:sz w:val="32"/>
          <w:szCs w:val="32"/>
          <w:highlight w:val="white"/>
        </w:rPr>
      </w:pPr>
      <w:r>
        <w:rPr>
          <w:rFonts w:hint="eastAsia" w:ascii="黑体" w:eastAsia="黑体"/>
          <w:sz w:val="32"/>
          <w:szCs w:val="32"/>
          <w:highlight w:val="white"/>
        </w:rPr>
        <w:t>第二部分</w:t>
      </w:r>
    </w:p>
    <w:p w14:paraId="6E10F08C">
      <w:pPr>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益阳市赫山区全民健身服务中心</w:t>
      </w:r>
    </w:p>
    <w:p w14:paraId="1096A0AF">
      <w:pPr>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2020年度部门决算表（见附表）</w:t>
      </w:r>
    </w:p>
    <w:p w14:paraId="567C49E5">
      <w:pPr>
        <w:spacing w:line="560" w:lineRule="exact"/>
        <w:ind w:firstLine="640" w:firstLineChars="200"/>
        <w:rPr>
          <w:rFonts w:ascii="仿宋_GB2312" w:eastAsia="仿宋_GB2312"/>
          <w:sz w:val="32"/>
          <w:szCs w:val="32"/>
          <w:highlight w:val="white"/>
        </w:rPr>
      </w:pPr>
    </w:p>
    <w:p w14:paraId="176445CC">
      <w:pPr>
        <w:spacing w:line="560" w:lineRule="exact"/>
        <w:rPr>
          <w:rFonts w:ascii="黑体" w:eastAsia="黑体"/>
          <w:sz w:val="32"/>
          <w:szCs w:val="32"/>
          <w:highlight w:val="white"/>
        </w:rPr>
      </w:pPr>
      <w:r>
        <w:rPr>
          <w:rFonts w:hint="eastAsia" w:ascii="黑体" w:eastAsia="黑体"/>
          <w:sz w:val="32"/>
          <w:szCs w:val="32"/>
          <w:highlight w:val="white"/>
        </w:rPr>
        <w:t>第三部分</w:t>
      </w:r>
    </w:p>
    <w:p w14:paraId="39A6E5E7">
      <w:pPr>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益阳市赫山区全民健身服务中心</w:t>
      </w:r>
    </w:p>
    <w:p w14:paraId="146CAB84">
      <w:pPr>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2020年度部门决算情况说明</w:t>
      </w:r>
    </w:p>
    <w:p w14:paraId="155E092B">
      <w:pPr>
        <w:spacing w:line="560" w:lineRule="exact"/>
        <w:rPr>
          <w:rFonts w:ascii="仿宋_GB2312" w:eastAsia="仿宋_GB2312"/>
          <w:sz w:val="32"/>
          <w:szCs w:val="32"/>
          <w:highlight w:val="white"/>
        </w:rPr>
      </w:pPr>
    </w:p>
    <w:p w14:paraId="6BA81124">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一、收入支出决算总体情况说明</w:t>
      </w:r>
    </w:p>
    <w:p w14:paraId="501A4193">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2020年度收入总计492.70万元，年初结转和结余254.63万元，与2019年收入（522.72万元）相比，</w:t>
      </w:r>
      <w:r>
        <w:rPr>
          <w:rFonts w:hint="eastAsia" w:ascii="仿宋_GB2312" w:eastAsia="仿宋_GB2312"/>
          <w:sz w:val="32"/>
          <w:szCs w:val="32"/>
        </w:rPr>
        <w:t>减少30.02</w:t>
      </w:r>
      <w:r>
        <w:rPr>
          <w:rFonts w:hint="eastAsia" w:ascii="仿宋_GB2312" w:eastAsia="仿宋_GB2312"/>
          <w:sz w:val="32"/>
          <w:szCs w:val="32"/>
          <w:highlight w:val="white"/>
        </w:rPr>
        <w:t>万元，下降5.74%，主要原因是</w:t>
      </w:r>
      <w:r>
        <w:rPr>
          <w:rFonts w:hint="eastAsia" w:ascii="仿宋_GB2312" w:eastAsia="仿宋_GB2312"/>
          <w:sz w:val="32"/>
          <w:szCs w:val="32"/>
        </w:rPr>
        <w:t>:财政拨款收入减少</w:t>
      </w:r>
      <w:r>
        <w:rPr>
          <w:rFonts w:hint="eastAsia" w:ascii="仿宋_GB2312" w:eastAsia="仿宋_GB2312"/>
          <w:sz w:val="32"/>
          <w:szCs w:val="32"/>
          <w:highlight w:val="white"/>
        </w:rPr>
        <w:t>。</w:t>
      </w:r>
    </w:p>
    <w:p w14:paraId="59ABEE50">
      <w:pPr>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2020年度支出总计512.99万元，年末结转和结余234.34万元，与2019年支出（689.05）相比，</w:t>
      </w:r>
      <w:r>
        <w:rPr>
          <w:rFonts w:hint="eastAsia" w:ascii="仿宋_GB2312" w:eastAsia="仿宋_GB2312"/>
          <w:sz w:val="32"/>
          <w:szCs w:val="32"/>
        </w:rPr>
        <w:t>减少</w:t>
      </w:r>
      <w:r>
        <w:rPr>
          <w:rFonts w:hint="eastAsia" w:ascii="仿宋_GB2312" w:eastAsia="仿宋_GB2312"/>
          <w:sz w:val="32"/>
          <w:szCs w:val="32"/>
          <w:highlight w:val="white"/>
        </w:rPr>
        <w:t>176.06万元，下降25.55%，主要原因是</w:t>
      </w:r>
      <w:r>
        <w:rPr>
          <w:rFonts w:hint="eastAsia" w:ascii="仿宋_GB2312" w:eastAsia="仿宋_GB2312"/>
          <w:sz w:val="32"/>
          <w:szCs w:val="32"/>
        </w:rPr>
        <w:t>体育事业支出减少。</w:t>
      </w:r>
    </w:p>
    <w:p w14:paraId="3CE4EA02">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二、收入决算情况说明</w:t>
      </w:r>
    </w:p>
    <w:p w14:paraId="045C2563">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本年收入合计492.7</w:t>
      </w:r>
      <w:r>
        <w:rPr>
          <w:rFonts w:ascii="仿宋_GB2312" w:eastAsia="仿宋_GB2312"/>
          <w:sz w:val="32"/>
          <w:szCs w:val="32"/>
          <w:highlight w:val="white"/>
        </w:rPr>
        <w:t>0</w:t>
      </w:r>
      <w:r>
        <w:rPr>
          <w:rFonts w:hint="eastAsia" w:ascii="仿宋_GB2312" w:eastAsia="仿宋_GB2312"/>
          <w:sz w:val="32"/>
          <w:szCs w:val="32"/>
          <w:highlight w:val="white"/>
        </w:rPr>
        <w:t>万元，其中：一般公共预算财政拨款收入368.15万元，占74.72%；政府性基金预算财政拨款收入55</w:t>
      </w:r>
      <w:r>
        <w:rPr>
          <w:rFonts w:ascii="仿宋_GB2312" w:eastAsia="仿宋_GB2312"/>
          <w:sz w:val="32"/>
          <w:szCs w:val="32"/>
          <w:highlight w:val="white"/>
        </w:rPr>
        <w:t>.00</w:t>
      </w:r>
      <w:r>
        <w:rPr>
          <w:rFonts w:hint="eastAsia" w:ascii="仿宋_GB2312" w:eastAsia="仿宋_GB2312"/>
          <w:sz w:val="32"/>
          <w:szCs w:val="32"/>
          <w:highlight w:val="white"/>
        </w:rPr>
        <w:t>万元，占11.16%；其他收入69.55万元，占14.12%。</w:t>
      </w:r>
    </w:p>
    <w:p w14:paraId="4F15BF73">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三、支出决算情况说明</w:t>
      </w:r>
    </w:p>
    <w:p w14:paraId="2C377986">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本年支出合计512.99万元，其中：基本支出379.65万元，占74.01%；项目支出133.33万元，占25.99%。</w:t>
      </w:r>
    </w:p>
    <w:p w14:paraId="12791275">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 xml:space="preserve">四、财政拨款收入支出决算总体情况说明 </w:t>
      </w:r>
    </w:p>
    <w:p w14:paraId="734B7F41">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2020年度财政拨款收入总计423.15万元，年初财政拨款结转和结余45.44万元，总计468.58万元，与2019年财政拨款收入（434.00万元）相比，减少10.85万元，</w:t>
      </w:r>
      <w:r>
        <w:rPr>
          <w:rFonts w:hint="eastAsia" w:ascii="仿宋_GB2312" w:eastAsia="仿宋_GB2312"/>
          <w:sz w:val="32"/>
          <w:szCs w:val="32"/>
          <w:highlight w:val="white"/>
        </w:rPr>
        <w:t>下降2.5</w:t>
      </w:r>
      <w:r>
        <w:rPr>
          <w:rFonts w:ascii="仿宋_GB2312" w:eastAsia="仿宋_GB2312"/>
          <w:sz w:val="32"/>
          <w:szCs w:val="32"/>
          <w:highlight w:val="white"/>
        </w:rPr>
        <w:t>0</w:t>
      </w:r>
      <w:r>
        <w:rPr>
          <w:rFonts w:hint="eastAsia" w:ascii="仿宋_GB2312" w:eastAsia="仿宋_GB2312"/>
          <w:sz w:val="32"/>
          <w:szCs w:val="32"/>
        </w:rPr>
        <w:t>%,</w:t>
      </w:r>
      <w:r>
        <w:rPr>
          <w:rFonts w:hint="eastAsia" w:ascii="仿宋_GB2312" w:eastAsia="仿宋_GB2312"/>
          <w:sz w:val="32"/>
          <w:szCs w:val="32"/>
          <w:highlight w:val="white"/>
        </w:rPr>
        <w:t>主要原因是</w:t>
      </w:r>
      <w:r>
        <w:rPr>
          <w:rFonts w:hint="eastAsia" w:ascii="仿宋_GB2312" w:eastAsia="仿宋_GB2312"/>
          <w:sz w:val="32"/>
          <w:szCs w:val="32"/>
        </w:rPr>
        <w:t>：人员经费减少。</w:t>
      </w:r>
    </w:p>
    <w:p w14:paraId="333F805C">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2020年度财政拨款支出总计434.65万元，年末财政拨款结转和结余33.93万元，总计468.58万元，与2019年财政拨款支出（523.25万元）相比，减少88.60万元，</w:t>
      </w:r>
      <w:r>
        <w:rPr>
          <w:rFonts w:hint="eastAsia" w:ascii="仿宋_GB2312" w:eastAsia="仿宋_GB2312"/>
          <w:sz w:val="32"/>
          <w:szCs w:val="32"/>
          <w:highlight w:val="white"/>
        </w:rPr>
        <w:t>下降16.93</w:t>
      </w:r>
      <w:r>
        <w:rPr>
          <w:rFonts w:hint="eastAsia" w:ascii="仿宋_GB2312" w:eastAsia="仿宋_GB2312"/>
          <w:sz w:val="32"/>
          <w:szCs w:val="32"/>
        </w:rPr>
        <w:t>%。</w:t>
      </w:r>
      <w:r>
        <w:rPr>
          <w:rFonts w:hint="eastAsia" w:ascii="仿宋_GB2312" w:eastAsia="仿宋_GB2312"/>
          <w:sz w:val="32"/>
          <w:szCs w:val="32"/>
          <w:highlight w:val="white"/>
        </w:rPr>
        <w:t>主要原因是：</w:t>
      </w:r>
      <w:r>
        <w:rPr>
          <w:rFonts w:hint="eastAsia" w:ascii="仿宋_GB2312" w:eastAsia="仿宋_GB2312"/>
          <w:sz w:val="32"/>
          <w:szCs w:val="32"/>
        </w:rPr>
        <w:t>人员经费支出和事业支出减少。</w:t>
      </w:r>
    </w:p>
    <w:p w14:paraId="7AD358B7">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五、一般公共预算财政拨款支出决算情况说明</w:t>
      </w:r>
    </w:p>
    <w:p w14:paraId="6EB0B2A6">
      <w:pPr>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（一）一般公共预算财政拨款支出决算总体情况</w:t>
      </w:r>
    </w:p>
    <w:p w14:paraId="730EECA7">
      <w:pPr>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2020年度一般公共预算财政拨款支出379.65万元，占本年支出合计的74.01%。与2019年度相比，一般公共预算财政拨款支出减少35.60万元，减少8.57%,主要原因是</w:t>
      </w:r>
      <w:r>
        <w:rPr>
          <w:rFonts w:hint="eastAsia" w:ascii="仿宋_GB2312" w:eastAsia="仿宋_GB2312"/>
          <w:sz w:val="32"/>
          <w:szCs w:val="32"/>
        </w:rPr>
        <w:t>人员经费支出</w:t>
      </w:r>
      <w:r>
        <w:rPr>
          <w:rFonts w:ascii="仿宋_GB2312" w:eastAsia="仿宋_GB2312"/>
          <w:sz w:val="32"/>
          <w:szCs w:val="32"/>
        </w:rPr>
        <w:t>。</w:t>
      </w:r>
    </w:p>
    <w:p w14:paraId="06A43C20">
      <w:pPr>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（二）一般公共预算财政拨款支出决算结构情况</w:t>
      </w:r>
    </w:p>
    <w:p w14:paraId="0651DA9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2020年度一般公共预算财政拨款支出379.65万元，主要用于以下方面：文化旅游体育与传媒（类）支出353.84万元，占93.2</w:t>
      </w:r>
      <w:r>
        <w:rPr>
          <w:rFonts w:ascii="仿宋_GB2312" w:eastAsia="仿宋_GB2312"/>
          <w:sz w:val="32"/>
          <w:szCs w:val="32"/>
          <w:highlight w:val="white"/>
        </w:rPr>
        <w:t>0</w:t>
      </w:r>
      <w:r>
        <w:rPr>
          <w:rFonts w:hint="eastAsia" w:ascii="仿宋_GB2312" w:eastAsia="仿宋_GB2312"/>
          <w:sz w:val="32"/>
          <w:szCs w:val="32"/>
          <w:highlight w:val="white"/>
        </w:rPr>
        <w:t>%；社会保障和就业（类）支出10.07万元，占2.65%；卫生健康（类）支出8.18万元，占2.15%；住房保障（类）支出7.55万元，约占2</w:t>
      </w:r>
      <w:r>
        <w:rPr>
          <w:rFonts w:ascii="仿宋_GB2312" w:eastAsia="仿宋_GB2312"/>
          <w:sz w:val="32"/>
          <w:szCs w:val="32"/>
          <w:highlight w:val="white"/>
        </w:rPr>
        <w:t>.00</w:t>
      </w:r>
      <w:r>
        <w:rPr>
          <w:rFonts w:hint="eastAsia" w:ascii="仿宋_GB2312" w:eastAsia="仿宋_GB2312"/>
          <w:sz w:val="32"/>
          <w:szCs w:val="32"/>
          <w:highlight w:val="white"/>
        </w:rPr>
        <w:t>%；</w:t>
      </w:r>
    </w:p>
    <w:p w14:paraId="0661D7C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（三）一般公共预算财政拨款支出决算具体情况</w:t>
      </w:r>
    </w:p>
    <w:p w14:paraId="39A70F85">
      <w:pPr>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2020年度一般公共预算财政拨款支出年初预算为195.58万元，支出决算为379.65万元，完成年初预算的194.11%。其中</w:t>
      </w:r>
      <w:r>
        <w:rPr>
          <w:rFonts w:hint="eastAsia" w:ascii="仿宋_GB2312" w:eastAsia="仿宋_GB2312"/>
          <w:sz w:val="32"/>
          <w:szCs w:val="32"/>
        </w:rPr>
        <w:t>：</w:t>
      </w:r>
    </w:p>
    <w:p w14:paraId="255D08C0">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w:t>
      </w:r>
      <w:r>
        <w:rPr>
          <w:rFonts w:ascii="仿宋_GB2312" w:eastAsia="仿宋_GB2312"/>
          <w:sz w:val="32"/>
          <w:szCs w:val="32"/>
          <w:highlight w:val="white"/>
        </w:rPr>
        <w:t>207</w:t>
      </w:r>
      <w:r>
        <w:rPr>
          <w:rFonts w:hint="eastAsia" w:ascii="仿宋_GB2312" w:eastAsia="仿宋_GB2312"/>
          <w:sz w:val="32"/>
          <w:szCs w:val="32"/>
          <w:highlight w:val="white"/>
        </w:rPr>
        <w:t>文化旅游体育与传媒类支出（类）</w:t>
      </w:r>
      <w:r>
        <w:rPr>
          <w:rFonts w:ascii="仿宋_GB2312" w:eastAsia="仿宋_GB2312"/>
          <w:sz w:val="32"/>
          <w:szCs w:val="32"/>
          <w:highlight w:val="white"/>
        </w:rPr>
        <w:t>03</w:t>
      </w:r>
      <w:r>
        <w:rPr>
          <w:rFonts w:hint="eastAsia" w:ascii="仿宋_GB2312" w:eastAsia="仿宋_GB2312"/>
          <w:sz w:val="32"/>
          <w:szCs w:val="32"/>
          <w:highlight w:val="white"/>
        </w:rPr>
        <w:t>体育（款）</w:t>
      </w:r>
      <w:r>
        <w:rPr>
          <w:rFonts w:ascii="仿宋_GB2312" w:eastAsia="仿宋_GB2312"/>
          <w:sz w:val="32"/>
          <w:szCs w:val="32"/>
          <w:highlight w:val="white"/>
        </w:rPr>
        <w:t>01</w:t>
      </w:r>
      <w:r>
        <w:rPr>
          <w:rFonts w:hint="eastAsia" w:ascii="仿宋_GB2312" w:eastAsia="仿宋_GB2312"/>
          <w:sz w:val="32"/>
          <w:szCs w:val="32"/>
          <w:highlight w:val="white"/>
        </w:rPr>
        <w:t>行政运行（项）年初预算数为140.58万元，决算数为205.84万元，</w:t>
      </w:r>
      <w:r>
        <w:rPr>
          <w:rFonts w:ascii="仿宋_GB2312" w:eastAsia="仿宋_GB2312"/>
          <w:sz w:val="32"/>
          <w:szCs w:val="32"/>
          <w:highlight w:val="white"/>
        </w:rPr>
        <w:t>完成年初预算的146.42%，</w:t>
      </w:r>
      <w:r>
        <w:rPr>
          <w:rFonts w:hint="eastAsia" w:ascii="仿宋_GB2312" w:eastAsia="仿宋_GB2312"/>
          <w:sz w:val="32"/>
          <w:szCs w:val="32"/>
          <w:highlight w:val="white"/>
        </w:rPr>
        <w:t>决算数大于预算数的主要原因是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调整预算增加65.26万元</w:t>
      </w:r>
      <w:r>
        <w:rPr>
          <w:rFonts w:ascii="仿宋_GB2312" w:eastAsia="仿宋_GB2312"/>
          <w:sz w:val="32"/>
          <w:szCs w:val="32"/>
          <w:highlight w:val="white"/>
        </w:rPr>
        <w:t>；</w:t>
      </w:r>
    </w:p>
    <w:p w14:paraId="33A755DF">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2</w:t>
      </w:r>
      <w:r>
        <w:rPr>
          <w:rFonts w:hint="eastAsia" w:ascii="仿宋_GB2312" w:eastAsia="仿宋_GB2312"/>
          <w:sz w:val="32"/>
          <w:szCs w:val="32"/>
          <w:highlight w:val="white"/>
        </w:rPr>
        <w:t>.</w:t>
      </w:r>
      <w:r>
        <w:rPr>
          <w:rFonts w:ascii="仿宋_GB2312" w:eastAsia="仿宋_GB2312"/>
          <w:sz w:val="32"/>
          <w:szCs w:val="32"/>
          <w:highlight w:val="white"/>
        </w:rPr>
        <w:t>207</w:t>
      </w:r>
      <w:r>
        <w:rPr>
          <w:rFonts w:hint="eastAsia" w:ascii="仿宋_GB2312" w:eastAsia="仿宋_GB2312"/>
          <w:sz w:val="32"/>
          <w:szCs w:val="32"/>
          <w:highlight w:val="white"/>
        </w:rPr>
        <w:t>文化旅游体育与传媒类支出（类）</w:t>
      </w:r>
      <w:r>
        <w:rPr>
          <w:rFonts w:ascii="仿宋_GB2312" w:eastAsia="仿宋_GB2312"/>
          <w:sz w:val="32"/>
          <w:szCs w:val="32"/>
          <w:highlight w:val="white"/>
        </w:rPr>
        <w:t>03</w:t>
      </w:r>
      <w:r>
        <w:rPr>
          <w:rFonts w:hint="eastAsia" w:ascii="仿宋_GB2312" w:eastAsia="仿宋_GB2312"/>
          <w:sz w:val="32"/>
          <w:szCs w:val="32"/>
          <w:highlight w:val="white"/>
        </w:rPr>
        <w:t>体育（款）</w:t>
      </w:r>
      <w:r>
        <w:rPr>
          <w:rFonts w:ascii="仿宋_GB2312" w:eastAsia="仿宋_GB2312"/>
          <w:sz w:val="32"/>
          <w:szCs w:val="32"/>
          <w:highlight w:val="white"/>
        </w:rPr>
        <w:t>04运动项目管理</w:t>
      </w:r>
      <w:r>
        <w:rPr>
          <w:rFonts w:hint="eastAsia" w:ascii="仿宋_GB2312" w:eastAsia="仿宋_GB2312"/>
          <w:sz w:val="32"/>
          <w:szCs w:val="32"/>
          <w:highlight w:val="white"/>
        </w:rPr>
        <w:t>（项）年初预算数为</w:t>
      </w:r>
      <w:r>
        <w:rPr>
          <w:rFonts w:ascii="仿宋_GB2312" w:eastAsia="仿宋_GB2312"/>
          <w:sz w:val="32"/>
          <w:szCs w:val="32"/>
          <w:highlight w:val="white"/>
        </w:rPr>
        <w:t>10.00</w:t>
      </w:r>
      <w:r>
        <w:rPr>
          <w:rFonts w:hint="eastAsia" w:ascii="仿宋_GB2312" w:eastAsia="仿宋_GB2312"/>
          <w:sz w:val="32"/>
          <w:szCs w:val="32"/>
          <w:highlight w:val="white"/>
        </w:rPr>
        <w:t>万元，决算数为</w:t>
      </w:r>
      <w:r>
        <w:rPr>
          <w:rFonts w:ascii="仿宋_GB2312" w:eastAsia="仿宋_GB2312"/>
          <w:sz w:val="32"/>
          <w:szCs w:val="32"/>
          <w:highlight w:val="white"/>
        </w:rPr>
        <w:t>0</w:t>
      </w:r>
      <w:r>
        <w:rPr>
          <w:rFonts w:hint="eastAsia" w:ascii="仿宋_GB2312" w:eastAsia="仿宋_GB2312"/>
          <w:sz w:val="32"/>
          <w:szCs w:val="32"/>
          <w:highlight w:val="white"/>
        </w:rPr>
        <w:t>万元，决算数</w:t>
      </w:r>
      <w:r>
        <w:rPr>
          <w:rFonts w:ascii="仿宋_GB2312" w:eastAsia="仿宋_GB2312"/>
          <w:sz w:val="32"/>
          <w:szCs w:val="32"/>
          <w:highlight w:val="white"/>
        </w:rPr>
        <w:t>小</w:t>
      </w:r>
      <w:r>
        <w:rPr>
          <w:rFonts w:hint="eastAsia" w:ascii="仿宋_GB2312" w:eastAsia="仿宋_GB2312"/>
          <w:sz w:val="32"/>
          <w:szCs w:val="32"/>
          <w:highlight w:val="white"/>
        </w:rPr>
        <w:t>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w:t>
      </w:r>
      <w:r>
        <w:rPr>
          <w:rFonts w:ascii="仿宋_GB2312" w:eastAsia="仿宋_GB2312"/>
          <w:sz w:val="32"/>
          <w:szCs w:val="32"/>
          <w:highlight w:val="white"/>
        </w:rPr>
        <w:t>减少10.00</w:t>
      </w:r>
      <w:r>
        <w:rPr>
          <w:rFonts w:hint="eastAsia" w:ascii="仿宋_GB2312" w:eastAsia="仿宋_GB2312"/>
          <w:sz w:val="32"/>
          <w:szCs w:val="32"/>
          <w:highlight w:val="white"/>
        </w:rPr>
        <w:t>万元</w:t>
      </w:r>
      <w:r>
        <w:rPr>
          <w:rFonts w:ascii="仿宋_GB2312" w:eastAsia="仿宋_GB2312"/>
          <w:sz w:val="32"/>
          <w:szCs w:val="32"/>
          <w:highlight w:val="white"/>
        </w:rPr>
        <w:t>；</w:t>
      </w:r>
    </w:p>
    <w:p w14:paraId="63C5E443">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3</w:t>
      </w:r>
      <w:r>
        <w:rPr>
          <w:rFonts w:hint="eastAsia" w:ascii="仿宋_GB2312" w:eastAsia="仿宋_GB2312"/>
          <w:sz w:val="32"/>
          <w:szCs w:val="32"/>
          <w:highlight w:val="white"/>
        </w:rPr>
        <w:t>.</w:t>
      </w:r>
      <w:r>
        <w:rPr>
          <w:rFonts w:ascii="仿宋_GB2312" w:eastAsia="仿宋_GB2312"/>
          <w:sz w:val="32"/>
          <w:szCs w:val="32"/>
          <w:highlight w:val="white"/>
        </w:rPr>
        <w:t>207</w:t>
      </w:r>
      <w:r>
        <w:rPr>
          <w:rFonts w:hint="eastAsia" w:ascii="仿宋_GB2312" w:eastAsia="仿宋_GB2312"/>
          <w:sz w:val="32"/>
          <w:szCs w:val="32"/>
          <w:highlight w:val="white"/>
        </w:rPr>
        <w:t>文化旅游体育与传媒类支出（类）</w:t>
      </w:r>
      <w:r>
        <w:rPr>
          <w:rFonts w:ascii="仿宋_GB2312" w:eastAsia="仿宋_GB2312"/>
          <w:sz w:val="32"/>
          <w:szCs w:val="32"/>
          <w:highlight w:val="white"/>
        </w:rPr>
        <w:t>03</w:t>
      </w:r>
      <w:r>
        <w:rPr>
          <w:rFonts w:hint="eastAsia" w:ascii="仿宋_GB2312" w:eastAsia="仿宋_GB2312"/>
          <w:sz w:val="32"/>
          <w:szCs w:val="32"/>
          <w:highlight w:val="white"/>
        </w:rPr>
        <w:t>体育（款）</w:t>
      </w:r>
      <w:r>
        <w:rPr>
          <w:rFonts w:ascii="仿宋_GB2312" w:eastAsia="仿宋_GB2312"/>
          <w:sz w:val="32"/>
          <w:szCs w:val="32"/>
          <w:highlight w:val="white"/>
        </w:rPr>
        <w:t>05体育竞赛</w:t>
      </w:r>
      <w:r>
        <w:rPr>
          <w:rFonts w:hint="eastAsia" w:ascii="仿宋_GB2312" w:eastAsia="仿宋_GB2312"/>
          <w:sz w:val="32"/>
          <w:szCs w:val="32"/>
          <w:highlight w:val="white"/>
        </w:rPr>
        <w:t>（项）年初预算数为</w:t>
      </w:r>
      <w:r>
        <w:rPr>
          <w:rFonts w:ascii="仿宋_GB2312" w:eastAsia="仿宋_GB2312"/>
          <w:sz w:val="32"/>
          <w:szCs w:val="32"/>
          <w:highlight w:val="white"/>
        </w:rPr>
        <w:t>10.00</w:t>
      </w:r>
      <w:r>
        <w:rPr>
          <w:rFonts w:hint="eastAsia" w:ascii="仿宋_GB2312" w:eastAsia="仿宋_GB2312"/>
          <w:sz w:val="32"/>
          <w:szCs w:val="32"/>
          <w:highlight w:val="white"/>
        </w:rPr>
        <w:t>万元，决算数为</w:t>
      </w:r>
      <w:r>
        <w:rPr>
          <w:rFonts w:ascii="仿宋_GB2312" w:eastAsia="仿宋_GB2312"/>
          <w:sz w:val="32"/>
          <w:szCs w:val="32"/>
          <w:highlight w:val="white"/>
        </w:rPr>
        <w:t>0</w:t>
      </w:r>
      <w:r>
        <w:rPr>
          <w:rFonts w:hint="eastAsia" w:ascii="仿宋_GB2312" w:eastAsia="仿宋_GB2312"/>
          <w:sz w:val="32"/>
          <w:szCs w:val="32"/>
          <w:highlight w:val="white"/>
        </w:rPr>
        <w:t>万元，决算数</w:t>
      </w:r>
      <w:r>
        <w:rPr>
          <w:rFonts w:ascii="仿宋_GB2312" w:eastAsia="仿宋_GB2312"/>
          <w:sz w:val="32"/>
          <w:szCs w:val="32"/>
          <w:highlight w:val="white"/>
        </w:rPr>
        <w:t>小</w:t>
      </w:r>
      <w:r>
        <w:rPr>
          <w:rFonts w:hint="eastAsia" w:ascii="仿宋_GB2312" w:eastAsia="仿宋_GB2312"/>
          <w:sz w:val="32"/>
          <w:szCs w:val="32"/>
          <w:highlight w:val="white"/>
        </w:rPr>
        <w:t>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w:t>
      </w:r>
      <w:r>
        <w:rPr>
          <w:rFonts w:ascii="仿宋_GB2312" w:eastAsia="仿宋_GB2312"/>
          <w:sz w:val="32"/>
          <w:szCs w:val="32"/>
          <w:highlight w:val="white"/>
        </w:rPr>
        <w:t>减少10.00</w:t>
      </w:r>
      <w:r>
        <w:rPr>
          <w:rFonts w:hint="eastAsia" w:ascii="仿宋_GB2312" w:eastAsia="仿宋_GB2312"/>
          <w:sz w:val="32"/>
          <w:szCs w:val="32"/>
          <w:highlight w:val="white"/>
        </w:rPr>
        <w:t>万元</w:t>
      </w:r>
      <w:r>
        <w:rPr>
          <w:rFonts w:ascii="仿宋_GB2312" w:eastAsia="仿宋_GB2312"/>
          <w:sz w:val="32"/>
          <w:szCs w:val="32"/>
          <w:highlight w:val="white"/>
        </w:rPr>
        <w:t>；</w:t>
      </w:r>
    </w:p>
    <w:p w14:paraId="44CC6DC5">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4</w:t>
      </w:r>
      <w:r>
        <w:rPr>
          <w:rFonts w:hint="eastAsia" w:ascii="仿宋_GB2312" w:eastAsia="仿宋_GB2312"/>
          <w:sz w:val="32"/>
          <w:szCs w:val="32"/>
          <w:highlight w:val="white"/>
        </w:rPr>
        <w:t>.</w:t>
      </w:r>
      <w:r>
        <w:rPr>
          <w:rFonts w:ascii="仿宋_GB2312" w:eastAsia="仿宋_GB2312"/>
          <w:sz w:val="32"/>
          <w:szCs w:val="32"/>
          <w:highlight w:val="white"/>
        </w:rPr>
        <w:t>207</w:t>
      </w:r>
      <w:r>
        <w:rPr>
          <w:rFonts w:hint="eastAsia" w:ascii="仿宋_GB2312" w:eastAsia="仿宋_GB2312"/>
          <w:sz w:val="32"/>
          <w:szCs w:val="32"/>
          <w:highlight w:val="white"/>
        </w:rPr>
        <w:t>文化旅游体育与传媒类支出（类）</w:t>
      </w:r>
      <w:r>
        <w:rPr>
          <w:rFonts w:ascii="仿宋_GB2312" w:eastAsia="仿宋_GB2312"/>
          <w:sz w:val="32"/>
          <w:szCs w:val="32"/>
          <w:highlight w:val="white"/>
        </w:rPr>
        <w:t>03</w:t>
      </w:r>
      <w:r>
        <w:rPr>
          <w:rFonts w:hint="eastAsia" w:ascii="仿宋_GB2312" w:eastAsia="仿宋_GB2312"/>
          <w:sz w:val="32"/>
          <w:szCs w:val="32"/>
          <w:highlight w:val="white"/>
        </w:rPr>
        <w:t>体育（款）</w:t>
      </w:r>
      <w:r>
        <w:rPr>
          <w:rFonts w:ascii="仿宋_GB2312" w:eastAsia="仿宋_GB2312"/>
          <w:sz w:val="32"/>
          <w:szCs w:val="32"/>
          <w:highlight w:val="white"/>
        </w:rPr>
        <w:t>07</w:t>
      </w:r>
      <w:r>
        <w:rPr>
          <w:rFonts w:hint="eastAsia" w:ascii="仿宋_GB2312" w:eastAsia="仿宋_GB2312"/>
          <w:sz w:val="32"/>
          <w:szCs w:val="32"/>
          <w:highlight w:val="white"/>
        </w:rPr>
        <w:t>体育场馆（项）年初预算数为10</w:t>
      </w:r>
      <w:r>
        <w:rPr>
          <w:rFonts w:ascii="仿宋_GB2312" w:eastAsia="仿宋_GB2312"/>
          <w:sz w:val="32"/>
          <w:szCs w:val="32"/>
          <w:highlight w:val="white"/>
        </w:rPr>
        <w:t>.00</w:t>
      </w:r>
      <w:r>
        <w:rPr>
          <w:rFonts w:hint="eastAsia" w:ascii="仿宋_GB2312" w:eastAsia="仿宋_GB2312"/>
          <w:sz w:val="32"/>
          <w:szCs w:val="32"/>
          <w:highlight w:val="white"/>
        </w:rPr>
        <w:t>万元，决算数为64</w:t>
      </w:r>
      <w:r>
        <w:rPr>
          <w:rFonts w:ascii="仿宋_GB2312" w:eastAsia="仿宋_GB2312"/>
          <w:sz w:val="32"/>
          <w:szCs w:val="32"/>
          <w:highlight w:val="white"/>
        </w:rPr>
        <w:t>.00</w:t>
      </w:r>
      <w:r>
        <w:rPr>
          <w:rFonts w:hint="eastAsia" w:ascii="仿宋_GB2312" w:eastAsia="仿宋_GB2312"/>
          <w:sz w:val="32"/>
          <w:szCs w:val="32"/>
          <w:highlight w:val="white"/>
        </w:rPr>
        <w:t>万元，</w:t>
      </w:r>
      <w:r>
        <w:rPr>
          <w:rFonts w:ascii="仿宋_GB2312" w:eastAsia="仿宋_GB2312"/>
          <w:sz w:val="32"/>
          <w:szCs w:val="32"/>
          <w:highlight w:val="white"/>
        </w:rPr>
        <w:t>完成年初预算的640%，</w:t>
      </w:r>
      <w:r>
        <w:rPr>
          <w:rFonts w:hint="eastAsia" w:ascii="仿宋_GB2312" w:eastAsia="仿宋_GB2312"/>
          <w:sz w:val="32"/>
          <w:szCs w:val="32"/>
          <w:highlight w:val="white"/>
        </w:rPr>
        <w:t>决算数大于预算数的主要原因是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调整预算增加54</w:t>
      </w:r>
      <w:r>
        <w:rPr>
          <w:rFonts w:ascii="仿宋_GB2312" w:eastAsia="仿宋_GB2312"/>
          <w:sz w:val="32"/>
          <w:szCs w:val="32"/>
          <w:highlight w:val="white"/>
        </w:rPr>
        <w:t>.00</w:t>
      </w:r>
      <w:r>
        <w:rPr>
          <w:rFonts w:hint="eastAsia" w:ascii="仿宋_GB2312" w:eastAsia="仿宋_GB2312"/>
          <w:sz w:val="32"/>
          <w:szCs w:val="32"/>
          <w:highlight w:val="white"/>
        </w:rPr>
        <w:t>万元</w:t>
      </w:r>
      <w:r>
        <w:rPr>
          <w:rFonts w:ascii="仿宋_GB2312" w:eastAsia="仿宋_GB2312"/>
          <w:sz w:val="32"/>
          <w:szCs w:val="32"/>
          <w:highlight w:val="white"/>
        </w:rPr>
        <w:t>；</w:t>
      </w:r>
    </w:p>
    <w:p w14:paraId="280FBF77">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5</w:t>
      </w:r>
      <w:r>
        <w:rPr>
          <w:rFonts w:hint="eastAsia" w:ascii="仿宋_GB2312" w:eastAsia="仿宋_GB2312"/>
          <w:sz w:val="32"/>
          <w:szCs w:val="32"/>
          <w:highlight w:val="white"/>
        </w:rPr>
        <w:t>.</w:t>
      </w:r>
      <w:r>
        <w:rPr>
          <w:rFonts w:ascii="仿宋_GB2312" w:eastAsia="仿宋_GB2312"/>
          <w:sz w:val="32"/>
          <w:szCs w:val="32"/>
          <w:highlight w:val="white"/>
        </w:rPr>
        <w:t>207</w:t>
      </w:r>
      <w:r>
        <w:rPr>
          <w:rFonts w:hint="eastAsia" w:ascii="仿宋_GB2312" w:eastAsia="仿宋_GB2312"/>
          <w:sz w:val="32"/>
          <w:szCs w:val="32"/>
          <w:highlight w:val="white"/>
        </w:rPr>
        <w:t>文化旅游体育与传媒类支出（类）</w:t>
      </w:r>
      <w:r>
        <w:rPr>
          <w:rFonts w:ascii="仿宋_GB2312" w:eastAsia="仿宋_GB2312"/>
          <w:sz w:val="32"/>
          <w:szCs w:val="32"/>
          <w:highlight w:val="white"/>
        </w:rPr>
        <w:t>03</w:t>
      </w:r>
      <w:r>
        <w:rPr>
          <w:rFonts w:hint="eastAsia" w:ascii="仿宋_GB2312" w:eastAsia="仿宋_GB2312"/>
          <w:sz w:val="32"/>
          <w:szCs w:val="32"/>
          <w:highlight w:val="white"/>
        </w:rPr>
        <w:t>体育（款）</w:t>
      </w:r>
      <w:r>
        <w:rPr>
          <w:rFonts w:ascii="仿宋_GB2312" w:eastAsia="仿宋_GB2312"/>
          <w:sz w:val="32"/>
          <w:szCs w:val="32"/>
          <w:highlight w:val="white"/>
        </w:rPr>
        <w:t>08群众体育</w:t>
      </w:r>
      <w:r>
        <w:rPr>
          <w:rFonts w:hint="eastAsia" w:ascii="仿宋_GB2312" w:eastAsia="仿宋_GB2312"/>
          <w:sz w:val="32"/>
          <w:szCs w:val="32"/>
          <w:highlight w:val="white"/>
        </w:rPr>
        <w:t>（项）年初预算数为</w:t>
      </w:r>
      <w:r>
        <w:rPr>
          <w:rFonts w:ascii="仿宋_GB2312" w:eastAsia="仿宋_GB2312"/>
          <w:sz w:val="32"/>
          <w:szCs w:val="32"/>
          <w:highlight w:val="white"/>
        </w:rPr>
        <w:t>20.00</w:t>
      </w:r>
      <w:r>
        <w:rPr>
          <w:rFonts w:hint="eastAsia" w:ascii="仿宋_GB2312" w:eastAsia="仿宋_GB2312"/>
          <w:sz w:val="32"/>
          <w:szCs w:val="32"/>
          <w:highlight w:val="white"/>
        </w:rPr>
        <w:t>万元，决算数为</w:t>
      </w:r>
      <w:r>
        <w:rPr>
          <w:rFonts w:ascii="仿宋_GB2312" w:eastAsia="仿宋_GB2312"/>
          <w:sz w:val="32"/>
          <w:szCs w:val="32"/>
          <w:highlight w:val="white"/>
        </w:rPr>
        <w:t>0</w:t>
      </w:r>
      <w:r>
        <w:rPr>
          <w:rFonts w:hint="eastAsia" w:ascii="仿宋_GB2312" w:eastAsia="仿宋_GB2312"/>
          <w:sz w:val="32"/>
          <w:szCs w:val="32"/>
          <w:highlight w:val="white"/>
        </w:rPr>
        <w:t>万元，决算数</w:t>
      </w:r>
      <w:r>
        <w:rPr>
          <w:rFonts w:ascii="仿宋_GB2312" w:eastAsia="仿宋_GB2312"/>
          <w:sz w:val="32"/>
          <w:szCs w:val="32"/>
          <w:highlight w:val="white"/>
        </w:rPr>
        <w:t>小</w:t>
      </w:r>
      <w:r>
        <w:rPr>
          <w:rFonts w:hint="eastAsia" w:ascii="仿宋_GB2312" w:eastAsia="仿宋_GB2312"/>
          <w:sz w:val="32"/>
          <w:szCs w:val="32"/>
          <w:highlight w:val="white"/>
        </w:rPr>
        <w:t>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w:t>
      </w:r>
      <w:r>
        <w:rPr>
          <w:rFonts w:ascii="仿宋_GB2312" w:eastAsia="仿宋_GB2312"/>
          <w:sz w:val="32"/>
          <w:szCs w:val="32"/>
          <w:highlight w:val="white"/>
        </w:rPr>
        <w:t>减少20.00</w:t>
      </w:r>
      <w:r>
        <w:rPr>
          <w:rFonts w:hint="eastAsia" w:ascii="仿宋_GB2312" w:eastAsia="仿宋_GB2312"/>
          <w:sz w:val="32"/>
          <w:szCs w:val="32"/>
          <w:highlight w:val="white"/>
        </w:rPr>
        <w:t>万元</w:t>
      </w:r>
      <w:r>
        <w:rPr>
          <w:rFonts w:ascii="仿宋_GB2312" w:eastAsia="仿宋_GB2312"/>
          <w:sz w:val="32"/>
          <w:szCs w:val="32"/>
          <w:highlight w:val="white"/>
        </w:rPr>
        <w:t>；</w:t>
      </w:r>
    </w:p>
    <w:p w14:paraId="4AD28C38">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6</w:t>
      </w:r>
      <w:r>
        <w:rPr>
          <w:rFonts w:hint="eastAsia" w:ascii="仿宋_GB2312" w:eastAsia="仿宋_GB2312"/>
          <w:sz w:val="32"/>
          <w:szCs w:val="32"/>
          <w:highlight w:val="white"/>
        </w:rPr>
        <w:t>.</w:t>
      </w:r>
      <w:r>
        <w:rPr>
          <w:rFonts w:ascii="仿宋_GB2312" w:eastAsia="仿宋_GB2312"/>
          <w:sz w:val="32"/>
          <w:szCs w:val="32"/>
          <w:highlight w:val="white"/>
        </w:rPr>
        <w:t>207</w:t>
      </w:r>
      <w:r>
        <w:rPr>
          <w:rFonts w:hint="eastAsia" w:ascii="仿宋_GB2312" w:eastAsia="仿宋_GB2312"/>
          <w:sz w:val="32"/>
          <w:szCs w:val="32"/>
          <w:highlight w:val="white"/>
        </w:rPr>
        <w:t>文化旅游体育与传媒类支出（类）</w:t>
      </w:r>
      <w:r>
        <w:rPr>
          <w:rFonts w:ascii="仿宋_GB2312" w:eastAsia="仿宋_GB2312"/>
          <w:sz w:val="32"/>
          <w:szCs w:val="32"/>
          <w:highlight w:val="white"/>
        </w:rPr>
        <w:t>03</w:t>
      </w:r>
      <w:r>
        <w:rPr>
          <w:rFonts w:hint="eastAsia" w:ascii="仿宋_GB2312" w:eastAsia="仿宋_GB2312"/>
          <w:sz w:val="32"/>
          <w:szCs w:val="32"/>
          <w:highlight w:val="white"/>
        </w:rPr>
        <w:t>体育（款）</w:t>
      </w:r>
      <w:r>
        <w:rPr>
          <w:rFonts w:ascii="仿宋_GB2312" w:eastAsia="仿宋_GB2312"/>
          <w:sz w:val="32"/>
          <w:szCs w:val="32"/>
          <w:highlight w:val="white"/>
        </w:rPr>
        <w:t>99其他体育支出</w:t>
      </w:r>
      <w:r>
        <w:rPr>
          <w:rFonts w:hint="eastAsia" w:ascii="仿宋_GB2312" w:eastAsia="仿宋_GB2312"/>
          <w:sz w:val="32"/>
          <w:szCs w:val="32"/>
          <w:highlight w:val="white"/>
        </w:rPr>
        <w:t>（项）年初预算数为</w:t>
      </w:r>
      <w:r>
        <w:rPr>
          <w:rFonts w:ascii="仿宋_GB2312" w:eastAsia="仿宋_GB2312"/>
          <w:sz w:val="32"/>
          <w:szCs w:val="32"/>
          <w:highlight w:val="white"/>
        </w:rPr>
        <w:t>5.00</w:t>
      </w:r>
      <w:r>
        <w:rPr>
          <w:rFonts w:hint="eastAsia" w:ascii="仿宋_GB2312" w:eastAsia="仿宋_GB2312"/>
          <w:sz w:val="32"/>
          <w:szCs w:val="32"/>
          <w:highlight w:val="white"/>
        </w:rPr>
        <w:t>万元，决算数为</w:t>
      </w:r>
      <w:r>
        <w:rPr>
          <w:rFonts w:ascii="仿宋_GB2312" w:eastAsia="仿宋_GB2312"/>
          <w:sz w:val="32"/>
          <w:szCs w:val="32"/>
          <w:highlight w:val="white"/>
        </w:rPr>
        <w:t>0</w:t>
      </w:r>
      <w:r>
        <w:rPr>
          <w:rFonts w:hint="eastAsia" w:ascii="仿宋_GB2312" w:eastAsia="仿宋_GB2312"/>
          <w:sz w:val="32"/>
          <w:szCs w:val="32"/>
          <w:highlight w:val="white"/>
        </w:rPr>
        <w:t>万元，决算数</w:t>
      </w:r>
      <w:r>
        <w:rPr>
          <w:rFonts w:ascii="仿宋_GB2312" w:eastAsia="仿宋_GB2312"/>
          <w:sz w:val="32"/>
          <w:szCs w:val="32"/>
          <w:highlight w:val="white"/>
        </w:rPr>
        <w:t>小</w:t>
      </w:r>
      <w:r>
        <w:rPr>
          <w:rFonts w:hint="eastAsia" w:ascii="仿宋_GB2312" w:eastAsia="仿宋_GB2312"/>
          <w:sz w:val="32"/>
          <w:szCs w:val="32"/>
          <w:highlight w:val="white"/>
        </w:rPr>
        <w:t>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w:t>
      </w:r>
      <w:r>
        <w:rPr>
          <w:rFonts w:ascii="仿宋_GB2312" w:eastAsia="仿宋_GB2312"/>
          <w:sz w:val="32"/>
          <w:szCs w:val="32"/>
          <w:highlight w:val="white"/>
        </w:rPr>
        <w:t>减少5.00</w:t>
      </w:r>
      <w:r>
        <w:rPr>
          <w:rFonts w:hint="eastAsia" w:ascii="仿宋_GB2312" w:eastAsia="仿宋_GB2312"/>
          <w:sz w:val="32"/>
          <w:szCs w:val="32"/>
          <w:highlight w:val="white"/>
        </w:rPr>
        <w:t>万元</w:t>
      </w:r>
      <w:r>
        <w:rPr>
          <w:rFonts w:ascii="仿宋_GB2312" w:eastAsia="仿宋_GB2312"/>
          <w:sz w:val="32"/>
          <w:szCs w:val="32"/>
          <w:highlight w:val="white"/>
        </w:rPr>
        <w:t>；</w:t>
      </w:r>
    </w:p>
    <w:p w14:paraId="4CB80C40">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7.207</w:t>
      </w:r>
      <w:r>
        <w:rPr>
          <w:rFonts w:hint="eastAsia" w:ascii="仿宋_GB2312" w:eastAsia="仿宋_GB2312"/>
          <w:sz w:val="32"/>
          <w:szCs w:val="32"/>
          <w:highlight w:val="white"/>
        </w:rPr>
        <w:t>文化旅游体育与传媒类支出（类）</w:t>
      </w:r>
      <w:r>
        <w:rPr>
          <w:rFonts w:ascii="仿宋_GB2312" w:eastAsia="仿宋_GB2312"/>
          <w:sz w:val="32"/>
          <w:szCs w:val="32"/>
          <w:highlight w:val="white"/>
        </w:rPr>
        <w:t>99</w:t>
      </w:r>
      <w:r>
        <w:rPr>
          <w:rFonts w:hint="eastAsia" w:ascii="仿宋_GB2312" w:eastAsia="仿宋_GB2312"/>
          <w:sz w:val="32"/>
          <w:szCs w:val="32"/>
          <w:highlight w:val="white"/>
        </w:rPr>
        <w:t>其他文化旅游体育与传媒类支出（款）</w:t>
      </w:r>
      <w:r>
        <w:rPr>
          <w:rFonts w:ascii="仿宋_GB2312" w:eastAsia="仿宋_GB2312"/>
          <w:sz w:val="32"/>
          <w:szCs w:val="32"/>
          <w:highlight w:val="white"/>
        </w:rPr>
        <w:t>99</w:t>
      </w:r>
      <w:r>
        <w:rPr>
          <w:rFonts w:hint="eastAsia" w:ascii="仿宋_GB2312" w:eastAsia="仿宋_GB2312"/>
          <w:sz w:val="32"/>
          <w:szCs w:val="32"/>
          <w:highlight w:val="white"/>
        </w:rPr>
        <w:t>其他文化旅游体育与传媒类支出（项）</w:t>
      </w:r>
    </w:p>
    <w:p w14:paraId="4E7C74F6">
      <w:pPr>
        <w:spacing w:line="560" w:lineRule="exact"/>
        <w:rPr>
          <w:rFonts w:ascii="仿宋_GB2312" w:eastAsia="仿宋_GB2312"/>
          <w:sz w:val="32"/>
          <w:szCs w:val="32"/>
          <w:highlight w:val="white"/>
        </w:rPr>
      </w:pPr>
      <w:r>
        <w:rPr>
          <w:rFonts w:hint="eastAsia" w:ascii="仿宋_GB2312" w:eastAsia="仿宋_GB2312"/>
          <w:sz w:val="32"/>
          <w:szCs w:val="32"/>
          <w:highlight w:val="white"/>
        </w:rPr>
        <w:t>年初预算数为0万元，决算数为84</w:t>
      </w:r>
      <w:r>
        <w:rPr>
          <w:rFonts w:ascii="仿宋_GB2312" w:eastAsia="仿宋_GB2312"/>
          <w:sz w:val="32"/>
          <w:szCs w:val="32"/>
          <w:highlight w:val="white"/>
        </w:rPr>
        <w:t>.00</w:t>
      </w:r>
      <w:r>
        <w:rPr>
          <w:rFonts w:hint="eastAsia" w:ascii="仿宋_GB2312" w:eastAsia="仿宋_GB2312"/>
          <w:sz w:val="32"/>
          <w:szCs w:val="32"/>
          <w:highlight w:val="white"/>
        </w:rPr>
        <w:t>万元，决算数大于预算数的主要原因是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调整预算增加84</w:t>
      </w:r>
      <w:r>
        <w:rPr>
          <w:rFonts w:ascii="仿宋_GB2312" w:eastAsia="仿宋_GB2312"/>
          <w:sz w:val="32"/>
          <w:szCs w:val="32"/>
          <w:highlight w:val="white"/>
        </w:rPr>
        <w:t>.00</w:t>
      </w:r>
      <w:r>
        <w:rPr>
          <w:rFonts w:hint="eastAsia" w:ascii="仿宋_GB2312" w:eastAsia="仿宋_GB2312"/>
          <w:sz w:val="32"/>
          <w:szCs w:val="32"/>
          <w:highlight w:val="white"/>
        </w:rPr>
        <w:t>万元</w:t>
      </w:r>
      <w:r>
        <w:rPr>
          <w:rFonts w:ascii="仿宋_GB2312" w:eastAsia="仿宋_GB2312"/>
          <w:sz w:val="32"/>
          <w:szCs w:val="32"/>
          <w:highlight w:val="white"/>
        </w:rPr>
        <w:t>；</w:t>
      </w:r>
      <w:r>
        <w:rPr>
          <w:rFonts w:hint="eastAsia" w:ascii="仿宋_GB2312" w:eastAsia="仿宋_GB2312"/>
          <w:sz w:val="32"/>
          <w:szCs w:val="32"/>
          <w:highlight w:val="white"/>
        </w:rPr>
        <w:t xml:space="preserve"> </w:t>
      </w:r>
    </w:p>
    <w:p w14:paraId="3E2A655A">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8</w:t>
      </w:r>
      <w:r>
        <w:rPr>
          <w:rFonts w:hint="eastAsia" w:ascii="仿宋_GB2312" w:eastAsia="仿宋_GB2312"/>
          <w:sz w:val="32"/>
          <w:szCs w:val="32"/>
          <w:highlight w:val="white"/>
        </w:rPr>
        <w:t>.</w:t>
      </w:r>
      <w:r>
        <w:rPr>
          <w:rFonts w:ascii="仿宋_GB2312" w:eastAsia="仿宋_GB2312"/>
          <w:sz w:val="32"/>
          <w:szCs w:val="32"/>
          <w:highlight w:val="white"/>
        </w:rPr>
        <w:t>208</w:t>
      </w:r>
      <w:r>
        <w:rPr>
          <w:rFonts w:hint="eastAsia" w:ascii="仿宋_GB2312" w:eastAsia="仿宋_GB2312"/>
          <w:sz w:val="32"/>
          <w:szCs w:val="32"/>
          <w:highlight w:val="white"/>
        </w:rPr>
        <w:t>社会保障和就业支出（类）</w:t>
      </w:r>
      <w:r>
        <w:rPr>
          <w:rFonts w:ascii="仿宋_GB2312" w:eastAsia="仿宋_GB2312"/>
          <w:sz w:val="32"/>
          <w:szCs w:val="32"/>
          <w:highlight w:val="white"/>
        </w:rPr>
        <w:t>05</w:t>
      </w:r>
      <w:r>
        <w:rPr>
          <w:rFonts w:hint="eastAsia" w:ascii="仿宋_GB2312" w:eastAsia="仿宋_GB2312"/>
          <w:sz w:val="32"/>
          <w:szCs w:val="32"/>
          <w:highlight w:val="white"/>
        </w:rPr>
        <w:t>行政事业单位养老支出（款）</w:t>
      </w:r>
      <w:r>
        <w:rPr>
          <w:rFonts w:ascii="仿宋_GB2312" w:eastAsia="仿宋_GB2312"/>
          <w:sz w:val="32"/>
          <w:szCs w:val="32"/>
          <w:highlight w:val="white"/>
        </w:rPr>
        <w:t>05</w:t>
      </w:r>
      <w:r>
        <w:rPr>
          <w:rFonts w:hint="eastAsia" w:ascii="仿宋_GB2312" w:eastAsia="仿宋_GB2312"/>
          <w:sz w:val="32"/>
          <w:szCs w:val="32"/>
          <w:highlight w:val="white"/>
        </w:rPr>
        <w:t>机关事业单位基本养老保险缴费支出（项）预算数为0万元，决算数为10.07万元，增加10.07万元。决算数大于预算数的主要原因是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调整预算增加10.07万元</w:t>
      </w:r>
      <w:r>
        <w:rPr>
          <w:rFonts w:ascii="仿宋_GB2312" w:eastAsia="仿宋_GB2312"/>
          <w:sz w:val="32"/>
          <w:szCs w:val="32"/>
          <w:highlight w:val="white"/>
        </w:rPr>
        <w:t>；</w:t>
      </w:r>
    </w:p>
    <w:p w14:paraId="0DF581A1">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9.210</w:t>
      </w:r>
      <w:r>
        <w:rPr>
          <w:rFonts w:hint="eastAsia" w:ascii="仿宋_GB2312" w:eastAsia="仿宋_GB2312"/>
          <w:sz w:val="32"/>
          <w:szCs w:val="32"/>
          <w:highlight w:val="white"/>
        </w:rPr>
        <w:t>卫生健康（类）</w:t>
      </w:r>
      <w:r>
        <w:rPr>
          <w:rFonts w:ascii="仿宋_GB2312" w:eastAsia="仿宋_GB2312"/>
          <w:sz w:val="32"/>
          <w:szCs w:val="32"/>
          <w:highlight w:val="white"/>
        </w:rPr>
        <w:t>11</w:t>
      </w:r>
      <w:r>
        <w:rPr>
          <w:rFonts w:hint="eastAsia" w:ascii="仿宋_GB2312" w:eastAsia="仿宋_GB2312"/>
          <w:sz w:val="32"/>
          <w:szCs w:val="32"/>
          <w:highlight w:val="white"/>
        </w:rPr>
        <w:t>行政事业单位医疗（款）</w:t>
      </w:r>
      <w:r>
        <w:rPr>
          <w:rFonts w:ascii="仿宋_GB2312" w:eastAsia="仿宋_GB2312"/>
          <w:sz w:val="32"/>
          <w:szCs w:val="32"/>
          <w:highlight w:val="white"/>
        </w:rPr>
        <w:t>02</w:t>
      </w:r>
      <w:r>
        <w:rPr>
          <w:rFonts w:hint="eastAsia" w:ascii="仿宋_GB2312" w:eastAsia="仿宋_GB2312"/>
          <w:sz w:val="32"/>
          <w:szCs w:val="32"/>
          <w:highlight w:val="white"/>
        </w:rPr>
        <w:t>事业单位医疗（项）预算数为0万元，决算数为8.18万元。决算数大于预算数的主要原因是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调整预算增加8.18万元</w:t>
      </w:r>
      <w:r>
        <w:rPr>
          <w:rFonts w:ascii="仿宋_GB2312" w:eastAsia="仿宋_GB2312"/>
          <w:sz w:val="32"/>
          <w:szCs w:val="32"/>
          <w:highlight w:val="white"/>
        </w:rPr>
        <w:t>；</w:t>
      </w:r>
    </w:p>
    <w:p w14:paraId="35AE2FDC">
      <w:pPr>
        <w:spacing w:line="560" w:lineRule="exact"/>
        <w:ind w:firstLine="640" w:firstLineChars="200"/>
        <w:rPr>
          <w:rFonts w:ascii="仿宋_GB2312" w:eastAsia="仿宋_GB2312"/>
          <w:sz w:val="32"/>
          <w:szCs w:val="32"/>
          <w:highlight w:val="white"/>
        </w:rPr>
      </w:pPr>
      <w:r>
        <w:rPr>
          <w:rFonts w:ascii="仿宋_GB2312" w:eastAsia="仿宋_GB2312"/>
          <w:sz w:val="32"/>
          <w:szCs w:val="32"/>
          <w:highlight w:val="white"/>
        </w:rPr>
        <w:t>10.221</w:t>
      </w:r>
      <w:r>
        <w:rPr>
          <w:rFonts w:hint="eastAsia" w:ascii="仿宋_GB2312" w:eastAsia="仿宋_GB2312"/>
          <w:sz w:val="32"/>
          <w:szCs w:val="32"/>
          <w:highlight w:val="white"/>
        </w:rPr>
        <w:t>住房保障支出（类）</w:t>
      </w:r>
      <w:r>
        <w:rPr>
          <w:rFonts w:ascii="仿宋_GB2312" w:eastAsia="仿宋_GB2312"/>
          <w:sz w:val="32"/>
          <w:szCs w:val="32"/>
          <w:highlight w:val="white"/>
        </w:rPr>
        <w:t>02</w:t>
      </w:r>
      <w:r>
        <w:rPr>
          <w:rFonts w:hint="eastAsia" w:ascii="仿宋_GB2312" w:eastAsia="仿宋_GB2312"/>
          <w:sz w:val="32"/>
          <w:szCs w:val="32"/>
          <w:highlight w:val="white"/>
        </w:rPr>
        <w:t>住房改革支出（款）</w:t>
      </w:r>
      <w:r>
        <w:rPr>
          <w:rFonts w:ascii="仿宋_GB2312" w:eastAsia="仿宋_GB2312"/>
          <w:sz w:val="32"/>
          <w:szCs w:val="32"/>
          <w:highlight w:val="white"/>
        </w:rPr>
        <w:t>01</w:t>
      </w:r>
      <w:r>
        <w:rPr>
          <w:rFonts w:hint="eastAsia" w:ascii="仿宋_GB2312" w:eastAsia="仿宋_GB2312"/>
          <w:sz w:val="32"/>
          <w:szCs w:val="32"/>
          <w:highlight w:val="white"/>
        </w:rPr>
        <w:t>住房公积金（项）年初预算数为0，决算数为7.55</w:t>
      </w:r>
      <w:r>
        <w:rPr>
          <w:rFonts w:ascii="仿宋_GB2312" w:eastAsia="仿宋_GB2312"/>
          <w:sz w:val="32"/>
          <w:szCs w:val="32"/>
          <w:highlight w:val="white"/>
        </w:rPr>
        <w:t>万元，</w:t>
      </w:r>
      <w:r>
        <w:rPr>
          <w:rFonts w:hint="eastAsia" w:ascii="仿宋_GB2312" w:eastAsia="仿宋_GB2312"/>
          <w:sz w:val="32"/>
          <w:szCs w:val="32"/>
          <w:highlight w:val="white"/>
        </w:rPr>
        <w:t>决算数大于预算数的主要原因是</w:t>
      </w:r>
      <w:r>
        <w:rPr>
          <w:rFonts w:ascii="仿宋_GB2312" w:eastAsia="仿宋_GB2312"/>
          <w:sz w:val="32"/>
          <w:szCs w:val="32"/>
          <w:highlight w:val="white"/>
        </w:rPr>
        <w:t>：</w:t>
      </w:r>
      <w:r>
        <w:rPr>
          <w:rFonts w:hint="eastAsia" w:ascii="仿宋_GB2312" w:eastAsia="仿宋_GB2312"/>
          <w:sz w:val="32"/>
          <w:szCs w:val="32"/>
          <w:highlight w:val="white"/>
        </w:rPr>
        <w:t>调整预算增加7.55万元</w:t>
      </w:r>
      <w:r>
        <w:rPr>
          <w:rFonts w:ascii="仿宋_GB2312" w:eastAsia="仿宋_GB2312"/>
          <w:sz w:val="32"/>
          <w:szCs w:val="32"/>
          <w:highlight w:val="white"/>
        </w:rPr>
        <w:t>。</w:t>
      </w:r>
    </w:p>
    <w:p w14:paraId="571852D7">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六、一般公共预算财政拨款基本支出决算情况说明</w:t>
      </w:r>
    </w:p>
    <w:p w14:paraId="24C9EC4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基本支出379.65万元，其中:人员经费240.27万元，占基本支出的63.29%，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139.38万元，占基本支出的36.71%，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05B09F7B">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七、一般公共预算财政拨款“三公”经费支出决算情况说明</w:t>
      </w:r>
    </w:p>
    <w:p w14:paraId="0AAAFE73">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14:paraId="7B20876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2020年度“三公”经费财政拨款支出预算为4.6</w:t>
      </w:r>
      <w:r>
        <w:rPr>
          <w:rFonts w:ascii="仿宋_GB2312" w:eastAsia="仿宋_GB2312"/>
          <w:sz w:val="32"/>
          <w:szCs w:val="32"/>
          <w:highlight w:val="white"/>
        </w:rPr>
        <w:t>0</w:t>
      </w:r>
      <w:r>
        <w:rPr>
          <w:rFonts w:hint="eastAsia" w:ascii="仿宋_GB2312" w:eastAsia="仿宋_GB2312"/>
          <w:sz w:val="32"/>
          <w:szCs w:val="32"/>
          <w:highlight w:val="white"/>
        </w:rPr>
        <w:t>万元，支出决算为0.04万元,完成预算的0.87%，</w:t>
      </w:r>
      <w:r>
        <w:rPr>
          <w:rFonts w:ascii="仿宋_GB2312" w:eastAsia="仿宋_GB2312"/>
          <w:sz w:val="32"/>
          <w:szCs w:val="32"/>
          <w:highlight w:val="white"/>
        </w:rPr>
        <w:t>与2019年</w:t>
      </w:r>
      <w:r>
        <w:rPr>
          <w:rFonts w:hint="eastAsia" w:ascii="仿宋_GB2312" w:eastAsia="仿宋_GB2312"/>
          <w:sz w:val="32"/>
          <w:szCs w:val="32"/>
          <w:highlight w:val="white"/>
        </w:rPr>
        <w:t>“三公”经费财政拨款支出</w:t>
      </w:r>
      <w:r>
        <w:rPr>
          <w:rFonts w:ascii="仿宋_GB2312" w:eastAsia="仿宋_GB2312"/>
          <w:sz w:val="32"/>
          <w:szCs w:val="32"/>
          <w:highlight w:val="white"/>
        </w:rPr>
        <w:t>（0.13万元）相比，减少0.09万元，下降69.23%，</w:t>
      </w:r>
      <w:r>
        <w:rPr>
          <w:rFonts w:hint="eastAsia" w:ascii="仿宋_GB2312" w:eastAsia="仿宋_GB2312"/>
          <w:sz w:val="32"/>
          <w:szCs w:val="32"/>
          <w:highlight w:val="white"/>
        </w:rPr>
        <w:t>其中：无因公出国（境）费支出预算与决算；无公务用车购置费及运行维护费支出预算与决算；公务接待费支出预算为0.</w:t>
      </w:r>
      <w:r>
        <w:rPr>
          <w:rFonts w:ascii="仿宋_GB2312" w:eastAsia="仿宋_GB2312"/>
          <w:sz w:val="32"/>
          <w:szCs w:val="32"/>
          <w:highlight w:val="white"/>
        </w:rPr>
        <w:t>6</w:t>
      </w:r>
      <w:r>
        <w:rPr>
          <w:rFonts w:hint="eastAsia" w:ascii="仿宋_GB2312" w:eastAsia="仿宋_GB2312"/>
          <w:sz w:val="32"/>
          <w:szCs w:val="32"/>
          <w:highlight w:val="white"/>
        </w:rPr>
        <w:t>万元，支出决算为0.</w:t>
      </w:r>
      <w:r>
        <w:rPr>
          <w:rFonts w:ascii="仿宋_GB2312" w:eastAsia="仿宋_GB2312"/>
          <w:sz w:val="32"/>
          <w:szCs w:val="32"/>
          <w:highlight w:val="white"/>
        </w:rPr>
        <w:t>04</w:t>
      </w:r>
      <w:r>
        <w:rPr>
          <w:rFonts w:hint="eastAsia" w:ascii="仿宋_GB2312" w:eastAsia="仿宋_GB2312"/>
          <w:sz w:val="32"/>
          <w:szCs w:val="32"/>
          <w:highlight w:val="white"/>
        </w:rPr>
        <w:t>万元,完成预算的6.67%；公务用车运行维护费支出预算4</w:t>
      </w:r>
      <w:r>
        <w:rPr>
          <w:rFonts w:ascii="仿宋_GB2312" w:eastAsia="仿宋_GB2312"/>
          <w:sz w:val="32"/>
          <w:szCs w:val="32"/>
          <w:highlight w:val="white"/>
        </w:rPr>
        <w:t>.00</w:t>
      </w:r>
      <w:r>
        <w:rPr>
          <w:rFonts w:hint="eastAsia" w:ascii="仿宋_GB2312" w:eastAsia="仿宋_GB2312"/>
          <w:sz w:val="32"/>
          <w:szCs w:val="32"/>
          <w:highlight w:val="white"/>
        </w:rPr>
        <w:t>万元，支出决算为0万元。主要原因：一是公务车辆已上交，没有公务用车运行维护费支出。二是本部门认真贯彻落实中央八项规定精神和厉行节约要求，从严控制“三公”经费开支。</w:t>
      </w:r>
    </w:p>
    <w:p w14:paraId="325920C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14:paraId="01175CE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0万元，公务接待费支出决算0.04万元，占100%。其中：公务接待费支出决算为0.04万元，其中：其他国内公务接待支出0.04万元。主要用于与有关单位交流工作情况及接受相关部门检查指导工作发生的接待支出。益阳市赫山区全民健身服务中心2020年共接待国内公务接待批次1次、接待人次6人次（不包括陪同人员）。</w:t>
      </w:r>
    </w:p>
    <w:p w14:paraId="6A726A8B">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八、政府性基金预算收入支出决算情况说明</w:t>
      </w:r>
    </w:p>
    <w:p w14:paraId="1449DA5C">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2020年政府性基金本年收入55</w:t>
      </w:r>
      <w:r>
        <w:rPr>
          <w:rFonts w:ascii="仿宋_GB2312" w:eastAsia="仿宋_GB2312"/>
          <w:sz w:val="32"/>
          <w:szCs w:val="32"/>
          <w:highlight w:val="white"/>
        </w:rPr>
        <w:t>.00</w:t>
      </w:r>
      <w:r>
        <w:rPr>
          <w:rFonts w:hint="eastAsia" w:ascii="仿宋_GB2312" w:eastAsia="仿宋_GB2312"/>
          <w:sz w:val="32"/>
          <w:szCs w:val="32"/>
          <w:highlight w:val="white"/>
        </w:rPr>
        <w:t>万元,占本年收入合计的11.16%，与2019年（108.00万元）相比，减少53.00万元，下降</w:t>
      </w:r>
      <w:r>
        <w:rPr>
          <w:rFonts w:ascii="仿宋_GB2312" w:eastAsia="仿宋_GB2312"/>
          <w:sz w:val="32"/>
          <w:szCs w:val="32"/>
          <w:highlight w:val="white"/>
        </w:rPr>
        <w:t>49</w:t>
      </w:r>
      <w:r>
        <w:rPr>
          <w:rFonts w:hint="eastAsia" w:ascii="仿宋_GB2312" w:eastAsia="仿宋_GB2312"/>
          <w:sz w:val="32"/>
          <w:szCs w:val="32"/>
          <w:highlight w:val="white"/>
        </w:rPr>
        <w:t>.07%。本年支出55</w:t>
      </w:r>
      <w:r>
        <w:rPr>
          <w:rFonts w:ascii="仿宋_GB2312" w:eastAsia="仿宋_GB2312"/>
          <w:sz w:val="32"/>
          <w:szCs w:val="32"/>
          <w:highlight w:val="white"/>
        </w:rPr>
        <w:t>.00</w:t>
      </w:r>
      <w:r>
        <w:rPr>
          <w:rFonts w:hint="eastAsia" w:ascii="仿宋_GB2312" w:eastAsia="仿宋_GB2312"/>
          <w:sz w:val="32"/>
          <w:szCs w:val="32"/>
          <w:highlight w:val="white"/>
        </w:rPr>
        <w:t>万元,占本年支出合计的10.72%，比上年减少49.07%。</w:t>
      </w:r>
      <w:r>
        <w:rPr>
          <w:rFonts w:ascii="仿宋_GB2312" w:eastAsia="仿宋_GB2312"/>
          <w:sz w:val="32"/>
          <w:szCs w:val="32"/>
          <w:highlight w:val="white"/>
        </w:rPr>
        <w:t>其中：</w:t>
      </w:r>
      <w:r>
        <w:rPr>
          <w:rFonts w:hint="eastAsia" w:ascii="仿宋_GB2312" w:eastAsia="仿宋_GB2312"/>
          <w:sz w:val="32"/>
          <w:szCs w:val="32"/>
          <w:highlight w:val="white"/>
        </w:rPr>
        <w:t>项目支出55</w:t>
      </w:r>
      <w:r>
        <w:rPr>
          <w:rFonts w:ascii="仿宋_GB2312" w:eastAsia="仿宋_GB2312"/>
          <w:sz w:val="32"/>
          <w:szCs w:val="32"/>
          <w:highlight w:val="white"/>
        </w:rPr>
        <w:t>.00</w:t>
      </w:r>
      <w:r>
        <w:rPr>
          <w:rFonts w:hint="eastAsia" w:ascii="仿宋_GB2312" w:eastAsia="仿宋_GB2312"/>
          <w:sz w:val="32"/>
          <w:szCs w:val="32"/>
          <w:highlight w:val="white"/>
        </w:rPr>
        <w:t>万元,比上年减少49.07%。</w:t>
      </w:r>
    </w:p>
    <w:p w14:paraId="68206C14">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九、国有资本经营预算财政拨款支出决算情况</w:t>
      </w:r>
    </w:p>
    <w:p w14:paraId="5FF45EBC">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2020年本部门无国有资本经营预算财政拨款支出。</w:t>
      </w:r>
    </w:p>
    <w:p w14:paraId="0607926A">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十、关于机关运行经费支出说明</w:t>
      </w:r>
    </w:p>
    <w:p w14:paraId="10C66747">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部门2020年度机关运行经费支出为139.38万元，比年初预算（5.61万元）增加133.77万元，增长2384.49%。主要原因：一是自收自支人员的公用经费没有纳入财政拨款预算；二是增加了维修维护、劳务及其他商品服务等支出。</w:t>
      </w:r>
    </w:p>
    <w:p w14:paraId="52ADD3B9">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十一、一般性支出情况</w:t>
      </w:r>
    </w:p>
    <w:p w14:paraId="15F4BA75">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2020年本部门无会议费开支和培训费开支。</w:t>
      </w:r>
    </w:p>
    <w:p w14:paraId="0507C880">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十二、关于政府采购支出说明</w:t>
      </w:r>
    </w:p>
    <w:p w14:paraId="6AAD310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本年度无政府采购支出。</w:t>
      </w:r>
    </w:p>
    <w:p w14:paraId="7CF0530E">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十三、关于国有资产占有情况说明</w:t>
      </w:r>
    </w:p>
    <w:p w14:paraId="10460906">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本单位年末无车辆</w:t>
      </w:r>
      <w:r>
        <w:rPr>
          <w:rFonts w:ascii="仿宋_GB2312" w:eastAsia="仿宋_GB2312"/>
          <w:sz w:val="32"/>
          <w:szCs w:val="32"/>
          <w:highlight w:val="white"/>
        </w:rPr>
        <w:t>；</w:t>
      </w:r>
      <w:r>
        <w:rPr>
          <w:rFonts w:hint="eastAsia" w:ascii="仿宋_GB2312" w:eastAsia="仿宋_GB2312"/>
          <w:sz w:val="32"/>
          <w:szCs w:val="32"/>
          <w:highlight w:val="white"/>
        </w:rPr>
        <w:t>年末无单价50万元以上通用设备</w:t>
      </w:r>
      <w:r>
        <w:rPr>
          <w:rFonts w:ascii="仿宋_GB2312" w:eastAsia="仿宋_GB2312"/>
          <w:sz w:val="32"/>
          <w:szCs w:val="32"/>
          <w:highlight w:val="white"/>
        </w:rPr>
        <w:t>；</w:t>
      </w:r>
      <w:r>
        <w:rPr>
          <w:rFonts w:hint="eastAsia" w:ascii="仿宋_GB2312" w:eastAsia="仿宋_GB2312"/>
          <w:sz w:val="32"/>
          <w:szCs w:val="32"/>
          <w:highlight w:val="white"/>
        </w:rPr>
        <w:t>年末无单价100万元以上专设备。</w:t>
      </w:r>
    </w:p>
    <w:p w14:paraId="5A2102EB">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十四、关于2020年度预算绩效情况的说明</w:t>
      </w:r>
    </w:p>
    <w:p w14:paraId="3990A647">
      <w:pPr>
        <w:spacing w:line="56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根据预算绩效管理要求，我单位组织对2020年度部门整体支出实施了全覆盖性的绩效评价，撰写了整体支出绩效评价报告。涉及项目0个，涉及一般公共预算当年财政拨款492.7</w:t>
      </w:r>
      <w:r>
        <w:rPr>
          <w:rFonts w:ascii="仿宋_GB2312" w:eastAsia="仿宋_GB2312"/>
          <w:sz w:val="32"/>
          <w:szCs w:val="32"/>
        </w:rPr>
        <w:t>0</w:t>
      </w:r>
      <w:r>
        <w:rPr>
          <w:rFonts w:hint="eastAsia" w:ascii="仿宋_GB2312" w:eastAsia="仿宋_GB2312"/>
          <w:sz w:val="32"/>
          <w:szCs w:val="32"/>
        </w:rPr>
        <w:t>万元，自评覆盖率达到100%。绩效自评结果显示，上述整体支出绩效情况较为理想，均达到了申请时设定的各项绩效目标。</w:t>
      </w:r>
    </w:p>
    <w:p w14:paraId="2F347CD1">
      <w:pPr>
        <w:spacing w:line="560" w:lineRule="exact"/>
        <w:ind w:firstLine="640" w:firstLineChars="200"/>
        <w:rPr>
          <w:rFonts w:ascii="仿宋_GB2312" w:eastAsia="仿宋_GB2312"/>
          <w:sz w:val="32"/>
          <w:szCs w:val="32"/>
        </w:rPr>
      </w:pPr>
    </w:p>
    <w:p w14:paraId="6CEA2E2E">
      <w:pPr>
        <w:spacing w:line="560" w:lineRule="exact"/>
        <w:ind w:firstLine="640" w:firstLineChars="200"/>
        <w:rPr>
          <w:rFonts w:ascii="仿宋_GB2312" w:eastAsia="仿宋_GB2312"/>
          <w:sz w:val="32"/>
          <w:szCs w:val="32"/>
        </w:rPr>
      </w:pPr>
    </w:p>
    <w:p w14:paraId="346AFF22">
      <w:pPr>
        <w:spacing w:line="560" w:lineRule="exact"/>
        <w:rPr>
          <w:rFonts w:ascii="黑体" w:eastAsia="黑体"/>
          <w:sz w:val="32"/>
          <w:szCs w:val="32"/>
        </w:rPr>
      </w:pPr>
      <w:r>
        <w:rPr>
          <w:rFonts w:hint="eastAsia" w:ascii="黑体" w:eastAsia="黑体"/>
          <w:sz w:val="32"/>
          <w:szCs w:val="32"/>
        </w:rPr>
        <w:t>第四部分</w:t>
      </w:r>
    </w:p>
    <w:p w14:paraId="2CBA949B">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名词解释</w:t>
      </w:r>
    </w:p>
    <w:p w14:paraId="6F40C0AA">
      <w:pPr>
        <w:spacing w:line="560" w:lineRule="exact"/>
        <w:ind w:firstLine="640" w:firstLineChars="200"/>
        <w:rPr>
          <w:rFonts w:ascii="仿宋_GB2312" w:eastAsia="仿宋_GB2312"/>
          <w:sz w:val="32"/>
          <w:szCs w:val="32"/>
          <w:highlight w:val="white"/>
        </w:rPr>
      </w:pPr>
    </w:p>
    <w:p w14:paraId="1195211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（一）本年收入：是指本年度取得的全部收入。</w:t>
      </w:r>
    </w:p>
    <w:p w14:paraId="5C5E27C6">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（二）财政拨款收入：指本级财政当年拨付的资金。</w:t>
      </w:r>
    </w:p>
    <w:p w14:paraId="4CA44D63">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（三）政府性基金预算财政拨款收入：指本级财政当年拨付的政府性基金预算资金。</w:t>
      </w:r>
    </w:p>
    <w:p w14:paraId="043B50E6">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（四）其他收入：指除上述“财政拨款收入”、“上级补助收入”、“事业收入”、“经营收入”、“附属单位上缴收入”等以外的收入。 </w:t>
      </w:r>
    </w:p>
    <w:p w14:paraId="7D886917">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（五）文化体育与传媒支出（类）：是指用于文化、文物、体育、新闻出版广播影视等方面的支出，包括保障机构正常运转、完成日常和特定的工作任务或事业发展目标的支出。</w:t>
      </w:r>
    </w:p>
    <w:p w14:paraId="5A3A1297">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（六）住房保障支出（类）：是指用于住房方面的支出，包括住房公积金单位部分支出的支出。</w:t>
      </w:r>
    </w:p>
    <w:p w14:paraId="1E7E733E">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其他支出（类）：是指用于反映除上述项目以外其他不能划分到具体功能科目中的支出项目，包括保障机构正常运转、完成日常和特定的工作任务或事业发展目标的支出。基本支出：指保障机构正常运转、完成支日常工作任务而发生的人员支出和公用支出。</w:t>
      </w:r>
    </w:p>
    <w:p w14:paraId="73DE8C19">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14:paraId="1DC49F66">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（九）工资福利支出：反映单位开支的在职职工和编制外长期聘用人员的各类劳动报酬，以及为上述人员缴纳的各项社会保险费等。</w:t>
      </w:r>
    </w:p>
    <w:p w14:paraId="58FD3ED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14:paraId="5B453881">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（十一）机关事业单位基本养老保险缴费：反映机关事业单位缴纳的基本养老保险费。由单位代扣的工作人员基本养老保险缴费，不在此科目反映。</w:t>
      </w:r>
    </w:p>
    <w:p w14:paraId="5B633A1B">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（十二）职工基本医疗保险缴费：反映单位为职工缴纳的基本医疗保险费。</w:t>
      </w:r>
    </w:p>
    <w:p w14:paraId="380E41F3">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（十三）其他社会保障缴费：反映单位为职工缴纳的基本医疗、失业、工伤、生育等社会保险费，残疾人就业保障金，军队（含武警）为军人缴纳的伤亡、退役医疗等社会保险费。</w:t>
      </w:r>
    </w:p>
    <w:p w14:paraId="46B25014">
      <w:pPr>
        <w:spacing w:line="560" w:lineRule="exact"/>
        <w:rPr>
          <w:rFonts w:ascii="仿宋_GB2312" w:eastAsia="仿宋_GB2312"/>
          <w:sz w:val="32"/>
          <w:szCs w:val="32"/>
          <w:highlight w:val="white"/>
        </w:rPr>
      </w:pPr>
    </w:p>
    <w:p w14:paraId="4BF49ED4">
      <w:pPr>
        <w:spacing w:line="560" w:lineRule="exact"/>
        <w:rPr>
          <w:rFonts w:ascii="仿宋_GB2312" w:eastAsia="仿宋_GB2312"/>
          <w:sz w:val="32"/>
          <w:szCs w:val="32"/>
          <w:highlight w:val="white"/>
        </w:rPr>
      </w:pPr>
    </w:p>
    <w:p w14:paraId="4BBC6E56">
      <w:pPr>
        <w:spacing w:line="560" w:lineRule="exact"/>
        <w:rPr>
          <w:rFonts w:ascii="仿宋_GB2312" w:eastAsia="仿宋_GB2312"/>
          <w:sz w:val="32"/>
          <w:szCs w:val="32"/>
          <w:highlight w:val="white"/>
        </w:rPr>
      </w:pPr>
    </w:p>
    <w:p w14:paraId="2BAB5DFB">
      <w:pPr>
        <w:spacing w:line="540" w:lineRule="exact"/>
        <w:rPr>
          <w:rFonts w:ascii="方正小标宋简体" w:eastAsia="方正小标宋简体"/>
          <w:sz w:val="44"/>
          <w:szCs w:val="44"/>
          <w:highlight w:val="white"/>
        </w:rPr>
      </w:pPr>
      <w:r>
        <w:rPr>
          <w:rFonts w:hint="eastAsia" w:ascii="黑体" w:eastAsia="黑体"/>
          <w:sz w:val="32"/>
          <w:szCs w:val="32"/>
          <w:highlight w:val="white"/>
        </w:rPr>
        <w:t>第五部分  附  件</w:t>
      </w:r>
    </w:p>
    <w:p w14:paraId="37B8F4E8">
      <w:pPr>
        <w:spacing w:line="540" w:lineRule="exact"/>
        <w:ind w:firstLine="640" w:firstLineChars="200"/>
        <w:rPr>
          <w:rFonts w:ascii="仿宋_GB2312" w:eastAsia="仿宋_GB2312"/>
          <w:sz w:val="32"/>
          <w:szCs w:val="32"/>
        </w:rPr>
      </w:pPr>
    </w:p>
    <w:p w14:paraId="468A46D9">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2020年益阳市赫山区全民健身服务中心</w:t>
      </w:r>
    </w:p>
    <w:p w14:paraId="02C3BD4D">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部门整体支出绩效评价报告</w:t>
      </w:r>
    </w:p>
    <w:p w14:paraId="53136DA2">
      <w:pPr>
        <w:spacing w:line="540" w:lineRule="exact"/>
        <w:ind w:firstLine="640" w:firstLineChars="200"/>
        <w:rPr>
          <w:rFonts w:ascii="仿宋_GB2312" w:eastAsia="仿宋_GB2312"/>
          <w:sz w:val="32"/>
          <w:szCs w:val="32"/>
        </w:rPr>
      </w:pPr>
    </w:p>
    <w:p w14:paraId="7941F0A2">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一、基本情况</w:t>
      </w:r>
    </w:p>
    <w:p w14:paraId="42387E3D">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（一）部门职能概述</w:t>
      </w:r>
    </w:p>
    <w:p w14:paraId="617F05EA">
      <w:pPr>
        <w:spacing w:line="540" w:lineRule="exact"/>
        <w:ind w:firstLine="640" w:firstLineChars="200"/>
        <w:rPr>
          <w:rFonts w:ascii="仿宋_GB2312" w:eastAsia="仿宋_GB2312"/>
          <w:sz w:val="32"/>
          <w:szCs w:val="32"/>
        </w:rPr>
      </w:pPr>
      <w:r>
        <w:rPr>
          <w:rFonts w:hint="eastAsia" w:ascii="仿宋_GB2312" w:eastAsia="仿宋_GB2312"/>
          <w:sz w:val="32"/>
          <w:szCs w:val="32"/>
        </w:rPr>
        <w:t>益阳市赫山区全民健身服务中心主要职责是：负责指导全民健身运动项目的开展、普及和提高；负责培训、推广和开发体育健身项目；负责协调组织社会体育赛事及交流活动；配合做好重大社会体育活动的组织实施工作；组织各类体育培训班、学术讲座、专业技术报告会，开展科研活动，发挥咨询作用；做好青少年体育培训、指导、教研等工作；协助做好体育项目裁判员、教练员及运动员的培训、使用工作。</w:t>
      </w:r>
    </w:p>
    <w:p w14:paraId="69A7FE6A">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（二）部门机构及人员情况</w:t>
      </w:r>
    </w:p>
    <w:p w14:paraId="24DB7EE4">
      <w:pPr>
        <w:spacing w:line="540" w:lineRule="exact"/>
        <w:ind w:firstLine="640" w:firstLineChars="200"/>
        <w:rPr>
          <w:rFonts w:ascii="仿宋_GB2312" w:eastAsia="仿宋_GB2312"/>
          <w:sz w:val="32"/>
          <w:szCs w:val="32"/>
        </w:rPr>
      </w:pPr>
      <w:r>
        <w:rPr>
          <w:rFonts w:hint="eastAsia" w:ascii="仿宋_GB2312" w:eastAsia="仿宋_GB2312"/>
          <w:sz w:val="32"/>
          <w:szCs w:val="32"/>
        </w:rPr>
        <w:t>益阳市赫山区全民健身服务中心为副科级事业单位，2020年全额拨款在职人员8人，自收自支在职人员15人。退休人员10人，其中：财政拨款退休4人，自收自支退休6人。</w:t>
      </w:r>
    </w:p>
    <w:p w14:paraId="4B4A8002">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二、一般公共预算支出情况</w:t>
      </w:r>
    </w:p>
    <w:p w14:paraId="1BDCF004">
      <w:pPr>
        <w:spacing w:line="54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14:paraId="0B61694A">
      <w:pPr>
        <w:spacing w:line="540" w:lineRule="exact"/>
        <w:ind w:firstLine="640" w:firstLineChars="200"/>
        <w:rPr>
          <w:rFonts w:ascii="仿宋_GB2312" w:eastAsia="仿宋_GB2312"/>
          <w:sz w:val="32"/>
          <w:szCs w:val="32"/>
        </w:rPr>
      </w:pPr>
      <w:r>
        <w:rPr>
          <w:rFonts w:hint="eastAsia" w:ascii="仿宋_GB2312" w:eastAsia="仿宋_GB2312"/>
          <w:sz w:val="32"/>
          <w:szCs w:val="32"/>
        </w:rPr>
        <w:t>2020年总收入492.7</w:t>
      </w:r>
      <w:r>
        <w:rPr>
          <w:rFonts w:ascii="仿宋_GB2312" w:eastAsia="仿宋_GB2312"/>
          <w:sz w:val="32"/>
          <w:szCs w:val="32"/>
        </w:rPr>
        <w:t>0</w:t>
      </w:r>
      <w:r>
        <w:rPr>
          <w:rFonts w:hint="eastAsia" w:ascii="仿宋_GB2312" w:eastAsia="仿宋_GB2312"/>
          <w:sz w:val="32"/>
          <w:szCs w:val="32"/>
        </w:rPr>
        <w:t>万元 其中：财政拨款预算收入423.15万元，其他收入69.55万元。支出512.99万元 。其中：基本支出379.65万元，项目支出133.33万元。</w:t>
      </w:r>
    </w:p>
    <w:p w14:paraId="521D8AD4">
      <w:pPr>
        <w:spacing w:line="540" w:lineRule="exact"/>
        <w:ind w:firstLine="640" w:firstLineChars="200"/>
        <w:rPr>
          <w:rFonts w:ascii="仿宋_GB2312" w:eastAsia="仿宋_GB2312"/>
          <w:sz w:val="32"/>
          <w:szCs w:val="32"/>
        </w:rPr>
      </w:pPr>
      <w:r>
        <w:rPr>
          <w:rFonts w:hint="eastAsia" w:ascii="仿宋_GB2312" w:eastAsia="仿宋_GB2312"/>
          <w:sz w:val="32"/>
          <w:szCs w:val="32"/>
        </w:rPr>
        <w:t>2020年收入决算492.7</w:t>
      </w:r>
      <w:r>
        <w:rPr>
          <w:rFonts w:ascii="仿宋_GB2312" w:eastAsia="仿宋_GB2312"/>
          <w:sz w:val="32"/>
          <w:szCs w:val="32"/>
        </w:rPr>
        <w:t>0</w:t>
      </w:r>
      <w:r>
        <w:rPr>
          <w:rFonts w:hint="eastAsia" w:ascii="仿宋_GB2312" w:eastAsia="仿宋_GB2312"/>
          <w:sz w:val="32"/>
          <w:szCs w:val="32"/>
        </w:rPr>
        <w:t>万元，其中：财政拨款收入423.15万元、其他收入69.55万元。</w:t>
      </w:r>
    </w:p>
    <w:p w14:paraId="336873A2">
      <w:pPr>
        <w:spacing w:line="540" w:lineRule="exact"/>
        <w:ind w:firstLine="640" w:firstLineChars="200"/>
        <w:rPr>
          <w:rFonts w:ascii="仿宋_GB2312" w:eastAsia="仿宋_GB2312"/>
          <w:sz w:val="32"/>
          <w:szCs w:val="32"/>
        </w:rPr>
      </w:pPr>
      <w:r>
        <w:rPr>
          <w:rFonts w:hint="eastAsia" w:ascii="仿宋_GB2312" w:eastAsia="仿宋_GB2312"/>
          <w:sz w:val="32"/>
          <w:szCs w:val="32"/>
        </w:rPr>
        <w:t>2020年支出决算为512.99万元，其中：行政运行支出205.84万元，体育场馆支出64</w:t>
      </w:r>
      <w:r>
        <w:rPr>
          <w:rFonts w:ascii="仿宋_GB2312" w:eastAsia="仿宋_GB2312"/>
          <w:sz w:val="32"/>
          <w:szCs w:val="32"/>
        </w:rPr>
        <w:t>.00</w:t>
      </w:r>
      <w:r>
        <w:rPr>
          <w:rFonts w:hint="eastAsia" w:ascii="仿宋_GB2312" w:eastAsia="仿宋_GB2312"/>
          <w:sz w:val="32"/>
          <w:szCs w:val="32"/>
        </w:rPr>
        <w:t>万元，其他文化旅游体育与传媒支出162.33万元，社会保障和就业支出10.07万元，卫生健康支出8.18万元，住房保障支出7.55万元，其它支出55</w:t>
      </w:r>
      <w:r>
        <w:rPr>
          <w:rFonts w:ascii="仿宋_GB2312" w:eastAsia="仿宋_GB2312"/>
          <w:sz w:val="32"/>
          <w:szCs w:val="32"/>
        </w:rPr>
        <w:t>.00</w:t>
      </w:r>
      <w:r>
        <w:rPr>
          <w:rFonts w:hint="eastAsia" w:ascii="仿宋_GB2312" w:eastAsia="仿宋_GB2312"/>
          <w:sz w:val="32"/>
          <w:szCs w:val="32"/>
        </w:rPr>
        <w:t>万元。</w:t>
      </w:r>
    </w:p>
    <w:p w14:paraId="7BEADB27">
      <w:pPr>
        <w:spacing w:line="540" w:lineRule="exact"/>
        <w:ind w:firstLine="640" w:firstLineChars="200"/>
        <w:rPr>
          <w:rFonts w:ascii="仿宋_GB2312" w:eastAsia="仿宋_GB2312"/>
          <w:sz w:val="32"/>
          <w:szCs w:val="32"/>
        </w:rPr>
      </w:pPr>
      <w:r>
        <w:rPr>
          <w:rFonts w:hint="eastAsia" w:ascii="仿宋_GB2312" w:eastAsia="仿宋_GB2312"/>
          <w:sz w:val="32"/>
          <w:szCs w:val="32"/>
        </w:rPr>
        <w:t>2020年“三公经费”支出 0.0</w:t>
      </w:r>
      <w:r>
        <w:rPr>
          <w:rFonts w:ascii="仿宋_GB2312" w:eastAsia="仿宋_GB2312"/>
          <w:sz w:val="32"/>
          <w:szCs w:val="32"/>
        </w:rPr>
        <w:t>4</w:t>
      </w:r>
      <w:r>
        <w:rPr>
          <w:rFonts w:hint="eastAsia" w:ascii="仿宋_GB2312" w:eastAsia="仿宋_GB2312"/>
          <w:sz w:val="32"/>
          <w:szCs w:val="32"/>
        </w:rPr>
        <w:t>万元,其中公务接待费0.0</w:t>
      </w:r>
      <w:r>
        <w:rPr>
          <w:rFonts w:ascii="仿宋_GB2312" w:eastAsia="仿宋_GB2312"/>
          <w:sz w:val="32"/>
          <w:szCs w:val="32"/>
        </w:rPr>
        <w:t>4</w:t>
      </w:r>
      <w:r>
        <w:rPr>
          <w:rFonts w:hint="eastAsia" w:ascii="仿宋_GB2312" w:eastAsia="仿宋_GB2312"/>
          <w:sz w:val="32"/>
          <w:szCs w:val="32"/>
        </w:rPr>
        <w:t>万元。</w:t>
      </w:r>
    </w:p>
    <w:p w14:paraId="7B82FD1A">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（二）部门整体支出绩效目标执行情况</w:t>
      </w:r>
    </w:p>
    <w:p w14:paraId="51392078">
      <w:pPr>
        <w:spacing w:line="540" w:lineRule="exact"/>
        <w:ind w:firstLine="640" w:firstLineChars="200"/>
        <w:rPr>
          <w:rFonts w:ascii="仿宋_GB2312" w:eastAsia="仿宋_GB2312"/>
          <w:sz w:val="32"/>
          <w:szCs w:val="32"/>
        </w:rPr>
      </w:pPr>
      <w:r>
        <w:rPr>
          <w:rFonts w:hint="eastAsia" w:ascii="仿宋_GB2312" w:eastAsia="仿宋_GB2312"/>
          <w:sz w:val="32"/>
          <w:szCs w:val="32"/>
        </w:rPr>
        <w:t>1.明确了2020年重点工作</w:t>
      </w:r>
      <w:r>
        <w:rPr>
          <w:rFonts w:ascii="仿宋_GB2312" w:eastAsia="仿宋_GB2312"/>
          <w:sz w:val="32"/>
          <w:szCs w:val="32"/>
        </w:rPr>
        <w:t>。</w:t>
      </w:r>
      <w:r>
        <w:rPr>
          <w:rFonts w:hint="eastAsia" w:ascii="仿宋_GB2312" w:eastAsia="仿宋_GB2312"/>
          <w:sz w:val="32"/>
          <w:szCs w:val="32"/>
        </w:rPr>
        <w:t>2020年，区全民健身服务中心认真贯彻落实《全民健身条例》和《赫山区全民健身实施计划（2016-2020年）》，围绕创建全民运动健身模范市目标，科学制定年度工作任务:一是构建全民健身公共服务体系，发挥体育社会组织正能量。二是着力完善基础设施，提升公共体育设施服务能力和水平。三是健全全民健身组织网络，提升健身服务能力和水平。四是广泛开展全民健身活动，助推群众体育事业蓬勃发展。五是举办赫山区第十九届大众运动会。六是组队参加省市级全民健身竞赛活动。七是做好体育馆免费低收费开放工作。</w:t>
      </w:r>
    </w:p>
    <w:p w14:paraId="588E8509">
      <w:pPr>
        <w:spacing w:line="540" w:lineRule="exact"/>
        <w:ind w:firstLine="640" w:firstLineChars="200"/>
        <w:rPr>
          <w:rFonts w:ascii="仿宋_GB2312" w:eastAsia="仿宋_GB2312"/>
          <w:sz w:val="32"/>
          <w:szCs w:val="32"/>
        </w:rPr>
      </w:pPr>
      <w:r>
        <w:rPr>
          <w:rFonts w:hint="eastAsia" w:ascii="仿宋_GB2312" w:eastAsia="仿宋_GB2312"/>
          <w:sz w:val="32"/>
          <w:szCs w:val="32"/>
        </w:rPr>
        <w:t>2.预决算情况已在网上公开。按照区财政局的要求，我中心2020年的预决算情况在政府网站上按要求进行了公示。</w:t>
      </w:r>
    </w:p>
    <w:p w14:paraId="2A330F24">
      <w:pPr>
        <w:spacing w:line="540" w:lineRule="exact"/>
        <w:ind w:firstLine="640" w:firstLineChars="200"/>
        <w:rPr>
          <w:rFonts w:ascii="仿宋_GB2312" w:eastAsia="仿宋_GB2312"/>
          <w:sz w:val="32"/>
          <w:szCs w:val="32"/>
        </w:rPr>
      </w:pPr>
      <w:r>
        <w:rPr>
          <w:rFonts w:hint="eastAsia" w:ascii="仿宋_GB2312" w:eastAsia="仿宋_GB2312"/>
          <w:sz w:val="32"/>
          <w:szCs w:val="32"/>
        </w:rPr>
        <w:t>3.内部管理制度日臻完善。为进一步加强内部管理，我中心先后完善了《机关财务管理制度》、《公务接待制度》、《固定资产管理制度》等多项规章制度，尤其是对固定资产管理、购入、保管、归档、销审等都作出了严格规定，明确了具体责任人员，确保单位国有资产不流失，补齐了国有资产管理上和短板。</w:t>
      </w:r>
    </w:p>
    <w:p w14:paraId="7ADA35DD">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“三公经费”严格控制。坚决贯彻落实国家八项规定、省委九条规定和市委十项规定要求，厉行节约、反对浪费，严格费用审批程序，做到事前、事中、事后全程监督，取得了较好的效果 。</w:t>
      </w:r>
    </w:p>
    <w:p w14:paraId="6441A92A">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（三）部门整体支出情况分析</w:t>
      </w:r>
    </w:p>
    <w:p w14:paraId="226F36EE">
      <w:pPr>
        <w:spacing w:line="540" w:lineRule="exact"/>
        <w:ind w:firstLine="640" w:firstLineChars="200"/>
        <w:rPr>
          <w:rFonts w:ascii="仿宋_GB2312" w:eastAsia="仿宋_GB2312"/>
          <w:sz w:val="32"/>
          <w:szCs w:val="32"/>
        </w:rPr>
      </w:pPr>
      <w:r>
        <w:rPr>
          <w:rFonts w:hint="eastAsia" w:ascii="仿宋_GB2312" w:eastAsia="仿宋_GB2312"/>
          <w:sz w:val="32"/>
          <w:szCs w:val="32"/>
        </w:rPr>
        <w:t>从整体情况来看，我单位严格按照年初预算进行部门整体支出。在支出过程中，能严格遵守各项规章制度，“三公经费”明显下降，部门绩效运行良好。为了充分发挥财政资金的作用，我们通过采取组队参加省市级全民健身竞赛活动、组织举办区大众运动会、协助各单位开展全民健身活动、培训社会体育指导员、加大体育馆免费低收费开放工作力度、配置运动健身器材等措施，极大地调动了全区群众参与运动健身的积极性，健身氛围日益浓厚。从经济效益上来看，随着全民健身活动的广泛开展，健身人群日益增加，运动服装、体育用品的购买力明显提升，各类健身培训机构明显增加，推动了全区体育产业发展。从社会效益上看，提高了人民群众的身体素质，提升了广大群众的健身意识，促进了社会和谐。</w:t>
      </w:r>
    </w:p>
    <w:p w14:paraId="26763251">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三、绩效评价工作情况</w:t>
      </w:r>
    </w:p>
    <w:p w14:paraId="45445BE6">
      <w:pPr>
        <w:spacing w:line="540" w:lineRule="exact"/>
        <w:ind w:firstLine="640" w:firstLineChars="200"/>
        <w:rPr>
          <w:rFonts w:ascii="仿宋_GB2312" w:eastAsia="仿宋_GB2312"/>
          <w:sz w:val="32"/>
          <w:szCs w:val="32"/>
        </w:rPr>
      </w:pPr>
      <w:r>
        <w:rPr>
          <w:rFonts w:hint="eastAsia" w:ascii="仿宋_GB2312" w:eastAsia="仿宋_GB2312"/>
          <w:sz w:val="32"/>
          <w:szCs w:val="32"/>
        </w:rPr>
        <w:t>（一）绩效评价目的</w:t>
      </w:r>
    </w:p>
    <w:p w14:paraId="34E0EE1F">
      <w:pPr>
        <w:spacing w:line="540" w:lineRule="exact"/>
        <w:ind w:firstLine="640" w:firstLineChars="200"/>
        <w:rPr>
          <w:rFonts w:ascii="仿宋_GB2312" w:eastAsia="仿宋_GB2312"/>
          <w:sz w:val="32"/>
          <w:szCs w:val="32"/>
        </w:rPr>
      </w:pPr>
      <w:r>
        <w:rPr>
          <w:rFonts w:hint="eastAsia" w:ascii="仿宋_GB2312" w:eastAsia="仿宋_GB2312"/>
          <w:sz w:val="32"/>
          <w:szCs w:val="32"/>
        </w:rPr>
        <w:t>此次绩效评价的目的是：严格落实《预算法》及绩效管理工作的有关规定，进一步规范财政资金的管理，强化财政支出绩效理念，提升部门责任意识，提高资金使用效益，促进体育事业的发展。</w:t>
      </w:r>
    </w:p>
    <w:p w14:paraId="08D45495">
      <w:pPr>
        <w:spacing w:line="540" w:lineRule="exact"/>
        <w:ind w:firstLine="640" w:firstLineChars="200"/>
        <w:rPr>
          <w:rFonts w:ascii="仿宋_GB2312" w:eastAsia="仿宋_GB2312"/>
          <w:sz w:val="32"/>
          <w:szCs w:val="32"/>
        </w:rPr>
      </w:pPr>
      <w:r>
        <w:rPr>
          <w:rFonts w:hint="eastAsia" w:ascii="仿宋_GB2312" w:eastAsia="仿宋_GB2312"/>
          <w:sz w:val="32"/>
          <w:szCs w:val="32"/>
        </w:rPr>
        <w:t>（二）绩效评价的主要过程</w:t>
      </w:r>
    </w:p>
    <w:p w14:paraId="3653B6B9">
      <w:pPr>
        <w:spacing w:line="540" w:lineRule="exact"/>
        <w:ind w:firstLine="640" w:firstLineChars="200"/>
        <w:rPr>
          <w:rFonts w:ascii="仿宋_GB2312" w:eastAsia="仿宋_GB2312"/>
          <w:sz w:val="32"/>
          <w:szCs w:val="32"/>
        </w:rPr>
      </w:pPr>
      <w:r>
        <w:rPr>
          <w:rFonts w:hint="eastAsia" w:ascii="仿宋_GB2312" w:eastAsia="仿宋_GB2312"/>
          <w:sz w:val="32"/>
          <w:szCs w:val="32"/>
        </w:rPr>
        <w:t>根据绩效评价的要求，我们成立了自评工作领导小组，对照自评方案进行研究和布署，班子成员及中层骨干全程参与，按照自评方案的要求，对2020年整体支出进行了全面的梳理检查和自我评价。对自评过程中发现的问题，及时查找原因，纠正偏差，为下一步工作夯实基础。</w:t>
      </w:r>
    </w:p>
    <w:p w14:paraId="629A4362">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四、主要绩效及评价结论</w:t>
      </w:r>
    </w:p>
    <w:p w14:paraId="05370802">
      <w:pPr>
        <w:spacing w:line="540" w:lineRule="exact"/>
        <w:ind w:firstLine="640" w:firstLineChars="200"/>
        <w:rPr>
          <w:rFonts w:ascii="仿宋_GB2312" w:eastAsia="仿宋_GB2312"/>
          <w:sz w:val="32"/>
          <w:szCs w:val="32"/>
        </w:rPr>
      </w:pPr>
      <w:r>
        <w:rPr>
          <w:rFonts w:hint="eastAsia" w:ascii="仿宋_GB2312" w:eastAsia="仿宋_GB2312"/>
          <w:sz w:val="32"/>
          <w:szCs w:val="32"/>
        </w:rPr>
        <w:t>（一）主要绩效</w:t>
      </w:r>
    </w:p>
    <w:p w14:paraId="24A712E2">
      <w:pPr>
        <w:spacing w:line="540" w:lineRule="exact"/>
        <w:ind w:firstLine="640" w:firstLineChars="200"/>
        <w:rPr>
          <w:rFonts w:ascii="仿宋_GB2312" w:eastAsia="仿宋_GB2312"/>
          <w:sz w:val="32"/>
          <w:szCs w:val="32"/>
        </w:rPr>
      </w:pPr>
      <w:r>
        <w:rPr>
          <w:rFonts w:hint="eastAsia" w:ascii="仿宋_GB2312" w:eastAsia="仿宋_GB2312"/>
          <w:sz w:val="32"/>
          <w:szCs w:val="32"/>
        </w:rPr>
        <w:t>1.加强体育场地设施建设</w:t>
      </w:r>
    </w:p>
    <w:p w14:paraId="1CE82794">
      <w:pPr>
        <w:spacing w:line="540" w:lineRule="exact"/>
        <w:ind w:firstLine="640" w:firstLineChars="200"/>
        <w:rPr>
          <w:rFonts w:ascii="仿宋_GB2312" w:eastAsia="仿宋_GB2312"/>
          <w:sz w:val="32"/>
          <w:szCs w:val="32"/>
        </w:rPr>
      </w:pPr>
      <w:r>
        <w:rPr>
          <w:rFonts w:hint="eastAsia" w:ascii="仿宋_GB2312" w:eastAsia="仿宋_GB2312"/>
          <w:sz w:val="32"/>
          <w:szCs w:val="32"/>
        </w:rPr>
        <w:t>2020年，我中心积极推进公共体育场地设施建设，加快城市社区15分钟健身圈的建设，满足群众健身需求。全年争取项目资金380万元，完成了12片社会足球场建设。</w:t>
      </w:r>
    </w:p>
    <w:p w14:paraId="062736F5">
      <w:pPr>
        <w:spacing w:line="540" w:lineRule="exact"/>
        <w:ind w:firstLine="640" w:firstLineChars="200"/>
        <w:rPr>
          <w:rFonts w:ascii="仿宋_GB2312" w:eastAsia="仿宋_GB2312"/>
          <w:sz w:val="32"/>
          <w:szCs w:val="32"/>
        </w:rPr>
      </w:pPr>
      <w:r>
        <w:rPr>
          <w:rFonts w:hint="eastAsia" w:ascii="仿宋_GB2312" w:eastAsia="仿宋_GB2312"/>
          <w:sz w:val="32"/>
          <w:szCs w:val="32"/>
        </w:rPr>
        <w:t>2.组队参加省、市级全民健身竞赛活动</w:t>
      </w:r>
    </w:p>
    <w:p w14:paraId="5EE905D7">
      <w:pPr>
        <w:spacing w:line="540" w:lineRule="exact"/>
        <w:ind w:firstLine="640" w:firstLineChars="200"/>
        <w:rPr>
          <w:rFonts w:ascii="仿宋_GB2312" w:eastAsia="仿宋_GB2312"/>
          <w:sz w:val="32"/>
          <w:szCs w:val="32"/>
        </w:rPr>
      </w:pPr>
      <w:r>
        <w:rPr>
          <w:rFonts w:hint="eastAsia" w:ascii="仿宋_GB2312" w:eastAsia="仿宋_GB2312"/>
          <w:sz w:val="32"/>
          <w:szCs w:val="32"/>
        </w:rPr>
        <w:t>今年，我中心组队参加了市第二十届大众运动会的广场舞、羽毛球、乒乓球、社区男子篮球等六个项目的比赛，广场舞分获二、三等奖，羽毛球获团体二等奖，社区篮球分获第二、五名。协助区总工会和区团委组队参加了市总工会主办的第一届职工羽毛球比赛（获团体冠军）和市团委组织的气排球比赛。组织健身爱好者参加了“全民健身挑战日”和“健康跑”大型市级健身活动。组队参加了“2020年湖南省技能大赛（第七届）湖南省体育行业职业技能竞赛社会体育指导员（跆拳道项目）”的比赛，获一个个人三等奖和团体三等奖。</w:t>
      </w:r>
    </w:p>
    <w:p w14:paraId="1FADC3EC">
      <w:pPr>
        <w:spacing w:line="540" w:lineRule="exact"/>
        <w:ind w:firstLine="640" w:firstLineChars="200"/>
        <w:rPr>
          <w:rFonts w:ascii="仿宋_GB2312" w:eastAsia="仿宋_GB2312"/>
          <w:sz w:val="32"/>
          <w:szCs w:val="32"/>
        </w:rPr>
      </w:pPr>
      <w:r>
        <w:rPr>
          <w:rFonts w:hint="eastAsia" w:ascii="仿宋_GB2312" w:eastAsia="仿宋_GB2312"/>
          <w:sz w:val="32"/>
          <w:szCs w:val="32"/>
        </w:rPr>
        <w:t>3.组织举办本级全民健身系列活动</w:t>
      </w:r>
    </w:p>
    <w:p w14:paraId="1A46383D">
      <w:pPr>
        <w:spacing w:line="540" w:lineRule="exact"/>
        <w:ind w:firstLine="640" w:firstLineChars="200"/>
        <w:rPr>
          <w:rFonts w:ascii="仿宋_GB2312" w:eastAsia="仿宋_GB2312"/>
          <w:sz w:val="32"/>
          <w:szCs w:val="32"/>
        </w:rPr>
      </w:pPr>
      <w:r>
        <w:rPr>
          <w:rFonts w:hint="eastAsia" w:ascii="仿宋_GB2312" w:eastAsia="仿宋_GB2312"/>
          <w:sz w:val="32"/>
          <w:szCs w:val="32"/>
        </w:rPr>
        <w:t>6月11日，随着钓鱼比赛的举行拉开了《赫山区2020年全民健身系列活动暨第十九届大众运动会》序幕。本届大众运动会设比赛项目10个，从6月11日开始，到11月22日结束，历时6个月完成了全部比赛项目。全区60个单位参加，参与总人数约5000人次。</w:t>
      </w:r>
    </w:p>
    <w:p w14:paraId="6A12E460">
      <w:pPr>
        <w:spacing w:line="540" w:lineRule="exact"/>
        <w:ind w:firstLine="640" w:firstLineChars="200"/>
        <w:rPr>
          <w:rFonts w:ascii="仿宋_GB2312" w:eastAsia="仿宋_GB2312"/>
          <w:sz w:val="32"/>
          <w:szCs w:val="32"/>
        </w:rPr>
      </w:pPr>
      <w:r>
        <w:rPr>
          <w:rFonts w:hint="eastAsia" w:ascii="仿宋_GB2312" w:eastAsia="仿宋_GB2312"/>
          <w:sz w:val="32"/>
          <w:szCs w:val="32"/>
        </w:rPr>
        <w:t>4.大力发展社会体育指导员</w:t>
      </w:r>
    </w:p>
    <w:p w14:paraId="65072D8F">
      <w:pPr>
        <w:spacing w:line="540" w:lineRule="exact"/>
        <w:ind w:firstLine="640" w:firstLineChars="200"/>
        <w:rPr>
          <w:rFonts w:ascii="仿宋_GB2312" w:eastAsia="仿宋_GB2312"/>
          <w:sz w:val="32"/>
          <w:szCs w:val="32"/>
        </w:rPr>
      </w:pPr>
      <w:r>
        <w:rPr>
          <w:rFonts w:hint="eastAsia" w:ascii="仿宋_GB2312" w:eastAsia="仿宋_GB2312"/>
          <w:sz w:val="32"/>
          <w:szCs w:val="32"/>
        </w:rPr>
        <w:t>7月8日，在赫山体育馆举行为期两天的工间操、排舞三级社会体育指导员培训，来自全区各区直机关及乡镇、街道共35个单位108名学员参加了本次培训并全部通过了考核。</w:t>
      </w:r>
    </w:p>
    <w:p w14:paraId="38BD7F1C">
      <w:pPr>
        <w:spacing w:line="540" w:lineRule="exact"/>
        <w:ind w:firstLine="640" w:firstLineChars="200"/>
        <w:rPr>
          <w:rFonts w:ascii="仿宋_GB2312" w:eastAsia="仿宋_GB2312"/>
          <w:sz w:val="32"/>
          <w:szCs w:val="32"/>
        </w:rPr>
      </w:pPr>
      <w:r>
        <w:rPr>
          <w:rFonts w:hint="eastAsia" w:ascii="仿宋_GB2312" w:eastAsia="仿宋_GB2312"/>
          <w:sz w:val="32"/>
          <w:szCs w:val="32"/>
        </w:rPr>
        <w:t>5.青少年竞技体育水平稳步提升</w:t>
      </w:r>
    </w:p>
    <w:p w14:paraId="0B1FD76D">
      <w:pPr>
        <w:spacing w:line="540" w:lineRule="exact"/>
        <w:ind w:firstLine="640" w:firstLineChars="200"/>
        <w:rPr>
          <w:rFonts w:ascii="仿宋_GB2312" w:eastAsia="仿宋_GB2312"/>
          <w:sz w:val="32"/>
          <w:szCs w:val="32"/>
        </w:rPr>
      </w:pPr>
      <w:r>
        <w:rPr>
          <w:rFonts w:hint="eastAsia" w:ascii="仿宋_GB2312" w:eastAsia="仿宋_GB2312"/>
          <w:sz w:val="32"/>
          <w:szCs w:val="32"/>
        </w:rPr>
        <w:t>业余体校持续深化与教育、体育培训机构合作，大力培育体育后备人才。今年，我们组队参加了“2020年湖南省青少年体育锦标赛”的女子篮球、男子足球、田径和拳击四个项目的比赛。女子篮球获第二名，男子足球获第五名，田径比赛获男银牌2枚，拳击比赛获金牌2枚、银牌1枚。参加2020年湖南省青少年校园足球联赛初中总决赛获男子甲组一等奖。参加市中小学生运动会足球比赛，高中男子组分获第一、第二名。为促进我区青少年竞技体育发展，2020年我们承办了湖南省青少年柔道赛和益阳市“世龙杯”跆拳道精英挑战赛。</w:t>
      </w:r>
    </w:p>
    <w:p w14:paraId="112086A3">
      <w:pPr>
        <w:spacing w:line="540" w:lineRule="exact"/>
        <w:ind w:firstLine="640" w:firstLineChars="200"/>
        <w:rPr>
          <w:rFonts w:ascii="仿宋_GB2312" w:eastAsia="仿宋_GB2312"/>
          <w:sz w:val="32"/>
          <w:szCs w:val="32"/>
        </w:rPr>
      </w:pPr>
      <w:r>
        <w:rPr>
          <w:rFonts w:hint="eastAsia" w:ascii="仿宋_GB2312" w:eastAsia="仿宋_GB2312"/>
          <w:sz w:val="32"/>
          <w:szCs w:val="32"/>
        </w:rPr>
        <w:t>总体上，区全民健身服务中心2020年部门整体支出能够严格按预算执行，绩效目标完成情况整体良好。</w:t>
      </w:r>
    </w:p>
    <w:p w14:paraId="4ECBB2A9">
      <w:pPr>
        <w:spacing w:line="540" w:lineRule="exact"/>
        <w:ind w:firstLine="640" w:firstLineChars="200"/>
        <w:rPr>
          <w:rFonts w:ascii="仿宋_GB2312" w:eastAsia="仿宋_GB2312"/>
          <w:sz w:val="32"/>
          <w:szCs w:val="32"/>
        </w:rPr>
      </w:pPr>
      <w:r>
        <w:rPr>
          <w:rFonts w:hint="eastAsia" w:ascii="仿宋_GB2312" w:eastAsia="仿宋_GB2312"/>
          <w:sz w:val="32"/>
          <w:szCs w:val="32"/>
        </w:rPr>
        <w:t>（二）评价结论</w:t>
      </w:r>
    </w:p>
    <w:p w14:paraId="6278264B">
      <w:pPr>
        <w:spacing w:line="540" w:lineRule="exact"/>
        <w:ind w:firstLine="640" w:firstLineChars="200"/>
        <w:rPr>
          <w:rFonts w:ascii="仿宋_GB2312" w:eastAsia="仿宋_GB2312"/>
          <w:sz w:val="32"/>
          <w:szCs w:val="32"/>
        </w:rPr>
      </w:pPr>
      <w:r>
        <w:rPr>
          <w:rFonts w:hint="eastAsia" w:ascii="仿宋_GB2312" w:eastAsia="仿宋_GB2312"/>
          <w:sz w:val="32"/>
          <w:szCs w:val="32"/>
        </w:rPr>
        <w:t>根据《部门整体支出绩效自评指标计分表》，本着实事求事的原则，我们对2020年健身服务中心整体支出进行了客观的评价，自评分为：95分。</w:t>
      </w:r>
    </w:p>
    <w:p w14:paraId="2CEB0F80">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五、存在的主要问题</w:t>
      </w:r>
    </w:p>
    <w:p w14:paraId="2FD7DF92">
      <w:pPr>
        <w:spacing w:line="540" w:lineRule="exact"/>
        <w:ind w:firstLine="640" w:firstLineChars="200"/>
        <w:rPr>
          <w:rFonts w:ascii="仿宋_GB2312" w:eastAsia="仿宋_GB2312"/>
          <w:sz w:val="32"/>
          <w:szCs w:val="32"/>
        </w:rPr>
      </w:pPr>
      <w:r>
        <w:rPr>
          <w:rFonts w:hint="eastAsia" w:ascii="仿宋_GB2312" w:eastAsia="仿宋_GB2312"/>
          <w:sz w:val="32"/>
          <w:szCs w:val="32"/>
        </w:rPr>
        <w:t>因部分工作是根据上级相关要求和年中工作需要开展，工作经费难到位，很难纳入预算，但工作要开展，经费要使用，导致预算执行可能存在偏差。</w:t>
      </w:r>
    </w:p>
    <w:p w14:paraId="1E976530">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六、有关建议</w:t>
      </w:r>
    </w:p>
    <w:p w14:paraId="6D399262">
      <w:pPr>
        <w:spacing w:line="540" w:lineRule="exact"/>
        <w:ind w:firstLine="640" w:firstLineChars="200"/>
        <w:rPr>
          <w:rFonts w:ascii="仿宋_GB2312" w:eastAsia="仿宋_GB2312"/>
          <w:sz w:val="32"/>
          <w:szCs w:val="32"/>
        </w:rPr>
      </w:pPr>
      <w:r>
        <w:rPr>
          <w:rFonts w:hint="eastAsia" w:ascii="仿宋_GB2312" w:eastAsia="仿宋_GB2312"/>
          <w:sz w:val="32"/>
          <w:szCs w:val="32"/>
        </w:rPr>
        <w:t>科学合理编制预算，严格执行预算,避免无预算、超预算。进一步完善、明确和细化各项费用支出管理制度，严格控制招待费和各项费用支出。加强固定资产的管理，对固定资产进行定期清查盘点，建卡立档。</w:t>
      </w:r>
      <w:bookmarkStart w:id="0" w:name="YS060101"/>
      <w:bookmarkEnd w:id="0"/>
    </w:p>
    <w:p w14:paraId="108C58F0">
      <w:pPr>
        <w:spacing w:line="560" w:lineRule="exact"/>
        <w:ind w:firstLine="640" w:firstLineChars="200"/>
        <w:rPr>
          <w:rFonts w:ascii="黑体" w:eastAsia="黑体"/>
          <w:sz w:val="32"/>
          <w:szCs w:val="32"/>
          <w:highlight w:val="white"/>
        </w:rPr>
      </w:pPr>
      <w:r>
        <w:rPr>
          <w:rFonts w:hint="eastAsia" w:ascii="黑体" w:eastAsia="黑体"/>
          <w:sz w:val="32"/>
          <w:szCs w:val="32"/>
          <w:highlight w:val="white"/>
        </w:rPr>
        <w:t>七、其它需要说明的事项</w:t>
      </w:r>
    </w:p>
    <w:p w14:paraId="27A8EF2C">
      <w:pPr>
        <w:spacing w:line="540" w:lineRule="exact"/>
        <w:ind w:firstLine="640" w:firstLineChars="200"/>
        <w:rPr>
          <w:rFonts w:ascii="仿宋_GB2312" w:eastAsia="仿宋_GB2312"/>
          <w:sz w:val="32"/>
          <w:szCs w:val="32"/>
        </w:rPr>
      </w:pPr>
      <w:r>
        <w:rPr>
          <w:rFonts w:hint="eastAsia" w:ascii="仿宋_GB2312" w:eastAsia="仿宋_GB2312"/>
          <w:sz w:val="32"/>
          <w:szCs w:val="32"/>
        </w:rPr>
        <w:t>无。</w:t>
      </w:r>
    </w:p>
    <w:p w14:paraId="2B0698B6">
      <w:pPr>
        <w:spacing w:line="540" w:lineRule="exact"/>
        <w:rPr>
          <w:rFonts w:ascii="仿宋_GB2312" w:eastAsia="仿宋_GB2312"/>
          <w:sz w:val="32"/>
          <w:szCs w:val="32"/>
        </w:rPr>
      </w:pPr>
      <w:r>
        <w:rPr>
          <w:rFonts w:hint="eastAsia" w:ascii="仿宋_GB2312" w:eastAsia="仿宋_GB2312"/>
          <w:sz w:val="32"/>
          <w:szCs w:val="32"/>
        </w:rPr>
        <w:t xml:space="preserve"> </w:t>
      </w:r>
    </w:p>
    <w:p w14:paraId="44EB9E24">
      <w:pPr>
        <w:spacing w:line="480" w:lineRule="exact"/>
        <w:rPr>
          <w:rFonts w:ascii="仿宋_GB2312" w:eastAsia="仿宋_GB2312"/>
          <w:sz w:val="32"/>
          <w:szCs w:val="32"/>
        </w:rPr>
      </w:pPr>
    </w:p>
    <w:p w14:paraId="10E77BFB">
      <w:pPr>
        <w:spacing w:line="480" w:lineRule="exact"/>
        <w:rPr>
          <w:rFonts w:ascii="仿宋_GB2312" w:eastAsia="仿宋_GB2312"/>
          <w:sz w:val="32"/>
          <w:szCs w:val="32"/>
        </w:rPr>
      </w:pPr>
    </w:p>
    <w:p w14:paraId="6D8C6742">
      <w:pPr>
        <w:spacing w:line="540" w:lineRule="exact"/>
        <w:ind w:firstLine="3840" w:firstLineChars="1200"/>
        <w:rPr>
          <w:rFonts w:ascii="仿宋_GB2312" w:eastAsia="仿宋_GB2312"/>
          <w:sz w:val="32"/>
          <w:szCs w:val="32"/>
        </w:rPr>
      </w:pPr>
      <w:r>
        <w:rPr>
          <w:rFonts w:hint="eastAsia" w:ascii="仿宋_GB2312" w:eastAsia="仿宋_GB2312"/>
          <w:sz w:val="32"/>
          <w:szCs w:val="32"/>
        </w:rPr>
        <w:t>益阳市赫山区全民健身服务中心</w:t>
      </w:r>
    </w:p>
    <w:p w14:paraId="1F16D94A">
      <w:pPr>
        <w:spacing w:line="540" w:lineRule="exact"/>
        <w:ind w:firstLine="4960" w:firstLineChars="1550"/>
        <w:rPr>
          <w:rFonts w:ascii="仿宋_GB2312" w:eastAsia="仿宋_GB2312"/>
          <w:sz w:val="32"/>
          <w:szCs w:val="32"/>
        </w:rPr>
      </w:pPr>
      <w:r>
        <w:rPr>
          <w:rFonts w:hint="eastAsia" w:ascii="仿宋_GB2312" w:eastAsia="仿宋_GB2312"/>
          <w:sz w:val="32"/>
          <w:szCs w:val="32"/>
        </w:rPr>
        <w:t>2021年7月15日</w:t>
      </w:r>
    </w:p>
    <w:p w14:paraId="335C3571">
      <w:pPr>
        <w:spacing w:line="480" w:lineRule="exact"/>
        <w:rPr>
          <w:rFonts w:ascii="黑体" w:eastAsia="黑体"/>
          <w:sz w:val="32"/>
          <w:szCs w:val="32"/>
        </w:rPr>
      </w:pPr>
    </w:p>
    <w:p w14:paraId="634B1263">
      <w:pPr>
        <w:spacing w:line="460" w:lineRule="exact"/>
        <w:jc w:val="center"/>
        <w:rPr>
          <w:rFonts w:ascii="黑体" w:eastAsia="黑体" w:cs="黑体"/>
          <w:sz w:val="32"/>
          <w:szCs w:val="32"/>
        </w:rPr>
      </w:pPr>
      <w:r>
        <w:rPr>
          <w:rFonts w:hint="eastAsia" w:ascii="黑体" w:eastAsia="黑体" w:cs="黑体"/>
          <w:sz w:val="32"/>
          <w:szCs w:val="32"/>
        </w:rPr>
        <w:t>2020年度赫山区全民健身服务中心部门整体支出绩效</w:t>
      </w:r>
    </w:p>
    <w:p w14:paraId="635219B0">
      <w:pPr>
        <w:spacing w:beforeLines="50" w:afterLines="50" w:line="460" w:lineRule="exact"/>
        <w:jc w:val="center"/>
        <w:rPr>
          <w:rFonts w:ascii="黑体" w:eastAsia="黑体" w:cs="黑体"/>
          <w:sz w:val="32"/>
          <w:szCs w:val="32"/>
        </w:rPr>
      </w:pPr>
      <w:r>
        <w:rPr>
          <w:rFonts w:hint="eastAsia" w:ascii="黑体" w:eastAsia="黑体" w:cs="黑体"/>
          <w:sz w:val="32"/>
          <w:szCs w:val="32"/>
        </w:rPr>
        <w:t>自评指标计分表</w:t>
      </w:r>
    </w:p>
    <w:tbl>
      <w:tblPr>
        <w:tblStyle w:val="9"/>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9"/>
        <w:gridCol w:w="710"/>
        <w:gridCol w:w="947"/>
        <w:gridCol w:w="710"/>
        <w:gridCol w:w="2984"/>
        <w:gridCol w:w="3533"/>
      </w:tblGrid>
      <w:tr w14:paraId="389C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6" w:type="pct"/>
            <w:tcMar>
              <w:top w:w="10" w:type="dxa"/>
              <w:left w:w="10" w:type="dxa"/>
              <w:right w:w="10" w:type="dxa"/>
            </w:tcMar>
            <w:vAlign w:val="center"/>
          </w:tcPr>
          <w:p w14:paraId="37F10A94">
            <w:pPr>
              <w:spacing w:line="240" w:lineRule="exact"/>
              <w:jc w:val="center"/>
              <w:rPr>
                <w:rFonts w:hint="eastAsia" w:ascii="宋体" w:eastAsia="宋体" w:cs="宋体"/>
                <w:b/>
                <w:bCs/>
                <w:lang w:eastAsia="zh-CN"/>
              </w:rPr>
            </w:pPr>
            <w:r>
              <w:rPr>
                <w:rFonts w:hint="eastAsia" w:ascii="宋体" w:cs="宋体"/>
                <w:b/>
                <w:bCs/>
              </w:rPr>
              <w:t>一级</w:t>
            </w:r>
          </w:p>
          <w:p w14:paraId="703A4A64">
            <w:pPr>
              <w:spacing w:line="240" w:lineRule="exact"/>
              <w:jc w:val="center"/>
              <w:rPr>
                <w:rFonts w:ascii="宋体" w:cs="宋体"/>
                <w:b/>
                <w:bCs/>
              </w:rPr>
            </w:pPr>
            <w:r>
              <w:rPr>
                <w:rFonts w:hint="eastAsia" w:ascii="宋体" w:cs="宋体"/>
                <w:b/>
                <w:bCs/>
              </w:rPr>
              <w:t>指标</w:t>
            </w:r>
          </w:p>
        </w:tc>
        <w:tc>
          <w:tcPr>
            <w:tcW w:w="375" w:type="pct"/>
            <w:tcMar>
              <w:top w:w="10" w:type="dxa"/>
              <w:left w:w="10" w:type="dxa"/>
              <w:right w:w="10" w:type="dxa"/>
            </w:tcMar>
            <w:vAlign w:val="center"/>
          </w:tcPr>
          <w:p w14:paraId="692D98C3">
            <w:pPr>
              <w:spacing w:line="240" w:lineRule="exact"/>
              <w:ind w:right="-174" w:rightChars="-83"/>
              <w:jc w:val="center"/>
              <w:rPr>
                <w:rFonts w:ascii="宋体" w:cs="宋体"/>
                <w:b/>
                <w:bCs/>
              </w:rPr>
            </w:pPr>
            <w:r>
              <w:rPr>
                <w:rFonts w:hint="eastAsia" w:ascii="宋体" w:cs="宋体"/>
                <w:b/>
                <w:bCs/>
              </w:rPr>
              <w:t>二级</w:t>
            </w:r>
          </w:p>
          <w:p w14:paraId="26C083A4">
            <w:pPr>
              <w:spacing w:line="240" w:lineRule="exact"/>
              <w:ind w:right="-174" w:rightChars="-83"/>
              <w:jc w:val="center"/>
              <w:rPr>
                <w:rFonts w:ascii="宋体" w:cs="宋体"/>
                <w:b/>
                <w:bCs/>
              </w:rPr>
            </w:pPr>
            <w:r>
              <w:rPr>
                <w:rFonts w:hint="eastAsia" w:ascii="宋体" w:cs="宋体"/>
                <w:b/>
                <w:bCs/>
              </w:rPr>
              <w:t>指标</w:t>
            </w:r>
          </w:p>
        </w:tc>
        <w:tc>
          <w:tcPr>
            <w:tcW w:w="500" w:type="pct"/>
            <w:tcMar>
              <w:top w:w="10" w:type="dxa"/>
              <w:left w:w="10" w:type="dxa"/>
              <w:right w:w="10" w:type="dxa"/>
            </w:tcMar>
            <w:vAlign w:val="center"/>
          </w:tcPr>
          <w:p w14:paraId="321372BB">
            <w:pPr>
              <w:spacing w:line="240" w:lineRule="exact"/>
              <w:jc w:val="center"/>
              <w:rPr>
                <w:rFonts w:ascii="宋体" w:cs="宋体"/>
                <w:b/>
                <w:bCs/>
              </w:rPr>
            </w:pPr>
            <w:r>
              <w:rPr>
                <w:rFonts w:hint="eastAsia" w:ascii="宋体" w:cs="宋体"/>
                <w:b/>
                <w:bCs/>
              </w:rPr>
              <w:t>三级</w:t>
            </w:r>
          </w:p>
          <w:p w14:paraId="6E829BD5">
            <w:pPr>
              <w:spacing w:line="240" w:lineRule="exact"/>
              <w:jc w:val="center"/>
              <w:rPr>
                <w:rFonts w:ascii="宋体" w:cs="宋体"/>
                <w:b/>
                <w:bCs/>
              </w:rPr>
            </w:pPr>
            <w:r>
              <w:rPr>
                <w:rFonts w:hint="eastAsia" w:ascii="宋体" w:cs="宋体"/>
                <w:b/>
                <w:bCs/>
              </w:rPr>
              <w:t>指标</w:t>
            </w:r>
          </w:p>
        </w:tc>
        <w:tc>
          <w:tcPr>
            <w:tcW w:w="375" w:type="pct"/>
            <w:vAlign w:val="center"/>
          </w:tcPr>
          <w:p w14:paraId="3667249E">
            <w:pPr>
              <w:spacing w:line="240" w:lineRule="exact"/>
              <w:ind w:left="105" w:leftChars="50" w:right="105" w:rightChars="50"/>
              <w:jc w:val="center"/>
              <w:rPr>
                <w:rFonts w:ascii="宋体" w:cs="宋体"/>
                <w:b/>
                <w:bCs/>
              </w:rPr>
            </w:pPr>
            <w:r>
              <w:rPr>
                <w:rFonts w:hint="eastAsia" w:ascii="宋体" w:cs="宋体"/>
                <w:b/>
                <w:bCs/>
              </w:rPr>
              <w:t>自评分</w:t>
            </w:r>
          </w:p>
        </w:tc>
        <w:tc>
          <w:tcPr>
            <w:tcW w:w="1576" w:type="pct"/>
            <w:tcMar>
              <w:top w:w="10" w:type="dxa"/>
              <w:left w:w="10" w:type="dxa"/>
              <w:right w:w="10" w:type="dxa"/>
            </w:tcMar>
            <w:vAlign w:val="center"/>
          </w:tcPr>
          <w:p w14:paraId="42916444">
            <w:pPr>
              <w:spacing w:line="240" w:lineRule="exact"/>
              <w:ind w:left="105" w:leftChars="50" w:right="105" w:rightChars="50"/>
              <w:jc w:val="center"/>
              <w:rPr>
                <w:rFonts w:ascii="宋体" w:cs="宋体"/>
                <w:b/>
                <w:bCs/>
              </w:rPr>
            </w:pPr>
            <w:r>
              <w:rPr>
                <w:rFonts w:hint="eastAsia" w:ascii="宋体" w:cs="宋体"/>
                <w:b/>
                <w:bCs/>
              </w:rPr>
              <w:t>指标解释</w:t>
            </w:r>
          </w:p>
        </w:tc>
        <w:tc>
          <w:tcPr>
            <w:tcW w:w="1866" w:type="pct"/>
            <w:tcMar>
              <w:top w:w="10" w:type="dxa"/>
              <w:left w:w="10" w:type="dxa"/>
              <w:right w:w="10" w:type="dxa"/>
            </w:tcMar>
            <w:vAlign w:val="center"/>
          </w:tcPr>
          <w:p w14:paraId="6351977A">
            <w:pPr>
              <w:spacing w:line="240" w:lineRule="exact"/>
              <w:ind w:left="105" w:leftChars="50" w:right="105" w:rightChars="50"/>
              <w:jc w:val="center"/>
              <w:rPr>
                <w:rFonts w:ascii="宋体" w:cs="宋体"/>
                <w:b/>
                <w:bCs/>
              </w:rPr>
            </w:pPr>
            <w:r>
              <w:rPr>
                <w:rFonts w:hint="eastAsia" w:ascii="宋体" w:cs="宋体"/>
                <w:b/>
                <w:bCs/>
              </w:rPr>
              <w:t>指标说明</w:t>
            </w:r>
          </w:p>
        </w:tc>
      </w:tr>
      <w:tr w14:paraId="39E5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6" w:hRule="atLeast"/>
          <w:jc w:val="center"/>
        </w:trPr>
        <w:tc>
          <w:tcPr>
            <w:tcW w:w="306" w:type="pct"/>
            <w:vMerge w:val="restart"/>
            <w:noWrap/>
            <w:tcMar>
              <w:top w:w="10" w:type="dxa"/>
              <w:left w:w="10" w:type="dxa"/>
              <w:right w:w="10" w:type="dxa"/>
            </w:tcMar>
            <w:textDirection w:val="tbRlV"/>
            <w:vAlign w:val="center"/>
          </w:tcPr>
          <w:p w14:paraId="7B22F650">
            <w:pPr>
              <w:spacing w:line="240" w:lineRule="exact"/>
              <w:jc w:val="center"/>
              <w:rPr>
                <w:rFonts w:ascii="宋体" w:cs="宋体"/>
              </w:rPr>
            </w:pPr>
            <w:r>
              <w:rPr>
                <w:rFonts w:hint="eastAsia" w:ascii="宋体" w:cs="宋体"/>
              </w:rPr>
              <w:t>投</w:t>
            </w:r>
            <w:r>
              <w:rPr>
                <w:rFonts w:ascii="宋体" w:cs="宋体"/>
              </w:rPr>
              <w:t xml:space="preserve">   </w:t>
            </w:r>
            <w:r>
              <w:rPr>
                <w:rFonts w:hint="eastAsia" w:ascii="宋体" w:cs="宋体"/>
              </w:rPr>
              <w:t>入（</w:t>
            </w:r>
            <w:r>
              <w:rPr>
                <w:rFonts w:ascii="宋体" w:cs="宋体"/>
              </w:rPr>
              <w:t>20</w:t>
            </w:r>
            <w:r>
              <w:rPr>
                <w:rFonts w:hint="eastAsia" w:ascii="宋体" w:cs="宋体"/>
              </w:rPr>
              <w:t>分）</w:t>
            </w:r>
          </w:p>
        </w:tc>
        <w:tc>
          <w:tcPr>
            <w:tcW w:w="375" w:type="pct"/>
            <w:vMerge w:val="restart"/>
            <w:tcMar>
              <w:top w:w="10" w:type="dxa"/>
              <w:left w:w="10" w:type="dxa"/>
              <w:right w:w="10" w:type="dxa"/>
            </w:tcMar>
            <w:vAlign w:val="center"/>
          </w:tcPr>
          <w:p w14:paraId="3D2EF897">
            <w:pPr>
              <w:spacing w:line="240" w:lineRule="exact"/>
              <w:jc w:val="center"/>
              <w:rPr>
                <w:rFonts w:hint="eastAsia" w:ascii="宋体" w:eastAsia="宋体" w:cs="宋体"/>
                <w:lang w:eastAsia="zh-CN"/>
              </w:rPr>
            </w:pPr>
            <w:r>
              <w:rPr>
                <w:rFonts w:hint="eastAsia" w:ascii="宋体" w:cs="宋体"/>
              </w:rPr>
              <w:t>目标</w:t>
            </w:r>
          </w:p>
          <w:p w14:paraId="09553992">
            <w:pPr>
              <w:spacing w:line="240" w:lineRule="exact"/>
              <w:jc w:val="center"/>
              <w:rPr>
                <w:rFonts w:ascii="宋体" w:cs="宋体"/>
              </w:rPr>
            </w:pPr>
            <w:r>
              <w:rPr>
                <w:rFonts w:hint="eastAsia" w:ascii="宋体" w:cs="宋体"/>
              </w:rPr>
              <w:t>设定（</w:t>
            </w:r>
            <w:r>
              <w:rPr>
                <w:rFonts w:ascii="宋体" w:cs="宋体"/>
              </w:rPr>
              <w:t>5</w:t>
            </w:r>
            <w:r>
              <w:rPr>
                <w:rFonts w:hint="eastAsia" w:ascii="宋体" w:cs="宋体"/>
              </w:rPr>
              <w:t>分）</w:t>
            </w:r>
          </w:p>
        </w:tc>
        <w:tc>
          <w:tcPr>
            <w:tcW w:w="500" w:type="pct"/>
            <w:tcMar>
              <w:top w:w="10" w:type="dxa"/>
              <w:left w:w="10" w:type="dxa"/>
              <w:right w:w="10" w:type="dxa"/>
            </w:tcMar>
            <w:vAlign w:val="center"/>
          </w:tcPr>
          <w:p w14:paraId="2BD0E1E2">
            <w:pPr>
              <w:spacing w:line="240" w:lineRule="exact"/>
              <w:jc w:val="center"/>
              <w:rPr>
                <w:rFonts w:ascii="宋体" w:cs="宋体"/>
              </w:rPr>
            </w:pPr>
            <w:r>
              <w:rPr>
                <w:rFonts w:hint="eastAsia" w:ascii="宋体" w:cs="宋体"/>
              </w:rPr>
              <w:t>绩效目标</w:t>
            </w:r>
          </w:p>
          <w:p w14:paraId="29B18765">
            <w:pPr>
              <w:spacing w:line="240" w:lineRule="exact"/>
              <w:jc w:val="center"/>
              <w:rPr>
                <w:rFonts w:ascii="宋体" w:cs="宋体"/>
              </w:rPr>
            </w:pPr>
            <w:r>
              <w:rPr>
                <w:rFonts w:hint="eastAsia" w:ascii="宋体" w:cs="宋体"/>
              </w:rPr>
              <w:t>合理性（</w:t>
            </w:r>
            <w:r>
              <w:rPr>
                <w:rFonts w:ascii="宋体" w:cs="宋体"/>
              </w:rPr>
              <w:t>2</w:t>
            </w:r>
            <w:r>
              <w:rPr>
                <w:rFonts w:hint="eastAsia" w:ascii="宋体" w:cs="宋体"/>
              </w:rPr>
              <w:t>分）</w:t>
            </w:r>
          </w:p>
        </w:tc>
        <w:tc>
          <w:tcPr>
            <w:tcW w:w="375" w:type="pct"/>
          </w:tcPr>
          <w:p w14:paraId="4C18D5F1">
            <w:pPr>
              <w:tabs>
                <w:tab w:val="left" w:pos="2604"/>
              </w:tabs>
              <w:spacing w:line="240" w:lineRule="exact"/>
              <w:ind w:left="105" w:leftChars="50" w:right="105" w:rightChars="50" w:firstLine="96" w:firstLineChars="46"/>
              <w:jc w:val="center"/>
              <w:rPr>
                <w:rFonts w:ascii="宋体" w:cs="宋体"/>
              </w:rPr>
            </w:pPr>
          </w:p>
          <w:p w14:paraId="706175C1">
            <w:pPr>
              <w:tabs>
                <w:tab w:val="left" w:pos="2604"/>
              </w:tabs>
              <w:spacing w:line="240" w:lineRule="exact"/>
              <w:ind w:left="105" w:leftChars="50" w:right="105" w:rightChars="50" w:firstLine="96" w:firstLineChars="46"/>
              <w:jc w:val="center"/>
              <w:rPr>
                <w:rFonts w:ascii="宋体" w:cs="宋体"/>
              </w:rPr>
            </w:pPr>
          </w:p>
          <w:p w14:paraId="18CDF824">
            <w:pPr>
              <w:tabs>
                <w:tab w:val="left" w:pos="2604"/>
              </w:tabs>
              <w:spacing w:line="240" w:lineRule="exact"/>
              <w:ind w:left="105" w:leftChars="50" w:right="105" w:rightChars="50" w:firstLine="96" w:firstLineChars="46"/>
              <w:jc w:val="center"/>
              <w:rPr>
                <w:rFonts w:ascii="宋体" w:cs="宋体"/>
              </w:rPr>
            </w:pPr>
          </w:p>
          <w:p w14:paraId="310E6B79">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4E8333A2">
            <w:pPr>
              <w:tabs>
                <w:tab w:val="left" w:pos="2604"/>
              </w:tabs>
              <w:spacing w:line="240" w:lineRule="exact"/>
              <w:ind w:left="105" w:leftChars="50" w:right="105" w:rightChars="50" w:firstLine="96" w:firstLineChars="46"/>
              <w:rPr>
                <w:rFonts w:ascii="宋体" w:cs="宋体"/>
              </w:rPr>
            </w:pPr>
            <w:r>
              <w:rPr>
                <w:rFonts w:hint="eastAsia" w:ascii="宋体" w:cs="宋体"/>
              </w:rPr>
              <w:t>部门所设立的整体绩效目标依据是否充分，是否符合客观实际，用以反映和考核部门整体绩效目标与部门履职、年度工作任务的相符性情况。</w:t>
            </w:r>
          </w:p>
        </w:tc>
        <w:tc>
          <w:tcPr>
            <w:tcW w:w="1866" w:type="pct"/>
            <w:tcMar>
              <w:top w:w="10" w:type="dxa"/>
              <w:left w:w="10" w:type="dxa"/>
              <w:right w:w="10" w:type="dxa"/>
            </w:tcMar>
            <w:vAlign w:val="center"/>
          </w:tcPr>
          <w:p w14:paraId="50ABC627">
            <w:pPr>
              <w:spacing w:line="240" w:lineRule="exact"/>
              <w:ind w:left="105" w:leftChars="50" w:right="105" w:rightChars="50"/>
              <w:rPr>
                <w:rFonts w:hint="eastAsia" w:ascii="宋体" w:eastAsia="宋体" w:cs="宋体"/>
                <w:lang w:eastAsia="zh-CN"/>
              </w:rPr>
            </w:pPr>
            <w:r>
              <w:rPr>
                <w:rFonts w:hint="eastAsia" w:ascii="宋体" w:cs="宋体"/>
              </w:rPr>
              <w:t>评价要点：</w:t>
            </w:r>
          </w:p>
          <w:p w14:paraId="4390E067">
            <w:pPr>
              <w:spacing w:line="240" w:lineRule="exact"/>
              <w:ind w:left="105" w:leftChars="50" w:right="105" w:rightChars="50"/>
              <w:rPr>
                <w:rFonts w:hint="eastAsia" w:ascii="宋体" w:eastAsia="宋体" w:cs="宋体"/>
                <w:lang w:eastAsia="zh-CN"/>
              </w:rPr>
            </w:pPr>
            <w:r>
              <w:rPr>
                <w:rFonts w:hint="eastAsia" w:ascii="宋体" w:cs="宋体"/>
              </w:rPr>
              <w:t>①是否符合国家法律法规、国民经济和社会发展总体规划；</w:t>
            </w:r>
          </w:p>
          <w:p w14:paraId="24175D49">
            <w:pPr>
              <w:spacing w:line="240" w:lineRule="exact"/>
              <w:ind w:left="105" w:leftChars="50" w:right="105" w:rightChars="50"/>
              <w:rPr>
                <w:rFonts w:hint="eastAsia" w:ascii="宋体" w:eastAsia="宋体" w:cs="宋体"/>
                <w:lang w:eastAsia="zh-CN"/>
              </w:rPr>
            </w:pPr>
            <w:r>
              <w:rPr>
                <w:rFonts w:hint="eastAsia" w:ascii="宋体" w:cs="宋体"/>
              </w:rPr>
              <w:t>②是否符合部门“三定”方案确定的职责；</w:t>
            </w:r>
          </w:p>
          <w:p w14:paraId="2AFA2C25">
            <w:pPr>
              <w:spacing w:line="240" w:lineRule="exact"/>
              <w:ind w:left="105" w:leftChars="50" w:right="105" w:rightChars="50"/>
              <w:rPr>
                <w:rFonts w:ascii="宋体" w:cs="宋体"/>
              </w:rPr>
            </w:pPr>
            <w:r>
              <w:rPr>
                <w:rFonts w:hint="eastAsia" w:ascii="宋体" w:cs="宋体"/>
              </w:rPr>
              <w:t>③是否符合部门制定的中长期实施规划。</w:t>
            </w:r>
          </w:p>
        </w:tc>
      </w:tr>
      <w:tr w14:paraId="35C7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1" w:hRule="atLeast"/>
          <w:jc w:val="center"/>
        </w:trPr>
        <w:tc>
          <w:tcPr>
            <w:tcW w:w="306" w:type="pct"/>
            <w:vMerge w:val="continue"/>
            <w:vAlign w:val="center"/>
          </w:tcPr>
          <w:p w14:paraId="14344CBD"/>
        </w:tc>
        <w:tc>
          <w:tcPr>
            <w:tcW w:w="375" w:type="pct"/>
            <w:vMerge w:val="continue"/>
            <w:vAlign w:val="center"/>
          </w:tcPr>
          <w:p w14:paraId="3D74F392"/>
        </w:tc>
        <w:tc>
          <w:tcPr>
            <w:tcW w:w="500" w:type="pct"/>
            <w:tcMar>
              <w:top w:w="10" w:type="dxa"/>
              <w:left w:w="10" w:type="dxa"/>
              <w:right w:w="10" w:type="dxa"/>
            </w:tcMar>
            <w:vAlign w:val="center"/>
          </w:tcPr>
          <w:p w14:paraId="7E177C17">
            <w:pPr>
              <w:spacing w:line="240" w:lineRule="exact"/>
              <w:jc w:val="center"/>
              <w:rPr>
                <w:rFonts w:ascii="宋体" w:cs="宋体"/>
              </w:rPr>
            </w:pPr>
            <w:r>
              <w:rPr>
                <w:rFonts w:hint="eastAsia" w:ascii="宋体" w:cs="宋体"/>
              </w:rPr>
              <w:t>绩效指标</w:t>
            </w:r>
          </w:p>
          <w:p w14:paraId="129562E2">
            <w:pPr>
              <w:spacing w:line="240" w:lineRule="exact"/>
              <w:jc w:val="center"/>
              <w:rPr>
                <w:rFonts w:ascii="宋体" w:cs="宋体"/>
              </w:rPr>
            </w:pPr>
            <w:r>
              <w:rPr>
                <w:rFonts w:hint="eastAsia" w:ascii="宋体" w:cs="宋体"/>
              </w:rPr>
              <w:t>明确性（</w:t>
            </w:r>
            <w:r>
              <w:rPr>
                <w:rFonts w:ascii="宋体" w:cs="宋体"/>
              </w:rPr>
              <w:t>3</w:t>
            </w:r>
            <w:r>
              <w:rPr>
                <w:rFonts w:hint="eastAsia" w:ascii="宋体" w:cs="宋体"/>
              </w:rPr>
              <w:t>分）</w:t>
            </w:r>
          </w:p>
        </w:tc>
        <w:tc>
          <w:tcPr>
            <w:tcW w:w="375" w:type="pct"/>
          </w:tcPr>
          <w:p w14:paraId="51D8CB03">
            <w:pPr>
              <w:tabs>
                <w:tab w:val="left" w:pos="2604"/>
              </w:tabs>
              <w:spacing w:line="240" w:lineRule="exact"/>
              <w:ind w:left="105" w:leftChars="50" w:right="105" w:rightChars="50" w:firstLine="96" w:firstLineChars="46"/>
              <w:jc w:val="center"/>
              <w:rPr>
                <w:rFonts w:ascii="宋体" w:cs="宋体"/>
              </w:rPr>
            </w:pPr>
          </w:p>
          <w:p w14:paraId="63405858">
            <w:pPr>
              <w:tabs>
                <w:tab w:val="left" w:pos="2604"/>
              </w:tabs>
              <w:spacing w:line="240" w:lineRule="exact"/>
              <w:ind w:left="105" w:leftChars="50" w:right="105" w:rightChars="50" w:firstLine="96" w:firstLineChars="46"/>
              <w:jc w:val="center"/>
              <w:rPr>
                <w:rFonts w:ascii="宋体" w:cs="宋体"/>
              </w:rPr>
            </w:pPr>
          </w:p>
          <w:p w14:paraId="786FE1A9">
            <w:pPr>
              <w:tabs>
                <w:tab w:val="left" w:pos="2604"/>
              </w:tabs>
              <w:spacing w:line="240" w:lineRule="exact"/>
              <w:ind w:left="105" w:leftChars="50" w:right="105" w:rightChars="50" w:firstLine="96" w:firstLineChars="46"/>
              <w:jc w:val="center"/>
              <w:rPr>
                <w:rFonts w:ascii="宋体" w:cs="宋体"/>
              </w:rPr>
            </w:pPr>
          </w:p>
          <w:p w14:paraId="6DFAC56F">
            <w:pPr>
              <w:tabs>
                <w:tab w:val="left" w:pos="2604"/>
              </w:tabs>
              <w:spacing w:line="240" w:lineRule="exact"/>
              <w:ind w:left="105" w:leftChars="50" w:right="105" w:rightChars="50" w:firstLine="96" w:firstLineChars="46"/>
              <w:jc w:val="center"/>
              <w:rPr>
                <w:rFonts w:ascii="宋体" w:cs="宋体"/>
              </w:rPr>
            </w:pPr>
          </w:p>
          <w:p w14:paraId="4020A0DB">
            <w:pPr>
              <w:tabs>
                <w:tab w:val="left" w:pos="2604"/>
              </w:tabs>
              <w:spacing w:line="240" w:lineRule="exact"/>
              <w:ind w:left="105" w:leftChars="50" w:right="105" w:rightChars="50" w:firstLine="96" w:firstLineChars="46"/>
              <w:jc w:val="center"/>
              <w:rPr>
                <w:rFonts w:ascii="宋体" w:cs="宋体"/>
              </w:rPr>
            </w:pPr>
            <w:r>
              <w:rPr>
                <w:rFonts w:hint="eastAsia" w:ascii="宋体" w:cs="宋体"/>
              </w:rPr>
              <w:t>3</w:t>
            </w:r>
          </w:p>
        </w:tc>
        <w:tc>
          <w:tcPr>
            <w:tcW w:w="1576" w:type="pct"/>
            <w:tcMar>
              <w:top w:w="10" w:type="dxa"/>
              <w:left w:w="10" w:type="dxa"/>
              <w:right w:w="10" w:type="dxa"/>
            </w:tcMar>
            <w:vAlign w:val="center"/>
          </w:tcPr>
          <w:p w14:paraId="13F160D0">
            <w:pPr>
              <w:tabs>
                <w:tab w:val="left" w:pos="2604"/>
              </w:tabs>
              <w:spacing w:line="240" w:lineRule="exact"/>
              <w:ind w:left="105" w:leftChars="50" w:right="105" w:rightChars="50" w:firstLine="96" w:firstLineChars="46"/>
              <w:rPr>
                <w:rFonts w:ascii="宋体" w:cs="宋体"/>
              </w:rPr>
            </w:pPr>
            <w:r>
              <w:rPr>
                <w:rFonts w:hint="eastAsia" w:ascii="宋体" w:cs="宋体"/>
              </w:rPr>
              <w:t>部门依据整体绩效目标所设定的绩效指标是否清晰、细化、可衡量，用以反映和考核部门整体绩效目标的明细化情况。</w:t>
            </w:r>
          </w:p>
        </w:tc>
        <w:tc>
          <w:tcPr>
            <w:tcW w:w="1866" w:type="pct"/>
            <w:tcMar>
              <w:top w:w="10" w:type="dxa"/>
              <w:left w:w="10" w:type="dxa"/>
              <w:right w:w="10" w:type="dxa"/>
            </w:tcMar>
            <w:vAlign w:val="center"/>
          </w:tcPr>
          <w:p w14:paraId="378CB0C1">
            <w:pPr>
              <w:spacing w:line="240" w:lineRule="exact"/>
              <w:ind w:left="105" w:leftChars="50" w:right="105" w:rightChars="50"/>
              <w:rPr>
                <w:rFonts w:hint="eastAsia" w:ascii="宋体" w:eastAsia="宋体" w:cs="宋体"/>
                <w:lang w:eastAsia="zh-CN"/>
              </w:rPr>
            </w:pPr>
            <w:r>
              <w:rPr>
                <w:rFonts w:hint="eastAsia" w:ascii="宋体" w:cs="宋体"/>
              </w:rPr>
              <w:t>评价要点：</w:t>
            </w:r>
          </w:p>
          <w:p w14:paraId="4743A65A">
            <w:pPr>
              <w:spacing w:line="240" w:lineRule="exact"/>
              <w:ind w:left="105" w:leftChars="50" w:right="105" w:rightChars="50"/>
              <w:rPr>
                <w:rFonts w:hint="eastAsia" w:ascii="宋体" w:eastAsia="宋体" w:cs="宋体"/>
                <w:lang w:eastAsia="zh-CN"/>
              </w:rPr>
            </w:pPr>
            <w:r>
              <w:rPr>
                <w:rFonts w:hint="eastAsia" w:ascii="宋体" w:cs="宋体"/>
              </w:rPr>
              <w:t>①是否将部门整体的绩效目标细化分解为具体的工作任务；</w:t>
            </w:r>
          </w:p>
          <w:p w14:paraId="29162D34">
            <w:pPr>
              <w:spacing w:line="240" w:lineRule="exact"/>
              <w:ind w:left="105" w:leftChars="50" w:right="105" w:rightChars="50"/>
              <w:rPr>
                <w:rFonts w:hint="eastAsia" w:ascii="宋体" w:eastAsia="宋体" w:cs="宋体"/>
                <w:lang w:eastAsia="zh-CN"/>
              </w:rPr>
            </w:pPr>
            <w:r>
              <w:rPr>
                <w:rFonts w:hint="eastAsia" w:ascii="宋体" w:cs="宋体"/>
              </w:rPr>
              <w:t>②是否通过清晰、可衡量的指标值予以体现。</w:t>
            </w:r>
            <w:r>
              <w:rPr>
                <w:rFonts w:ascii="宋体" w:cs="宋体"/>
              </w:rPr>
              <w:t xml:space="preserve">    </w:t>
            </w:r>
            <w:r>
              <w:rPr>
                <w:rFonts w:hint="eastAsia" w:ascii="宋体" w:cs="宋体"/>
              </w:rPr>
              <w:t>③是否与部门年度的任务数或计划数相对应；</w:t>
            </w:r>
          </w:p>
          <w:p w14:paraId="51757C93">
            <w:pPr>
              <w:spacing w:line="240" w:lineRule="exact"/>
              <w:ind w:left="105" w:leftChars="50" w:right="105" w:rightChars="50"/>
              <w:rPr>
                <w:rFonts w:ascii="宋体" w:cs="宋体"/>
              </w:rPr>
            </w:pPr>
            <w:r>
              <w:rPr>
                <w:rFonts w:hint="eastAsia" w:ascii="宋体" w:cs="宋体"/>
              </w:rPr>
              <w:t>④是否与本年度部门预算资金相匹配。</w:t>
            </w:r>
          </w:p>
        </w:tc>
      </w:tr>
      <w:tr w14:paraId="7B38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306" w:type="pct"/>
            <w:vMerge w:val="continue"/>
            <w:vAlign w:val="center"/>
          </w:tcPr>
          <w:p w14:paraId="3B01E55E"/>
        </w:tc>
        <w:tc>
          <w:tcPr>
            <w:tcW w:w="375" w:type="pct"/>
            <w:vMerge w:val="restart"/>
            <w:tcMar>
              <w:top w:w="10" w:type="dxa"/>
              <w:left w:w="10" w:type="dxa"/>
              <w:right w:w="10" w:type="dxa"/>
            </w:tcMar>
            <w:vAlign w:val="center"/>
          </w:tcPr>
          <w:p w14:paraId="4CFD2535">
            <w:pPr>
              <w:spacing w:line="240" w:lineRule="exact"/>
              <w:jc w:val="center"/>
              <w:rPr>
                <w:rFonts w:hint="eastAsia" w:ascii="宋体" w:eastAsia="宋体" w:cs="宋体"/>
                <w:lang w:eastAsia="zh-CN"/>
              </w:rPr>
            </w:pPr>
            <w:r>
              <w:rPr>
                <w:rFonts w:hint="eastAsia" w:ascii="宋体" w:cs="宋体"/>
              </w:rPr>
              <w:t>预算</w:t>
            </w:r>
          </w:p>
          <w:p w14:paraId="5E211025">
            <w:pPr>
              <w:spacing w:line="240" w:lineRule="exact"/>
              <w:jc w:val="center"/>
              <w:rPr>
                <w:rFonts w:ascii="宋体" w:cs="宋体"/>
              </w:rPr>
            </w:pPr>
            <w:r>
              <w:rPr>
                <w:rFonts w:hint="eastAsia" w:ascii="宋体" w:cs="宋体"/>
              </w:rPr>
              <w:t>配置（</w:t>
            </w:r>
            <w:r>
              <w:rPr>
                <w:rFonts w:ascii="宋体" w:cs="宋体"/>
              </w:rPr>
              <w:t>15</w:t>
            </w:r>
            <w:r>
              <w:rPr>
                <w:rFonts w:hint="eastAsia" w:ascii="宋体" w:cs="宋体"/>
              </w:rPr>
              <w:t>分）</w:t>
            </w:r>
          </w:p>
        </w:tc>
        <w:tc>
          <w:tcPr>
            <w:tcW w:w="500" w:type="pct"/>
            <w:tcMar>
              <w:top w:w="10" w:type="dxa"/>
              <w:left w:w="10" w:type="dxa"/>
              <w:right w:w="10" w:type="dxa"/>
            </w:tcMar>
            <w:vAlign w:val="center"/>
          </w:tcPr>
          <w:p w14:paraId="7A06F218">
            <w:pPr>
              <w:spacing w:line="240" w:lineRule="exact"/>
              <w:jc w:val="center"/>
              <w:rPr>
                <w:rFonts w:ascii="宋体" w:cs="宋体"/>
              </w:rPr>
            </w:pPr>
            <w:r>
              <w:rPr>
                <w:rFonts w:hint="eastAsia" w:ascii="宋体" w:cs="宋体"/>
              </w:rPr>
              <w:t>在职人员</w:t>
            </w:r>
          </w:p>
          <w:p w14:paraId="1B210616">
            <w:pPr>
              <w:spacing w:line="240" w:lineRule="exact"/>
              <w:jc w:val="center"/>
              <w:rPr>
                <w:rFonts w:ascii="宋体" w:cs="宋体"/>
              </w:rPr>
            </w:pPr>
            <w:r>
              <w:rPr>
                <w:rFonts w:hint="eastAsia" w:ascii="宋体" w:cs="宋体"/>
              </w:rPr>
              <w:t>控制率（</w:t>
            </w:r>
            <w:r>
              <w:rPr>
                <w:rFonts w:ascii="宋体" w:cs="宋体"/>
              </w:rPr>
              <w:t>5</w:t>
            </w:r>
            <w:r>
              <w:rPr>
                <w:rFonts w:hint="eastAsia" w:ascii="宋体" w:cs="宋体"/>
              </w:rPr>
              <w:t>分）</w:t>
            </w:r>
          </w:p>
        </w:tc>
        <w:tc>
          <w:tcPr>
            <w:tcW w:w="375" w:type="pct"/>
          </w:tcPr>
          <w:p w14:paraId="46996C9A">
            <w:pPr>
              <w:tabs>
                <w:tab w:val="left" w:pos="2604"/>
              </w:tabs>
              <w:spacing w:line="240" w:lineRule="exact"/>
              <w:ind w:left="105" w:leftChars="50" w:right="105" w:rightChars="50" w:firstLine="96" w:firstLineChars="46"/>
              <w:jc w:val="center"/>
              <w:rPr>
                <w:rFonts w:ascii="宋体" w:cs="宋体"/>
              </w:rPr>
            </w:pPr>
          </w:p>
          <w:p w14:paraId="773A8984">
            <w:pPr>
              <w:tabs>
                <w:tab w:val="left" w:pos="2604"/>
              </w:tabs>
              <w:spacing w:line="240" w:lineRule="exact"/>
              <w:ind w:left="105" w:leftChars="50" w:right="105" w:rightChars="50" w:firstLine="96" w:firstLineChars="46"/>
              <w:jc w:val="center"/>
              <w:rPr>
                <w:rFonts w:ascii="宋体" w:cs="宋体"/>
              </w:rPr>
            </w:pPr>
          </w:p>
          <w:p w14:paraId="129DB1B0">
            <w:pPr>
              <w:tabs>
                <w:tab w:val="left" w:pos="2604"/>
              </w:tabs>
              <w:spacing w:line="240" w:lineRule="exact"/>
              <w:ind w:left="105" w:leftChars="50" w:right="105" w:rightChars="50" w:firstLine="96" w:firstLineChars="46"/>
              <w:jc w:val="center"/>
              <w:rPr>
                <w:rFonts w:ascii="宋体" w:cs="宋体"/>
              </w:rPr>
            </w:pPr>
          </w:p>
          <w:p w14:paraId="70B146F9">
            <w:pPr>
              <w:tabs>
                <w:tab w:val="left" w:pos="2604"/>
              </w:tabs>
              <w:spacing w:line="240" w:lineRule="exact"/>
              <w:ind w:left="105" w:leftChars="50" w:right="105" w:rightChars="50" w:firstLine="96" w:firstLineChars="46"/>
              <w:jc w:val="center"/>
              <w:rPr>
                <w:rFonts w:ascii="宋体" w:cs="宋体"/>
              </w:rPr>
            </w:pPr>
          </w:p>
          <w:p w14:paraId="28F056E9">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p w14:paraId="01CADAE6">
            <w:pPr>
              <w:tabs>
                <w:tab w:val="left" w:pos="2604"/>
              </w:tabs>
              <w:spacing w:line="240" w:lineRule="exact"/>
              <w:ind w:left="105" w:leftChars="50" w:right="105" w:rightChars="50" w:firstLine="96" w:firstLineChars="46"/>
              <w:jc w:val="center"/>
              <w:rPr>
                <w:rFonts w:ascii="宋体" w:cs="宋体"/>
              </w:rPr>
            </w:pPr>
          </w:p>
          <w:p w14:paraId="19086A6C">
            <w:pPr>
              <w:tabs>
                <w:tab w:val="left" w:pos="2604"/>
              </w:tabs>
              <w:spacing w:line="240" w:lineRule="exact"/>
              <w:ind w:left="105" w:leftChars="50" w:right="105" w:rightChars="50" w:firstLine="96" w:firstLineChars="46"/>
              <w:jc w:val="center"/>
              <w:rPr>
                <w:rFonts w:ascii="宋体" w:cs="宋体"/>
              </w:rPr>
            </w:pPr>
          </w:p>
        </w:tc>
        <w:tc>
          <w:tcPr>
            <w:tcW w:w="1576" w:type="pct"/>
            <w:tcMar>
              <w:top w:w="10" w:type="dxa"/>
              <w:left w:w="10" w:type="dxa"/>
              <w:right w:w="10" w:type="dxa"/>
            </w:tcMar>
            <w:vAlign w:val="center"/>
          </w:tcPr>
          <w:p w14:paraId="282EE4C2">
            <w:pPr>
              <w:tabs>
                <w:tab w:val="left" w:pos="2604"/>
              </w:tabs>
              <w:spacing w:line="240" w:lineRule="exact"/>
              <w:ind w:left="105" w:leftChars="50" w:right="105" w:rightChars="50" w:firstLine="96" w:firstLineChars="46"/>
              <w:rPr>
                <w:rFonts w:ascii="宋体" w:cs="宋体"/>
              </w:rPr>
            </w:pPr>
            <w:r>
              <w:rPr>
                <w:rFonts w:hint="eastAsia" w:ascii="宋体" w:cs="宋体"/>
              </w:rPr>
              <w:t>部门本年度实际在职人员数与编制数的比率，用以反映和考核部门对人员成本的控制程度。</w:t>
            </w:r>
          </w:p>
        </w:tc>
        <w:tc>
          <w:tcPr>
            <w:tcW w:w="1866" w:type="pct"/>
            <w:tcMar>
              <w:top w:w="10" w:type="dxa"/>
              <w:left w:w="10" w:type="dxa"/>
              <w:right w:w="10" w:type="dxa"/>
            </w:tcMar>
            <w:vAlign w:val="center"/>
          </w:tcPr>
          <w:p w14:paraId="5F3AFBEB">
            <w:pPr>
              <w:spacing w:line="240" w:lineRule="exact"/>
              <w:ind w:left="105" w:leftChars="50" w:right="105" w:rightChars="50"/>
              <w:rPr>
                <w:rFonts w:hint="eastAsia" w:ascii="宋体" w:eastAsia="宋体" w:cs="宋体"/>
                <w:lang w:eastAsia="zh-CN"/>
              </w:rPr>
            </w:pPr>
            <w:r>
              <w:rPr>
                <w:rFonts w:hint="eastAsia" w:ascii="宋体" w:cs="宋体"/>
              </w:rPr>
              <w:t>在职人员控制率</w:t>
            </w:r>
            <w:r>
              <w:rPr>
                <w:rFonts w:ascii="宋体" w:cs="宋体"/>
              </w:rPr>
              <w:t>=</w:t>
            </w:r>
            <w:r>
              <w:rPr>
                <w:rFonts w:hint="eastAsia" w:ascii="宋体" w:cs="宋体"/>
              </w:rPr>
              <w:t>（在职人员数</w:t>
            </w:r>
            <w:r>
              <w:rPr>
                <w:rFonts w:ascii="宋体" w:cs="宋体"/>
              </w:rPr>
              <w:t>/</w:t>
            </w:r>
            <w:r>
              <w:rPr>
                <w:rFonts w:hint="eastAsia" w:ascii="宋体" w:cs="宋体"/>
              </w:rPr>
              <w:t>编制数）×</w:t>
            </w:r>
            <w:r>
              <w:rPr>
                <w:rFonts w:ascii="宋体" w:cs="宋体"/>
              </w:rPr>
              <w:t>100%</w:t>
            </w:r>
            <w:r>
              <w:rPr>
                <w:rFonts w:hint="eastAsia" w:ascii="宋体" w:cs="宋体"/>
              </w:rPr>
              <w:t>。</w:t>
            </w:r>
          </w:p>
          <w:p w14:paraId="4D29D706">
            <w:pPr>
              <w:spacing w:line="240" w:lineRule="exact"/>
              <w:ind w:left="105" w:leftChars="50" w:right="105" w:rightChars="50"/>
              <w:rPr>
                <w:rFonts w:hint="eastAsia" w:ascii="宋体" w:eastAsia="宋体" w:cs="宋体"/>
                <w:lang w:eastAsia="zh-CN"/>
              </w:rPr>
            </w:pPr>
            <w:r>
              <w:rPr>
                <w:rFonts w:hint="eastAsia" w:ascii="宋体" w:cs="宋体"/>
              </w:rPr>
              <w:t>在职人员数：部门实际在职人数，以财政部确定的部门决算编制口径为准。</w:t>
            </w:r>
          </w:p>
          <w:p w14:paraId="0346D4B7">
            <w:pPr>
              <w:spacing w:line="240" w:lineRule="exact"/>
              <w:ind w:left="105" w:leftChars="50" w:right="105" w:rightChars="50"/>
              <w:rPr>
                <w:rFonts w:ascii="宋体" w:cs="宋体"/>
              </w:rPr>
            </w:pPr>
            <w:r>
              <w:rPr>
                <w:rFonts w:hint="eastAsia" w:ascii="宋体" w:cs="宋体"/>
              </w:rPr>
              <w:t>编制数：机构编制部门核定批复的部门的人员编制数。</w:t>
            </w:r>
          </w:p>
        </w:tc>
      </w:tr>
      <w:tr w14:paraId="4F6F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6" w:type="pct"/>
            <w:vMerge w:val="continue"/>
            <w:vAlign w:val="center"/>
          </w:tcPr>
          <w:p w14:paraId="16F307A9"/>
        </w:tc>
        <w:tc>
          <w:tcPr>
            <w:tcW w:w="375" w:type="pct"/>
            <w:vMerge w:val="continue"/>
            <w:vAlign w:val="center"/>
          </w:tcPr>
          <w:p w14:paraId="00AE929F"/>
        </w:tc>
        <w:tc>
          <w:tcPr>
            <w:tcW w:w="500" w:type="pct"/>
            <w:tcMar>
              <w:top w:w="10" w:type="dxa"/>
              <w:left w:w="10" w:type="dxa"/>
              <w:right w:w="10" w:type="dxa"/>
            </w:tcMar>
            <w:vAlign w:val="center"/>
          </w:tcPr>
          <w:p w14:paraId="70891695">
            <w:pPr>
              <w:spacing w:line="240" w:lineRule="exact"/>
              <w:jc w:val="center"/>
              <w:rPr>
                <w:rFonts w:ascii="宋体" w:cs="宋体"/>
              </w:rPr>
            </w:pPr>
            <w:r>
              <w:rPr>
                <w:rFonts w:hint="eastAsia" w:ascii="宋体" w:cs="宋体"/>
              </w:rPr>
              <w:t>“三公经费”</w:t>
            </w:r>
          </w:p>
          <w:p w14:paraId="324DB09D">
            <w:pPr>
              <w:spacing w:line="240" w:lineRule="exact"/>
              <w:jc w:val="center"/>
              <w:rPr>
                <w:rFonts w:ascii="宋体" w:cs="宋体"/>
              </w:rPr>
            </w:pPr>
            <w:r>
              <w:rPr>
                <w:rFonts w:hint="eastAsia" w:ascii="宋体" w:cs="宋体"/>
              </w:rPr>
              <w:t>变动率（</w:t>
            </w:r>
            <w:r>
              <w:rPr>
                <w:rFonts w:ascii="宋体" w:cs="宋体"/>
              </w:rPr>
              <w:t>5</w:t>
            </w:r>
            <w:r>
              <w:rPr>
                <w:rFonts w:hint="eastAsia" w:ascii="宋体" w:cs="宋体"/>
              </w:rPr>
              <w:t>分）</w:t>
            </w:r>
          </w:p>
        </w:tc>
        <w:tc>
          <w:tcPr>
            <w:tcW w:w="375" w:type="pct"/>
          </w:tcPr>
          <w:p w14:paraId="2FDB4694">
            <w:pPr>
              <w:tabs>
                <w:tab w:val="left" w:pos="2604"/>
              </w:tabs>
              <w:spacing w:line="240" w:lineRule="exact"/>
              <w:ind w:left="105" w:leftChars="50" w:right="105" w:rightChars="50" w:firstLine="96" w:firstLineChars="46"/>
              <w:jc w:val="center"/>
              <w:rPr>
                <w:rFonts w:ascii="宋体" w:cs="宋体"/>
              </w:rPr>
            </w:pPr>
          </w:p>
          <w:p w14:paraId="1446DACA">
            <w:pPr>
              <w:tabs>
                <w:tab w:val="left" w:pos="2604"/>
              </w:tabs>
              <w:spacing w:line="240" w:lineRule="exact"/>
              <w:ind w:left="105" w:leftChars="50" w:right="105" w:rightChars="50" w:firstLine="96" w:firstLineChars="46"/>
              <w:jc w:val="center"/>
              <w:rPr>
                <w:rFonts w:ascii="宋体" w:cs="宋体"/>
              </w:rPr>
            </w:pPr>
          </w:p>
          <w:p w14:paraId="3A391966">
            <w:pPr>
              <w:tabs>
                <w:tab w:val="left" w:pos="2604"/>
              </w:tabs>
              <w:spacing w:line="240" w:lineRule="exact"/>
              <w:ind w:left="105" w:leftChars="50" w:right="105" w:rightChars="50" w:firstLine="96" w:firstLineChars="46"/>
              <w:jc w:val="center"/>
              <w:rPr>
                <w:rFonts w:ascii="宋体" w:cs="宋体"/>
              </w:rPr>
            </w:pPr>
          </w:p>
          <w:p w14:paraId="23BCE94F">
            <w:pPr>
              <w:tabs>
                <w:tab w:val="left" w:pos="2604"/>
              </w:tabs>
              <w:spacing w:line="240" w:lineRule="exact"/>
              <w:ind w:left="105" w:leftChars="50" w:right="105" w:rightChars="50" w:firstLine="96" w:firstLineChars="46"/>
              <w:jc w:val="center"/>
              <w:rPr>
                <w:rFonts w:ascii="宋体" w:cs="宋体"/>
              </w:rPr>
            </w:pPr>
          </w:p>
          <w:p w14:paraId="2FFE5E0D">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14:paraId="6CC2D218">
            <w:pPr>
              <w:tabs>
                <w:tab w:val="left" w:pos="2604"/>
              </w:tabs>
              <w:spacing w:line="240" w:lineRule="exact"/>
              <w:ind w:left="105" w:leftChars="50" w:right="105" w:rightChars="50" w:firstLine="96" w:firstLineChars="46"/>
              <w:rPr>
                <w:rFonts w:ascii="宋体" w:cs="宋体"/>
              </w:rPr>
            </w:pPr>
            <w:r>
              <w:rPr>
                <w:rFonts w:hint="eastAsia" w:ascii="宋体" w:cs="宋体"/>
              </w:rPr>
              <w:t>部门本年度“三公经费”预算数与上年度“三公经费”预算数的变动比率，用以反映和考核部门对控制重点行政成本的努力程度。</w:t>
            </w:r>
          </w:p>
        </w:tc>
        <w:tc>
          <w:tcPr>
            <w:tcW w:w="1866" w:type="pct"/>
            <w:tcMar>
              <w:top w:w="10" w:type="dxa"/>
              <w:left w:w="10" w:type="dxa"/>
              <w:right w:w="10" w:type="dxa"/>
            </w:tcMar>
            <w:vAlign w:val="center"/>
          </w:tcPr>
          <w:p w14:paraId="73FDE631">
            <w:pPr>
              <w:spacing w:line="240" w:lineRule="exact"/>
              <w:ind w:left="105" w:leftChars="50" w:right="105" w:rightChars="50"/>
              <w:rPr>
                <w:rFonts w:hint="eastAsia" w:ascii="宋体" w:eastAsia="宋体" w:cs="宋体"/>
                <w:lang w:eastAsia="zh-CN"/>
              </w:rPr>
            </w:pPr>
            <w:r>
              <w:rPr>
                <w:rFonts w:hint="eastAsia" w:ascii="宋体" w:cs="宋体"/>
              </w:rPr>
              <w:t>“三公经费”变动率</w:t>
            </w:r>
            <w:r>
              <w:rPr>
                <w:rFonts w:ascii="宋体" w:cs="宋体"/>
              </w:rPr>
              <w:t>=[</w:t>
            </w:r>
            <w:r>
              <w:rPr>
                <w:rFonts w:hint="eastAsia" w:ascii="宋体" w:cs="宋体"/>
              </w:rPr>
              <w:t>（本年度“三公经费”总额</w:t>
            </w:r>
            <w:r>
              <w:rPr>
                <w:rFonts w:ascii="宋体" w:cs="宋体"/>
              </w:rPr>
              <w:t>-</w:t>
            </w:r>
            <w:r>
              <w:rPr>
                <w:rFonts w:hint="eastAsia" w:ascii="宋体" w:cs="宋体"/>
              </w:rPr>
              <w:t>上年度“三公经费”总额）</w:t>
            </w:r>
            <w:r>
              <w:rPr>
                <w:rFonts w:ascii="宋体" w:cs="宋体"/>
              </w:rPr>
              <w:t>/</w:t>
            </w:r>
            <w:r>
              <w:rPr>
                <w:rFonts w:hint="eastAsia" w:ascii="宋体" w:cs="宋体"/>
              </w:rPr>
              <w:t>上年度“三公经费”总额</w:t>
            </w:r>
            <w:r>
              <w:rPr>
                <w:rFonts w:ascii="宋体" w:cs="宋体"/>
              </w:rPr>
              <w:t>]</w:t>
            </w:r>
            <w:r>
              <w:rPr>
                <w:rFonts w:hint="eastAsia" w:ascii="宋体" w:cs="宋体"/>
              </w:rPr>
              <w:t>×</w:t>
            </w:r>
            <w:r>
              <w:rPr>
                <w:rFonts w:ascii="宋体" w:cs="宋体"/>
              </w:rPr>
              <w:t>100%</w:t>
            </w:r>
            <w:r>
              <w:rPr>
                <w:rFonts w:hint="eastAsia" w:ascii="宋体" w:cs="宋体"/>
              </w:rPr>
              <w:t>。</w:t>
            </w:r>
          </w:p>
          <w:p w14:paraId="6862AC8C">
            <w:pPr>
              <w:spacing w:line="240" w:lineRule="exact"/>
              <w:ind w:left="105" w:leftChars="50" w:right="105" w:rightChars="50"/>
              <w:rPr>
                <w:rFonts w:ascii="宋体" w:cs="宋体"/>
              </w:rPr>
            </w:pPr>
            <w:r>
              <w:rPr>
                <w:rFonts w:hint="eastAsia" w:ascii="宋体" w:cs="宋体"/>
              </w:rPr>
              <w:t>“三公经费”：年度预算安排的因公出国（境）费、公务车辆购置及运行费和公务招待费。</w:t>
            </w:r>
          </w:p>
        </w:tc>
      </w:tr>
      <w:tr w14:paraId="5776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6" w:type="pct"/>
            <w:vMerge w:val="continue"/>
            <w:vAlign w:val="center"/>
          </w:tcPr>
          <w:p w14:paraId="78133423"/>
        </w:tc>
        <w:tc>
          <w:tcPr>
            <w:tcW w:w="375" w:type="pct"/>
            <w:vMerge w:val="continue"/>
            <w:vAlign w:val="center"/>
          </w:tcPr>
          <w:p w14:paraId="6C0D33B2"/>
        </w:tc>
        <w:tc>
          <w:tcPr>
            <w:tcW w:w="500" w:type="pct"/>
            <w:tcMar>
              <w:top w:w="10" w:type="dxa"/>
              <w:left w:w="10" w:type="dxa"/>
              <w:right w:w="10" w:type="dxa"/>
            </w:tcMar>
            <w:vAlign w:val="center"/>
          </w:tcPr>
          <w:p w14:paraId="51202BD4">
            <w:pPr>
              <w:spacing w:line="240" w:lineRule="exact"/>
              <w:jc w:val="center"/>
              <w:rPr>
                <w:rFonts w:ascii="宋体" w:cs="宋体"/>
              </w:rPr>
            </w:pPr>
            <w:r>
              <w:rPr>
                <w:rFonts w:hint="eastAsia" w:ascii="宋体" w:cs="宋体"/>
              </w:rPr>
              <w:t>重点支出</w:t>
            </w:r>
          </w:p>
          <w:p w14:paraId="637C73E3">
            <w:pPr>
              <w:spacing w:line="240" w:lineRule="exact"/>
              <w:jc w:val="center"/>
              <w:rPr>
                <w:rFonts w:ascii="宋体" w:cs="宋体"/>
              </w:rPr>
            </w:pPr>
            <w:r>
              <w:rPr>
                <w:rFonts w:hint="eastAsia" w:ascii="宋体" w:cs="宋体"/>
              </w:rPr>
              <w:t>安排率（</w:t>
            </w:r>
            <w:r>
              <w:rPr>
                <w:rFonts w:ascii="宋体" w:cs="宋体"/>
              </w:rPr>
              <w:t>5</w:t>
            </w:r>
            <w:r>
              <w:rPr>
                <w:rFonts w:hint="eastAsia" w:ascii="宋体" w:cs="宋体"/>
              </w:rPr>
              <w:t>分）</w:t>
            </w:r>
          </w:p>
        </w:tc>
        <w:tc>
          <w:tcPr>
            <w:tcW w:w="375" w:type="pct"/>
          </w:tcPr>
          <w:p w14:paraId="3281AA98">
            <w:pPr>
              <w:tabs>
                <w:tab w:val="left" w:pos="2604"/>
              </w:tabs>
              <w:spacing w:line="240" w:lineRule="exact"/>
              <w:ind w:left="105" w:leftChars="50" w:right="105" w:rightChars="50" w:firstLine="96" w:firstLineChars="46"/>
              <w:jc w:val="center"/>
              <w:rPr>
                <w:rFonts w:ascii="宋体" w:cs="宋体"/>
              </w:rPr>
            </w:pPr>
          </w:p>
          <w:p w14:paraId="100126F9">
            <w:pPr>
              <w:tabs>
                <w:tab w:val="left" w:pos="2604"/>
              </w:tabs>
              <w:spacing w:line="240" w:lineRule="exact"/>
              <w:ind w:left="105" w:leftChars="50" w:right="105" w:rightChars="50" w:firstLine="96" w:firstLineChars="46"/>
              <w:jc w:val="center"/>
              <w:rPr>
                <w:rFonts w:ascii="宋体" w:cs="宋体"/>
              </w:rPr>
            </w:pPr>
          </w:p>
          <w:p w14:paraId="205A7C01">
            <w:pPr>
              <w:tabs>
                <w:tab w:val="left" w:pos="2604"/>
              </w:tabs>
              <w:spacing w:line="240" w:lineRule="exact"/>
              <w:ind w:left="105" w:leftChars="50" w:right="105" w:rightChars="50" w:firstLine="96" w:firstLineChars="46"/>
              <w:jc w:val="center"/>
              <w:rPr>
                <w:rFonts w:ascii="宋体" w:cs="宋体"/>
              </w:rPr>
            </w:pPr>
          </w:p>
          <w:p w14:paraId="4DFE0E42">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14:paraId="106DB451">
            <w:pPr>
              <w:tabs>
                <w:tab w:val="left" w:pos="2604"/>
              </w:tabs>
              <w:spacing w:line="240" w:lineRule="exact"/>
              <w:ind w:left="105" w:leftChars="50" w:right="105" w:rightChars="50" w:firstLine="96" w:firstLineChars="46"/>
              <w:rPr>
                <w:rFonts w:ascii="宋体" w:cs="宋体"/>
              </w:rPr>
            </w:pPr>
            <w:r>
              <w:rPr>
                <w:rFonts w:hint="eastAsia" w:ascii="宋体" w:cs="宋体"/>
              </w:rPr>
              <w:t>部门本年度预算安排的重点预算支出与部门预算总支出的比率，用以反映和考核部门对履行主要职责或完成重点任务的保障程度。</w:t>
            </w:r>
          </w:p>
        </w:tc>
        <w:tc>
          <w:tcPr>
            <w:tcW w:w="1866" w:type="pct"/>
            <w:tcMar>
              <w:top w:w="10" w:type="dxa"/>
              <w:left w:w="10" w:type="dxa"/>
              <w:right w:w="10" w:type="dxa"/>
            </w:tcMar>
            <w:vAlign w:val="center"/>
          </w:tcPr>
          <w:p w14:paraId="44A58888">
            <w:pPr>
              <w:spacing w:line="240" w:lineRule="exact"/>
              <w:ind w:left="105" w:leftChars="50" w:right="105" w:rightChars="50"/>
              <w:rPr>
                <w:rFonts w:hint="eastAsia" w:ascii="宋体" w:eastAsia="宋体" w:cs="宋体"/>
                <w:lang w:eastAsia="zh-CN"/>
              </w:rPr>
            </w:pPr>
            <w:r>
              <w:rPr>
                <w:rFonts w:hint="eastAsia" w:ascii="宋体" w:cs="宋体"/>
              </w:rPr>
              <w:t>重点支出安排率</w:t>
            </w:r>
            <w:r>
              <w:rPr>
                <w:rFonts w:ascii="宋体" w:cs="宋体"/>
              </w:rPr>
              <w:t>=</w:t>
            </w:r>
            <w:r>
              <w:rPr>
                <w:rFonts w:hint="eastAsia" w:ascii="宋体" w:cs="宋体"/>
              </w:rPr>
              <w:t>（重点预算支出</w:t>
            </w:r>
            <w:r>
              <w:rPr>
                <w:rFonts w:ascii="宋体" w:cs="宋体"/>
              </w:rPr>
              <w:t>/</w:t>
            </w:r>
            <w:r>
              <w:rPr>
                <w:rFonts w:hint="eastAsia" w:ascii="宋体" w:cs="宋体"/>
              </w:rPr>
              <w:t>预算总支出）×</w:t>
            </w:r>
            <w:r>
              <w:rPr>
                <w:rFonts w:ascii="宋体" w:cs="宋体"/>
              </w:rPr>
              <w:t>100%</w:t>
            </w:r>
            <w:r>
              <w:rPr>
                <w:rFonts w:hint="eastAsia" w:ascii="宋体" w:cs="宋体"/>
              </w:rPr>
              <w:t>。</w:t>
            </w:r>
          </w:p>
          <w:p w14:paraId="674156C4">
            <w:pPr>
              <w:spacing w:line="240" w:lineRule="exact"/>
              <w:ind w:left="105" w:leftChars="50" w:right="105" w:rightChars="50"/>
              <w:rPr>
                <w:rFonts w:hint="eastAsia" w:ascii="宋体" w:eastAsia="宋体" w:cs="宋体"/>
                <w:lang w:eastAsia="zh-CN"/>
              </w:rPr>
            </w:pPr>
            <w:r>
              <w:rPr>
                <w:rFonts w:hint="eastAsia" w:ascii="宋体" w:cs="宋体"/>
              </w:rPr>
              <w:t>重点预算支出：部门年度预算安排的，与本部门履职和发展密切相关、具有明显社会和经济影响、党委政府关心或社会比较关注的预算支出支出总额。</w:t>
            </w:r>
          </w:p>
          <w:p w14:paraId="114E0358">
            <w:pPr>
              <w:spacing w:line="240" w:lineRule="exact"/>
              <w:ind w:left="105" w:leftChars="50" w:right="105" w:rightChars="50"/>
              <w:rPr>
                <w:rFonts w:ascii="宋体" w:cs="宋体"/>
              </w:rPr>
            </w:pPr>
            <w:r>
              <w:rPr>
                <w:rFonts w:hint="eastAsia" w:ascii="宋体" w:cs="宋体"/>
              </w:rPr>
              <w:t>预算总支出：部门年度预算安排的预算支出支出总额。</w:t>
            </w:r>
          </w:p>
        </w:tc>
      </w:tr>
      <w:tr w14:paraId="66FF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6" w:type="pct"/>
            <w:vMerge w:val="restart"/>
            <w:noWrap/>
            <w:tcMar>
              <w:top w:w="10" w:type="dxa"/>
              <w:left w:w="10" w:type="dxa"/>
              <w:right w:w="10" w:type="dxa"/>
            </w:tcMar>
            <w:textDirection w:val="tbRlV"/>
            <w:vAlign w:val="center"/>
          </w:tcPr>
          <w:p w14:paraId="5D52440A">
            <w:pPr>
              <w:spacing w:line="240" w:lineRule="exact"/>
              <w:jc w:val="center"/>
              <w:rPr>
                <w:rFonts w:ascii="宋体" w:cs="宋体"/>
              </w:rPr>
            </w:pPr>
            <w:r>
              <w:rPr>
                <w:rFonts w:hint="eastAsia" w:ascii="宋体" w:cs="宋体"/>
              </w:rPr>
              <w:t>过</w:t>
            </w:r>
            <w:r>
              <w:rPr>
                <w:rFonts w:ascii="宋体" w:cs="宋体"/>
              </w:rPr>
              <w:t xml:space="preserve">   </w:t>
            </w:r>
            <w:r>
              <w:rPr>
                <w:rFonts w:hint="eastAsia" w:ascii="宋体" w:cs="宋体"/>
              </w:rPr>
              <w:t>程（</w:t>
            </w:r>
            <w:r>
              <w:rPr>
                <w:rFonts w:ascii="宋体" w:cs="宋体"/>
              </w:rPr>
              <w:t>30</w:t>
            </w:r>
            <w:r>
              <w:rPr>
                <w:rFonts w:hint="eastAsia" w:ascii="宋体" w:cs="宋体"/>
              </w:rPr>
              <w:t>分）</w:t>
            </w:r>
          </w:p>
        </w:tc>
        <w:tc>
          <w:tcPr>
            <w:tcW w:w="375" w:type="pct"/>
            <w:vMerge w:val="restart"/>
            <w:tcMar>
              <w:top w:w="10" w:type="dxa"/>
              <w:left w:w="10" w:type="dxa"/>
              <w:right w:w="10" w:type="dxa"/>
            </w:tcMar>
            <w:vAlign w:val="center"/>
          </w:tcPr>
          <w:p w14:paraId="06F25480">
            <w:pPr>
              <w:spacing w:line="240" w:lineRule="exact"/>
              <w:jc w:val="center"/>
              <w:rPr>
                <w:rFonts w:hint="eastAsia" w:ascii="宋体" w:eastAsia="宋体" w:cs="宋体"/>
                <w:lang w:eastAsia="zh-CN"/>
              </w:rPr>
            </w:pPr>
            <w:r>
              <w:rPr>
                <w:rFonts w:hint="eastAsia" w:ascii="宋体" w:cs="宋体"/>
              </w:rPr>
              <w:t>预算</w:t>
            </w:r>
          </w:p>
          <w:p w14:paraId="1AA088D9">
            <w:pPr>
              <w:spacing w:line="240" w:lineRule="exact"/>
              <w:jc w:val="center"/>
              <w:rPr>
                <w:rFonts w:ascii="宋体" w:cs="宋体"/>
              </w:rPr>
            </w:pPr>
            <w:r>
              <w:rPr>
                <w:rFonts w:hint="eastAsia" w:ascii="宋体" w:cs="宋体"/>
              </w:rPr>
              <w:t>执行（</w:t>
            </w:r>
            <w:r>
              <w:rPr>
                <w:rFonts w:ascii="宋体" w:cs="宋体"/>
              </w:rPr>
              <w:t>20</w:t>
            </w:r>
            <w:r>
              <w:rPr>
                <w:rFonts w:hint="eastAsia" w:ascii="宋体" w:cs="宋体"/>
              </w:rPr>
              <w:t>分）</w:t>
            </w:r>
          </w:p>
        </w:tc>
        <w:tc>
          <w:tcPr>
            <w:tcW w:w="500" w:type="pct"/>
            <w:tcMar>
              <w:top w:w="10" w:type="dxa"/>
              <w:left w:w="10" w:type="dxa"/>
              <w:right w:w="10" w:type="dxa"/>
            </w:tcMar>
            <w:vAlign w:val="center"/>
          </w:tcPr>
          <w:p w14:paraId="4C42E3ED">
            <w:pPr>
              <w:spacing w:line="240" w:lineRule="exact"/>
              <w:jc w:val="center"/>
              <w:rPr>
                <w:rFonts w:ascii="宋体" w:cs="宋体"/>
              </w:rPr>
            </w:pPr>
            <w:r>
              <w:rPr>
                <w:rFonts w:hint="eastAsia" w:ascii="宋体" w:cs="宋体"/>
              </w:rPr>
              <w:t>预算</w:t>
            </w:r>
          </w:p>
          <w:p w14:paraId="2FC2B893">
            <w:pPr>
              <w:spacing w:line="240" w:lineRule="exact"/>
              <w:jc w:val="center"/>
              <w:rPr>
                <w:rFonts w:ascii="宋体" w:cs="宋体"/>
              </w:rPr>
            </w:pPr>
            <w:r>
              <w:rPr>
                <w:rFonts w:hint="eastAsia" w:ascii="宋体" w:cs="宋体"/>
              </w:rPr>
              <w:t>执行率（</w:t>
            </w:r>
            <w:r>
              <w:rPr>
                <w:rFonts w:ascii="宋体" w:cs="宋体"/>
              </w:rPr>
              <w:t>4</w:t>
            </w:r>
            <w:r>
              <w:rPr>
                <w:rFonts w:hint="eastAsia" w:ascii="宋体" w:cs="宋体"/>
              </w:rPr>
              <w:t>分）</w:t>
            </w:r>
          </w:p>
        </w:tc>
        <w:tc>
          <w:tcPr>
            <w:tcW w:w="375" w:type="pct"/>
          </w:tcPr>
          <w:p w14:paraId="47F21E10">
            <w:pPr>
              <w:tabs>
                <w:tab w:val="left" w:pos="2604"/>
              </w:tabs>
              <w:spacing w:line="240" w:lineRule="exact"/>
              <w:ind w:left="105" w:leftChars="50" w:right="105" w:rightChars="50" w:firstLine="96" w:firstLineChars="46"/>
              <w:jc w:val="center"/>
              <w:rPr>
                <w:rFonts w:ascii="宋体" w:cs="宋体"/>
              </w:rPr>
            </w:pPr>
          </w:p>
          <w:p w14:paraId="2F950C16">
            <w:pPr>
              <w:tabs>
                <w:tab w:val="left" w:pos="2604"/>
              </w:tabs>
              <w:spacing w:line="240" w:lineRule="exact"/>
              <w:ind w:left="105" w:leftChars="50" w:right="105" w:rightChars="50" w:firstLine="96" w:firstLineChars="46"/>
              <w:jc w:val="center"/>
              <w:rPr>
                <w:rFonts w:ascii="宋体" w:cs="宋体"/>
              </w:rPr>
            </w:pPr>
          </w:p>
          <w:p w14:paraId="138DC0D6">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14:paraId="1F9D3267">
            <w:pPr>
              <w:tabs>
                <w:tab w:val="left" w:pos="2604"/>
              </w:tabs>
              <w:spacing w:line="240" w:lineRule="exact"/>
              <w:ind w:left="105" w:leftChars="50" w:right="105" w:rightChars="50" w:firstLine="96" w:firstLineChars="46"/>
              <w:rPr>
                <w:rFonts w:ascii="宋体" w:cs="宋体"/>
              </w:rPr>
            </w:pPr>
            <w:r>
              <w:rPr>
                <w:rFonts w:hint="eastAsia" w:ascii="宋体" w:cs="宋体"/>
              </w:rPr>
              <w:t>部门本年度预算完成数与预算数的比率，用以反映和考核部门预算完成程度。</w:t>
            </w:r>
          </w:p>
        </w:tc>
        <w:tc>
          <w:tcPr>
            <w:tcW w:w="1866" w:type="pct"/>
            <w:tcMar>
              <w:top w:w="10" w:type="dxa"/>
              <w:left w:w="10" w:type="dxa"/>
              <w:right w:w="10" w:type="dxa"/>
            </w:tcMar>
            <w:vAlign w:val="center"/>
          </w:tcPr>
          <w:p w14:paraId="6334D0A6">
            <w:pPr>
              <w:spacing w:line="240" w:lineRule="exact"/>
              <w:ind w:left="105" w:leftChars="50" w:right="105" w:rightChars="50"/>
              <w:rPr>
                <w:rFonts w:hint="eastAsia" w:ascii="宋体" w:eastAsia="宋体" w:cs="宋体"/>
                <w:lang w:eastAsia="zh-CN"/>
              </w:rPr>
            </w:pPr>
            <w:r>
              <w:rPr>
                <w:rFonts w:hint="eastAsia" w:ascii="宋体" w:cs="宋体"/>
              </w:rPr>
              <w:t>预算执行率</w:t>
            </w:r>
            <w:r>
              <w:rPr>
                <w:rFonts w:ascii="宋体" w:cs="宋体"/>
              </w:rPr>
              <w:t>=</w:t>
            </w:r>
            <w:r>
              <w:rPr>
                <w:rFonts w:hint="eastAsia" w:ascii="宋体" w:cs="宋体"/>
              </w:rPr>
              <w:t>（预算执行数</w:t>
            </w:r>
            <w:r>
              <w:rPr>
                <w:rFonts w:ascii="宋体" w:cs="宋体"/>
              </w:rPr>
              <w:t>/</w:t>
            </w:r>
            <w:r>
              <w:rPr>
                <w:rFonts w:hint="eastAsia" w:ascii="宋体" w:cs="宋体"/>
              </w:rPr>
              <w:t>预算数）×</w:t>
            </w:r>
            <w:r>
              <w:rPr>
                <w:rFonts w:ascii="宋体" w:cs="宋体"/>
              </w:rPr>
              <w:t>100%</w:t>
            </w:r>
            <w:r>
              <w:rPr>
                <w:rFonts w:hint="eastAsia" w:ascii="宋体" w:cs="宋体"/>
              </w:rPr>
              <w:t>。</w:t>
            </w:r>
          </w:p>
          <w:p w14:paraId="5E5496D9">
            <w:pPr>
              <w:spacing w:line="240" w:lineRule="exact"/>
              <w:ind w:left="105" w:leftChars="50" w:right="105" w:rightChars="50"/>
              <w:rPr>
                <w:rFonts w:hint="eastAsia" w:ascii="宋体" w:eastAsia="宋体" w:cs="宋体"/>
                <w:lang w:eastAsia="zh-CN"/>
              </w:rPr>
            </w:pPr>
            <w:r>
              <w:rPr>
                <w:rFonts w:hint="eastAsia" w:ascii="宋体" w:cs="宋体"/>
              </w:rPr>
              <w:t>预算执行数：部门本年度实际完成的预算数。</w:t>
            </w:r>
          </w:p>
          <w:p w14:paraId="7EDEDB42">
            <w:pPr>
              <w:spacing w:line="240" w:lineRule="exact"/>
              <w:ind w:left="105" w:leftChars="50" w:right="105" w:rightChars="50"/>
              <w:rPr>
                <w:rFonts w:ascii="宋体" w:cs="宋体"/>
              </w:rPr>
            </w:pPr>
            <w:r>
              <w:rPr>
                <w:rFonts w:hint="eastAsia" w:ascii="宋体" w:cs="宋体"/>
              </w:rPr>
              <w:t>预算数：财政部门批复的本年度部门预算数。</w:t>
            </w:r>
          </w:p>
        </w:tc>
      </w:tr>
      <w:tr w14:paraId="3607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6" w:type="pct"/>
            <w:vMerge w:val="continue"/>
            <w:vAlign w:val="center"/>
          </w:tcPr>
          <w:p w14:paraId="0C781633"/>
        </w:tc>
        <w:tc>
          <w:tcPr>
            <w:tcW w:w="375" w:type="pct"/>
            <w:vMerge w:val="continue"/>
            <w:vAlign w:val="center"/>
          </w:tcPr>
          <w:p w14:paraId="6FA9FD8F"/>
        </w:tc>
        <w:tc>
          <w:tcPr>
            <w:tcW w:w="500" w:type="pct"/>
            <w:tcMar>
              <w:top w:w="10" w:type="dxa"/>
              <w:left w:w="10" w:type="dxa"/>
              <w:right w:w="10" w:type="dxa"/>
            </w:tcMar>
            <w:vAlign w:val="center"/>
          </w:tcPr>
          <w:p w14:paraId="543A2561">
            <w:pPr>
              <w:spacing w:line="240" w:lineRule="exact"/>
              <w:jc w:val="center"/>
              <w:rPr>
                <w:rFonts w:ascii="宋体" w:cs="宋体"/>
              </w:rPr>
            </w:pPr>
            <w:r>
              <w:rPr>
                <w:rFonts w:hint="eastAsia" w:ascii="宋体" w:cs="宋体"/>
              </w:rPr>
              <w:t>预算</w:t>
            </w:r>
          </w:p>
          <w:p w14:paraId="68B6FA45">
            <w:pPr>
              <w:spacing w:line="240" w:lineRule="exact"/>
              <w:jc w:val="center"/>
              <w:rPr>
                <w:rFonts w:ascii="宋体" w:cs="宋体"/>
              </w:rPr>
            </w:pPr>
            <w:r>
              <w:rPr>
                <w:rFonts w:hint="eastAsia" w:ascii="宋体" w:cs="宋体"/>
              </w:rPr>
              <w:t>调整率（</w:t>
            </w:r>
            <w:r>
              <w:rPr>
                <w:rFonts w:ascii="宋体" w:cs="宋体"/>
              </w:rPr>
              <w:t>2</w:t>
            </w:r>
            <w:r>
              <w:rPr>
                <w:rFonts w:hint="eastAsia" w:ascii="宋体" w:cs="宋体"/>
              </w:rPr>
              <w:t>分）</w:t>
            </w:r>
          </w:p>
        </w:tc>
        <w:tc>
          <w:tcPr>
            <w:tcW w:w="375" w:type="pct"/>
          </w:tcPr>
          <w:p w14:paraId="13003D4A">
            <w:pPr>
              <w:tabs>
                <w:tab w:val="left" w:pos="2604"/>
              </w:tabs>
              <w:spacing w:line="240" w:lineRule="exact"/>
              <w:ind w:left="105" w:leftChars="50" w:right="105" w:rightChars="50" w:firstLine="96" w:firstLineChars="46"/>
              <w:jc w:val="center"/>
              <w:rPr>
                <w:rFonts w:ascii="宋体" w:cs="宋体"/>
              </w:rPr>
            </w:pPr>
          </w:p>
          <w:p w14:paraId="09081FA2">
            <w:pPr>
              <w:tabs>
                <w:tab w:val="left" w:pos="2604"/>
              </w:tabs>
              <w:spacing w:line="240" w:lineRule="exact"/>
              <w:ind w:left="105" w:leftChars="50" w:right="105" w:rightChars="50" w:firstLine="96" w:firstLineChars="46"/>
              <w:jc w:val="center"/>
              <w:rPr>
                <w:rFonts w:ascii="宋体" w:cs="宋体"/>
              </w:rPr>
            </w:pPr>
          </w:p>
          <w:p w14:paraId="30951DEE">
            <w:pPr>
              <w:tabs>
                <w:tab w:val="left" w:pos="2604"/>
              </w:tabs>
              <w:spacing w:line="240" w:lineRule="exact"/>
              <w:ind w:left="105" w:leftChars="50" w:right="105" w:rightChars="50" w:firstLine="96" w:firstLineChars="46"/>
              <w:jc w:val="center"/>
              <w:rPr>
                <w:rFonts w:ascii="宋体" w:cs="宋体"/>
              </w:rPr>
            </w:pPr>
          </w:p>
          <w:p w14:paraId="362CB72B">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2C4EDB6A">
            <w:pPr>
              <w:tabs>
                <w:tab w:val="left" w:pos="2604"/>
              </w:tabs>
              <w:spacing w:line="240" w:lineRule="exact"/>
              <w:ind w:left="105" w:leftChars="50" w:right="105" w:rightChars="50" w:firstLine="96" w:firstLineChars="46"/>
              <w:rPr>
                <w:rFonts w:ascii="宋体" w:cs="宋体"/>
              </w:rPr>
            </w:pPr>
            <w:r>
              <w:rPr>
                <w:rFonts w:hint="eastAsia" w:ascii="宋体" w:cs="宋体"/>
              </w:rPr>
              <w:t>部门本年度预算调整数与预算数的比率，用以反映和考核部门预算的调整程度。</w:t>
            </w:r>
          </w:p>
        </w:tc>
        <w:tc>
          <w:tcPr>
            <w:tcW w:w="1866" w:type="pct"/>
            <w:tcMar>
              <w:top w:w="10" w:type="dxa"/>
              <w:left w:w="10" w:type="dxa"/>
              <w:right w:w="10" w:type="dxa"/>
            </w:tcMar>
            <w:vAlign w:val="center"/>
          </w:tcPr>
          <w:p w14:paraId="2DECAC67">
            <w:pPr>
              <w:spacing w:line="240" w:lineRule="exact"/>
              <w:ind w:left="105" w:leftChars="50" w:right="105" w:rightChars="50"/>
              <w:rPr>
                <w:rFonts w:hint="eastAsia" w:ascii="宋体" w:eastAsia="宋体" w:cs="宋体"/>
                <w:lang w:eastAsia="zh-CN"/>
              </w:rPr>
            </w:pPr>
            <w:r>
              <w:rPr>
                <w:rFonts w:hint="eastAsia" w:ascii="宋体" w:cs="宋体"/>
              </w:rPr>
              <w:t>预算调整率</w:t>
            </w:r>
            <w:r>
              <w:rPr>
                <w:rFonts w:ascii="宋体" w:cs="宋体"/>
              </w:rPr>
              <w:t>=</w:t>
            </w:r>
            <w:r>
              <w:rPr>
                <w:rFonts w:hint="eastAsia" w:ascii="宋体" w:cs="宋体"/>
              </w:rPr>
              <w:t>（预算调整数</w:t>
            </w:r>
            <w:r>
              <w:rPr>
                <w:rFonts w:ascii="宋体" w:cs="宋体"/>
              </w:rPr>
              <w:t>/</w:t>
            </w:r>
            <w:r>
              <w:rPr>
                <w:rFonts w:hint="eastAsia" w:ascii="宋体" w:cs="宋体"/>
              </w:rPr>
              <w:t>预算数）×</w:t>
            </w:r>
            <w:r>
              <w:rPr>
                <w:rFonts w:ascii="宋体" w:cs="宋体"/>
              </w:rPr>
              <w:t>100%</w:t>
            </w:r>
            <w:r>
              <w:rPr>
                <w:rFonts w:hint="eastAsia" w:ascii="宋体" w:cs="宋体"/>
              </w:rPr>
              <w:t>。</w:t>
            </w:r>
          </w:p>
          <w:p w14:paraId="334B4D27">
            <w:pPr>
              <w:spacing w:line="240" w:lineRule="exact"/>
              <w:ind w:left="105" w:leftChars="50" w:right="105" w:rightChars="50"/>
              <w:rPr>
                <w:rFonts w:ascii="宋体" w:cs="宋体"/>
              </w:rPr>
            </w:pPr>
            <w:r>
              <w:rPr>
                <w:rFonts w:hint="eastAsia" w:ascii="宋体" w:cs="宋体"/>
              </w:rPr>
              <w:t>预算调整数：部门在本年度内涉及预算的追加、追减或结构调整的资金总和（因落实国家政策、发生不可抗力、上级部门或本级党委政府临时交办而产生的调整除外）。</w:t>
            </w:r>
          </w:p>
        </w:tc>
      </w:tr>
      <w:tr w14:paraId="269E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6" w:type="pct"/>
            <w:vMerge w:val="continue"/>
            <w:vAlign w:val="center"/>
          </w:tcPr>
          <w:p w14:paraId="147B2F24"/>
        </w:tc>
        <w:tc>
          <w:tcPr>
            <w:tcW w:w="375" w:type="pct"/>
            <w:vMerge w:val="continue"/>
            <w:vAlign w:val="center"/>
          </w:tcPr>
          <w:p w14:paraId="21BC3FC6"/>
        </w:tc>
        <w:tc>
          <w:tcPr>
            <w:tcW w:w="500" w:type="pct"/>
            <w:tcMar>
              <w:top w:w="10" w:type="dxa"/>
              <w:left w:w="10" w:type="dxa"/>
              <w:right w:w="10" w:type="dxa"/>
            </w:tcMar>
            <w:vAlign w:val="center"/>
          </w:tcPr>
          <w:p w14:paraId="53CBA0FB">
            <w:pPr>
              <w:spacing w:line="240" w:lineRule="exact"/>
              <w:jc w:val="center"/>
              <w:rPr>
                <w:rFonts w:ascii="宋体" w:cs="宋体"/>
              </w:rPr>
            </w:pPr>
            <w:r>
              <w:rPr>
                <w:rFonts w:hint="eastAsia" w:ascii="宋体" w:cs="宋体"/>
              </w:rPr>
              <w:t>支付</w:t>
            </w:r>
          </w:p>
          <w:p w14:paraId="4F636072">
            <w:pPr>
              <w:spacing w:line="240" w:lineRule="exact"/>
              <w:jc w:val="center"/>
              <w:rPr>
                <w:rFonts w:ascii="宋体" w:cs="宋体"/>
              </w:rPr>
            </w:pPr>
            <w:r>
              <w:rPr>
                <w:rFonts w:hint="eastAsia" w:ascii="宋体" w:cs="宋体"/>
              </w:rPr>
              <w:t>进度率（</w:t>
            </w:r>
            <w:r>
              <w:rPr>
                <w:rFonts w:ascii="宋体" w:cs="宋体"/>
              </w:rPr>
              <w:t>2</w:t>
            </w:r>
            <w:r>
              <w:rPr>
                <w:rFonts w:hint="eastAsia" w:ascii="宋体" w:cs="宋体"/>
              </w:rPr>
              <w:t>分）</w:t>
            </w:r>
          </w:p>
        </w:tc>
        <w:tc>
          <w:tcPr>
            <w:tcW w:w="375" w:type="pct"/>
          </w:tcPr>
          <w:p w14:paraId="25B58ABE">
            <w:pPr>
              <w:tabs>
                <w:tab w:val="left" w:pos="2604"/>
              </w:tabs>
              <w:spacing w:line="240" w:lineRule="exact"/>
              <w:ind w:left="105" w:leftChars="50" w:right="105" w:rightChars="50" w:firstLine="96" w:firstLineChars="46"/>
              <w:jc w:val="center"/>
              <w:rPr>
                <w:rFonts w:ascii="宋体" w:cs="宋体"/>
              </w:rPr>
            </w:pPr>
          </w:p>
          <w:p w14:paraId="7B75075F">
            <w:pPr>
              <w:tabs>
                <w:tab w:val="left" w:pos="2604"/>
              </w:tabs>
              <w:spacing w:line="240" w:lineRule="exact"/>
              <w:ind w:left="105" w:leftChars="50" w:right="105" w:rightChars="50" w:firstLine="96" w:firstLineChars="46"/>
              <w:jc w:val="center"/>
              <w:rPr>
                <w:rFonts w:ascii="宋体" w:cs="宋体"/>
              </w:rPr>
            </w:pPr>
          </w:p>
          <w:p w14:paraId="6F338F01">
            <w:pPr>
              <w:tabs>
                <w:tab w:val="left" w:pos="2604"/>
              </w:tabs>
              <w:spacing w:line="240" w:lineRule="exact"/>
              <w:ind w:left="105" w:leftChars="50" w:right="105" w:rightChars="50" w:firstLine="96" w:firstLineChars="46"/>
              <w:jc w:val="center"/>
              <w:rPr>
                <w:rFonts w:ascii="宋体" w:cs="宋体"/>
              </w:rPr>
            </w:pPr>
          </w:p>
          <w:p w14:paraId="5323822A">
            <w:pPr>
              <w:tabs>
                <w:tab w:val="left" w:pos="2604"/>
              </w:tabs>
              <w:spacing w:line="240" w:lineRule="exact"/>
              <w:ind w:left="105" w:leftChars="50" w:right="105" w:rightChars="50" w:firstLine="96" w:firstLineChars="46"/>
              <w:jc w:val="center"/>
              <w:rPr>
                <w:rFonts w:ascii="宋体" w:cs="宋体"/>
              </w:rPr>
            </w:pPr>
          </w:p>
          <w:p w14:paraId="4F9DDE10">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0A455650">
            <w:pPr>
              <w:tabs>
                <w:tab w:val="left" w:pos="2604"/>
              </w:tabs>
              <w:spacing w:line="240" w:lineRule="exact"/>
              <w:ind w:left="105" w:leftChars="50" w:right="105" w:rightChars="50" w:firstLine="96" w:firstLineChars="46"/>
              <w:rPr>
                <w:rFonts w:ascii="宋体" w:cs="宋体"/>
              </w:rPr>
            </w:pPr>
            <w:r>
              <w:rPr>
                <w:rFonts w:hint="eastAsia" w:ascii="宋体" w:cs="宋体"/>
              </w:rPr>
              <w:t>部门实际支付进度与既定支付进度的比率，用以反映和考核部门预算执行的及时性和均衡性程度。</w:t>
            </w:r>
          </w:p>
        </w:tc>
        <w:tc>
          <w:tcPr>
            <w:tcW w:w="1866" w:type="pct"/>
            <w:tcMar>
              <w:top w:w="10" w:type="dxa"/>
              <w:left w:w="10" w:type="dxa"/>
              <w:right w:w="10" w:type="dxa"/>
            </w:tcMar>
            <w:vAlign w:val="center"/>
          </w:tcPr>
          <w:p w14:paraId="078BFDF3">
            <w:pPr>
              <w:spacing w:line="240" w:lineRule="exact"/>
              <w:ind w:left="105" w:leftChars="50" w:right="105" w:rightChars="50"/>
              <w:rPr>
                <w:rFonts w:hint="eastAsia" w:ascii="宋体" w:eastAsia="宋体" w:cs="宋体"/>
                <w:lang w:eastAsia="zh-CN"/>
              </w:rPr>
            </w:pPr>
            <w:r>
              <w:rPr>
                <w:rFonts w:hint="eastAsia" w:ascii="宋体" w:cs="宋体"/>
              </w:rPr>
              <w:t>支付进度率</w:t>
            </w:r>
            <w:r>
              <w:rPr>
                <w:rFonts w:ascii="宋体" w:cs="宋体"/>
              </w:rPr>
              <w:t>=</w:t>
            </w:r>
            <w:r>
              <w:rPr>
                <w:rFonts w:hint="eastAsia" w:ascii="宋体" w:cs="宋体"/>
              </w:rPr>
              <w:t>（实际支付进度</w:t>
            </w:r>
            <w:r>
              <w:rPr>
                <w:rFonts w:ascii="宋体" w:cs="宋体"/>
              </w:rPr>
              <w:t>/</w:t>
            </w:r>
            <w:r>
              <w:rPr>
                <w:rFonts w:hint="eastAsia" w:ascii="宋体" w:cs="宋体"/>
              </w:rPr>
              <w:t>既定支付进度）×</w:t>
            </w:r>
            <w:r>
              <w:rPr>
                <w:rFonts w:ascii="宋体" w:cs="宋体"/>
              </w:rPr>
              <w:t>100%</w:t>
            </w:r>
            <w:r>
              <w:rPr>
                <w:rFonts w:hint="eastAsia" w:ascii="宋体" w:cs="宋体"/>
              </w:rPr>
              <w:t>。</w:t>
            </w:r>
          </w:p>
          <w:p w14:paraId="1871CB65">
            <w:pPr>
              <w:spacing w:line="240" w:lineRule="exact"/>
              <w:ind w:left="105" w:leftChars="50" w:right="105" w:rightChars="50"/>
              <w:rPr>
                <w:rFonts w:hint="eastAsia" w:ascii="宋体" w:eastAsia="宋体" w:cs="宋体"/>
                <w:lang w:eastAsia="zh-CN"/>
              </w:rPr>
            </w:pPr>
            <w:r>
              <w:rPr>
                <w:rFonts w:hint="eastAsia" w:ascii="宋体" w:cs="宋体"/>
              </w:rPr>
              <w:t>实际支付进度：部门在某一时点的支出预算执行总数与年度支出预算数的比率。</w:t>
            </w:r>
          </w:p>
          <w:p w14:paraId="4535E397">
            <w:pPr>
              <w:spacing w:line="240" w:lineRule="exact"/>
              <w:ind w:left="105" w:leftChars="50" w:right="105" w:rightChars="50"/>
              <w:rPr>
                <w:rFonts w:ascii="宋体" w:cs="宋体"/>
              </w:rPr>
            </w:pPr>
            <w:r>
              <w:rPr>
                <w:rFonts w:hint="eastAsia" w:ascii="宋体" w:cs="宋体"/>
              </w:rPr>
              <w:t>既定支付进度：由部门在申报部门整体绩效目标时，参照序时支付进度、前三年支付进度、本级部门平均支付进度水平等确定的，在某一时点应达到的支付进度（比率）。</w:t>
            </w:r>
          </w:p>
        </w:tc>
      </w:tr>
      <w:tr w14:paraId="6645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6" w:type="pct"/>
            <w:vMerge w:val="continue"/>
            <w:noWrap/>
            <w:tcMar>
              <w:top w:w="10" w:type="dxa"/>
              <w:left w:w="10" w:type="dxa"/>
              <w:right w:w="10" w:type="dxa"/>
            </w:tcMar>
            <w:textDirection w:val="tbRlV"/>
            <w:vAlign w:val="center"/>
          </w:tcPr>
          <w:p w14:paraId="1E5F3C60"/>
        </w:tc>
        <w:tc>
          <w:tcPr>
            <w:tcW w:w="375" w:type="pct"/>
            <w:vMerge w:val="continue"/>
            <w:tcMar>
              <w:top w:w="10" w:type="dxa"/>
              <w:left w:w="10" w:type="dxa"/>
              <w:right w:w="10" w:type="dxa"/>
            </w:tcMar>
            <w:vAlign w:val="center"/>
          </w:tcPr>
          <w:p w14:paraId="77EC831A"/>
        </w:tc>
        <w:tc>
          <w:tcPr>
            <w:tcW w:w="500" w:type="pct"/>
            <w:tcMar>
              <w:top w:w="10" w:type="dxa"/>
              <w:left w:w="10" w:type="dxa"/>
              <w:right w:w="10" w:type="dxa"/>
            </w:tcMar>
            <w:vAlign w:val="center"/>
          </w:tcPr>
          <w:p w14:paraId="2264E4B0">
            <w:pPr>
              <w:spacing w:line="240" w:lineRule="exact"/>
              <w:jc w:val="center"/>
              <w:rPr>
                <w:rFonts w:ascii="宋体" w:cs="宋体"/>
              </w:rPr>
            </w:pPr>
            <w:r>
              <w:rPr>
                <w:rFonts w:hint="eastAsia" w:ascii="宋体" w:cs="宋体"/>
              </w:rPr>
              <w:t>结转</w:t>
            </w:r>
          </w:p>
          <w:p w14:paraId="4FE6FCB7">
            <w:pPr>
              <w:spacing w:line="240" w:lineRule="exact"/>
              <w:jc w:val="center"/>
              <w:rPr>
                <w:rFonts w:ascii="宋体" w:cs="宋体"/>
              </w:rPr>
            </w:pPr>
            <w:r>
              <w:rPr>
                <w:rFonts w:hint="eastAsia" w:ascii="宋体" w:cs="宋体"/>
              </w:rPr>
              <w:t>结余率（</w:t>
            </w:r>
            <w:r>
              <w:rPr>
                <w:rFonts w:ascii="宋体" w:cs="宋体"/>
              </w:rPr>
              <w:t>2</w:t>
            </w:r>
            <w:r>
              <w:rPr>
                <w:rFonts w:hint="eastAsia" w:ascii="宋体" w:cs="宋体"/>
              </w:rPr>
              <w:t>分）</w:t>
            </w:r>
          </w:p>
        </w:tc>
        <w:tc>
          <w:tcPr>
            <w:tcW w:w="375" w:type="pct"/>
          </w:tcPr>
          <w:p w14:paraId="1F02F702">
            <w:pPr>
              <w:tabs>
                <w:tab w:val="left" w:pos="2604"/>
              </w:tabs>
              <w:spacing w:line="240" w:lineRule="exact"/>
              <w:ind w:left="105" w:leftChars="50" w:right="105" w:rightChars="50" w:firstLine="96" w:firstLineChars="46"/>
              <w:jc w:val="center"/>
              <w:rPr>
                <w:rFonts w:ascii="宋体" w:cs="宋体"/>
              </w:rPr>
            </w:pPr>
          </w:p>
          <w:p w14:paraId="58C876E3">
            <w:pPr>
              <w:tabs>
                <w:tab w:val="left" w:pos="2604"/>
              </w:tabs>
              <w:spacing w:line="240" w:lineRule="exact"/>
              <w:ind w:left="105" w:leftChars="50" w:right="105" w:rightChars="50" w:firstLine="96" w:firstLineChars="46"/>
              <w:jc w:val="center"/>
              <w:rPr>
                <w:rFonts w:ascii="宋体" w:cs="宋体"/>
              </w:rPr>
            </w:pPr>
          </w:p>
          <w:p w14:paraId="49EFFCC9">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7098D923">
            <w:pPr>
              <w:tabs>
                <w:tab w:val="left" w:pos="2604"/>
              </w:tabs>
              <w:spacing w:line="240" w:lineRule="exact"/>
              <w:ind w:left="105" w:leftChars="50" w:right="105" w:rightChars="50" w:firstLine="96" w:firstLineChars="46"/>
              <w:rPr>
                <w:rFonts w:ascii="宋体" w:cs="宋体"/>
              </w:rPr>
            </w:pPr>
            <w:r>
              <w:rPr>
                <w:rFonts w:hint="eastAsia" w:ascii="宋体" w:cs="宋体"/>
              </w:rPr>
              <w:t>部门本年度结转结余总额与支出预算数的比率，用以反映和考核部门对本年度结转结余资金的实际控制程度。</w:t>
            </w:r>
          </w:p>
        </w:tc>
        <w:tc>
          <w:tcPr>
            <w:tcW w:w="1866" w:type="pct"/>
            <w:tcMar>
              <w:top w:w="10" w:type="dxa"/>
              <w:left w:w="10" w:type="dxa"/>
              <w:right w:w="10" w:type="dxa"/>
            </w:tcMar>
            <w:vAlign w:val="center"/>
          </w:tcPr>
          <w:p w14:paraId="5B64D0B2">
            <w:pPr>
              <w:spacing w:line="240" w:lineRule="exact"/>
              <w:ind w:left="105" w:leftChars="50" w:right="105" w:rightChars="50"/>
              <w:rPr>
                <w:rFonts w:hint="eastAsia" w:ascii="宋体" w:eastAsia="宋体" w:cs="宋体"/>
                <w:lang w:eastAsia="zh-CN"/>
              </w:rPr>
            </w:pPr>
            <w:r>
              <w:rPr>
                <w:rFonts w:hint="eastAsia" w:ascii="宋体" w:cs="宋体"/>
              </w:rPr>
              <w:t>结转结余率</w:t>
            </w:r>
            <w:r>
              <w:rPr>
                <w:rFonts w:ascii="宋体" w:cs="宋体"/>
              </w:rPr>
              <w:t>=</w:t>
            </w:r>
            <w:r>
              <w:rPr>
                <w:rFonts w:hint="eastAsia" w:ascii="宋体" w:cs="宋体"/>
              </w:rPr>
              <w:t>结转结余总额</w:t>
            </w:r>
            <w:r>
              <w:rPr>
                <w:rFonts w:ascii="宋体" w:cs="宋体"/>
              </w:rPr>
              <w:t>/</w:t>
            </w:r>
            <w:r>
              <w:rPr>
                <w:rFonts w:hint="eastAsia" w:ascii="宋体" w:cs="宋体"/>
              </w:rPr>
              <w:t>支出预算数×</w:t>
            </w:r>
            <w:r>
              <w:rPr>
                <w:rFonts w:ascii="宋体" w:cs="宋体"/>
              </w:rPr>
              <w:t>100%</w:t>
            </w:r>
            <w:r>
              <w:rPr>
                <w:rFonts w:hint="eastAsia" w:ascii="宋体" w:cs="宋体"/>
              </w:rPr>
              <w:t>。</w:t>
            </w:r>
          </w:p>
          <w:p w14:paraId="223A242F">
            <w:pPr>
              <w:spacing w:line="240" w:lineRule="exact"/>
              <w:ind w:left="105" w:leftChars="50" w:right="105" w:rightChars="50"/>
              <w:rPr>
                <w:rFonts w:ascii="宋体" w:cs="宋体"/>
              </w:rPr>
            </w:pPr>
            <w:r>
              <w:rPr>
                <w:rFonts w:hint="eastAsia" w:ascii="宋体" w:cs="宋体"/>
              </w:rPr>
              <w:t>结转结余总额：部门本年度的结转资金与结余资金之和（以决算数为准）。</w:t>
            </w:r>
          </w:p>
        </w:tc>
      </w:tr>
      <w:tr w14:paraId="3273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6" w:type="pct"/>
            <w:vMerge w:val="continue"/>
            <w:vAlign w:val="center"/>
          </w:tcPr>
          <w:p w14:paraId="7157FEE6"/>
        </w:tc>
        <w:tc>
          <w:tcPr>
            <w:tcW w:w="375" w:type="pct"/>
            <w:vMerge w:val="continue"/>
            <w:vAlign w:val="center"/>
          </w:tcPr>
          <w:p w14:paraId="3984BBE6"/>
        </w:tc>
        <w:tc>
          <w:tcPr>
            <w:tcW w:w="500" w:type="pct"/>
            <w:tcMar>
              <w:top w:w="10" w:type="dxa"/>
              <w:left w:w="10" w:type="dxa"/>
              <w:right w:w="10" w:type="dxa"/>
            </w:tcMar>
            <w:vAlign w:val="center"/>
          </w:tcPr>
          <w:p w14:paraId="26813818">
            <w:pPr>
              <w:spacing w:line="240" w:lineRule="exact"/>
              <w:jc w:val="center"/>
              <w:rPr>
                <w:rFonts w:ascii="宋体" w:cs="宋体"/>
              </w:rPr>
            </w:pPr>
            <w:r>
              <w:rPr>
                <w:rFonts w:hint="eastAsia" w:ascii="宋体" w:cs="宋体"/>
              </w:rPr>
              <w:t>结转结余</w:t>
            </w:r>
          </w:p>
          <w:p w14:paraId="6E448584">
            <w:pPr>
              <w:spacing w:line="240" w:lineRule="exact"/>
              <w:jc w:val="center"/>
              <w:rPr>
                <w:rFonts w:ascii="宋体" w:cs="宋体"/>
              </w:rPr>
            </w:pPr>
            <w:r>
              <w:rPr>
                <w:rFonts w:hint="eastAsia" w:ascii="宋体" w:cs="宋体"/>
              </w:rPr>
              <w:t>变动率（</w:t>
            </w:r>
            <w:r>
              <w:rPr>
                <w:rFonts w:ascii="宋体" w:cs="宋体"/>
              </w:rPr>
              <w:t>2</w:t>
            </w:r>
            <w:r>
              <w:rPr>
                <w:rFonts w:hint="eastAsia" w:ascii="宋体" w:cs="宋体"/>
              </w:rPr>
              <w:t>分）</w:t>
            </w:r>
          </w:p>
        </w:tc>
        <w:tc>
          <w:tcPr>
            <w:tcW w:w="375" w:type="pct"/>
          </w:tcPr>
          <w:p w14:paraId="5F0D4E6F">
            <w:pPr>
              <w:tabs>
                <w:tab w:val="left" w:pos="2604"/>
              </w:tabs>
              <w:spacing w:line="240" w:lineRule="exact"/>
              <w:ind w:left="105" w:leftChars="50" w:right="105" w:rightChars="50" w:firstLine="96" w:firstLineChars="46"/>
              <w:jc w:val="center"/>
              <w:rPr>
                <w:rFonts w:ascii="宋体" w:cs="宋体"/>
              </w:rPr>
            </w:pPr>
          </w:p>
          <w:p w14:paraId="7BDBF210">
            <w:pPr>
              <w:tabs>
                <w:tab w:val="left" w:pos="2604"/>
              </w:tabs>
              <w:spacing w:line="240" w:lineRule="exact"/>
              <w:ind w:left="105" w:leftChars="50" w:right="105" w:rightChars="50" w:firstLine="96" w:firstLineChars="46"/>
              <w:jc w:val="center"/>
              <w:rPr>
                <w:rFonts w:ascii="宋体" w:cs="宋体"/>
              </w:rPr>
            </w:pPr>
          </w:p>
          <w:p w14:paraId="4204A4B0">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3D0A0ABF">
            <w:pPr>
              <w:tabs>
                <w:tab w:val="left" w:pos="2604"/>
              </w:tabs>
              <w:spacing w:line="240" w:lineRule="exact"/>
              <w:ind w:left="105" w:leftChars="50" w:right="105" w:rightChars="50" w:firstLine="96" w:firstLineChars="46"/>
              <w:rPr>
                <w:rFonts w:ascii="宋体" w:cs="宋体"/>
              </w:rPr>
            </w:pPr>
            <w:r>
              <w:rPr>
                <w:rFonts w:hint="eastAsia" w:ascii="宋体" w:cs="宋体"/>
              </w:rPr>
              <w:t>部门本年度结转结余资金总额与上年度结转结余资金总额的变动比率，用以反映和考核部门对控制结转结余资金的努力程度。</w:t>
            </w:r>
          </w:p>
        </w:tc>
        <w:tc>
          <w:tcPr>
            <w:tcW w:w="1866" w:type="pct"/>
            <w:tcMar>
              <w:top w:w="10" w:type="dxa"/>
              <w:left w:w="10" w:type="dxa"/>
              <w:right w:w="10" w:type="dxa"/>
            </w:tcMar>
            <w:vAlign w:val="center"/>
          </w:tcPr>
          <w:p w14:paraId="40A5E4F2">
            <w:pPr>
              <w:spacing w:line="240" w:lineRule="exact"/>
              <w:ind w:left="105" w:leftChars="50" w:right="105" w:rightChars="50"/>
              <w:rPr>
                <w:rFonts w:ascii="宋体" w:cs="宋体"/>
              </w:rPr>
            </w:pPr>
            <w:r>
              <w:rPr>
                <w:rFonts w:hint="eastAsia" w:ascii="宋体" w:cs="宋体"/>
              </w:rPr>
              <w:t>结转结余变动率</w:t>
            </w:r>
            <w:r>
              <w:rPr>
                <w:rFonts w:ascii="宋体" w:cs="宋体"/>
              </w:rPr>
              <w:t>=[</w:t>
            </w:r>
            <w:r>
              <w:rPr>
                <w:rFonts w:hint="eastAsia" w:ascii="宋体" w:cs="宋体"/>
              </w:rPr>
              <w:t>（本年度累计结转结余资金总额</w:t>
            </w:r>
            <w:r>
              <w:rPr>
                <w:rFonts w:ascii="宋体" w:cs="宋体"/>
              </w:rPr>
              <w:t>-</w:t>
            </w:r>
            <w:r>
              <w:rPr>
                <w:rFonts w:hint="eastAsia" w:ascii="宋体" w:cs="宋体"/>
              </w:rPr>
              <w:t>上年度累计结转结余资金总额）</w:t>
            </w:r>
            <w:r>
              <w:rPr>
                <w:rFonts w:ascii="宋体" w:cs="宋体"/>
              </w:rPr>
              <w:t>/</w:t>
            </w:r>
            <w:r>
              <w:rPr>
                <w:rFonts w:hint="eastAsia" w:ascii="宋体" w:cs="宋体"/>
              </w:rPr>
              <w:t>上年度累计结转结余资金总额</w:t>
            </w:r>
            <w:r>
              <w:rPr>
                <w:rFonts w:ascii="宋体" w:cs="宋体"/>
              </w:rPr>
              <w:t>]</w:t>
            </w:r>
            <w:r>
              <w:rPr>
                <w:rFonts w:hint="eastAsia" w:ascii="宋体" w:cs="宋体"/>
              </w:rPr>
              <w:t>×</w:t>
            </w:r>
            <w:r>
              <w:rPr>
                <w:rFonts w:ascii="宋体" w:cs="宋体"/>
              </w:rPr>
              <w:t>100%</w:t>
            </w:r>
            <w:r>
              <w:rPr>
                <w:rFonts w:hint="eastAsia" w:ascii="宋体" w:cs="宋体"/>
              </w:rPr>
              <w:t>。</w:t>
            </w:r>
          </w:p>
        </w:tc>
      </w:tr>
      <w:tr w14:paraId="59A8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6" w:type="pct"/>
            <w:vMerge w:val="continue"/>
            <w:vAlign w:val="center"/>
          </w:tcPr>
          <w:p w14:paraId="3CA6F23E"/>
        </w:tc>
        <w:tc>
          <w:tcPr>
            <w:tcW w:w="375" w:type="pct"/>
            <w:vMerge w:val="continue"/>
            <w:vAlign w:val="center"/>
          </w:tcPr>
          <w:p w14:paraId="32272A04"/>
        </w:tc>
        <w:tc>
          <w:tcPr>
            <w:tcW w:w="500" w:type="pct"/>
            <w:tcMar>
              <w:top w:w="10" w:type="dxa"/>
              <w:left w:w="10" w:type="dxa"/>
              <w:right w:w="10" w:type="dxa"/>
            </w:tcMar>
            <w:vAlign w:val="center"/>
          </w:tcPr>
          <w:p w14:paraId="01B01FE0">
            <w:pPr>
              <w:spacing w:line="240" w:lineRule="exact"/>
              <w:jc w:val="center"/>
              <w:rPr>
                <w:rFonts w:ascii="宋体" w:cs="宋体"/>
              </w:rPr>
            </w:pPr>
            <w:r>
              <w:rPr>
                <w:rFonts w:hint="eastAsia" w:ascii="宋体" w:cs="宋体"/>
              </w:rPr>
              <w:t>公用经费</w:t>
            </w:r>
          </w:p>
          <w:p w14:paraId="2770B9E4">
            <w:pPr>
              <w:spacing w:line="240" w:lineRule="exact"/>
              <w:jc w:val="center"/>
              <w:rPr>
                <w:rFonts w:ascii="宋体" w:cs="宋体"/>
              </w:rPr>
            </w:pPr>
            <w:r>
              <w:rPr>
                <w:rFonts w:hint="eastAsia" w:ascii="宋体" w:cs="宋体"/>
              </w:rPr>
              <w:t>控制率（</w:t>
            </w:r>
            <w:r>
              <w:rPr>
                <w:rFonts w:ascii="宋体" w:cs="宋体"/>
              </w:rPr>
              <w:t>2</w:t>
            </w:r>
            <w:r>
              <w:rPr>
                <w:rFonts w:hint="eastAsia" w:ascii="宋体" w:cs="宋体"/>
              </w:rPr>
              <w:t>分）</w:t>
            </w:r>
          </w:p>
        </w:tc>
        <w:tc>
          <w:tcPr>
            <w:tcW w:w="375" w:type="pct"/>
          </w:tcPr>
          <w:p w14:paraId="028750B5">
            <w:pPr>
              <w:tabs>
                <w:tab w:val="left" w:pos="2604"/>
              </w:tabs>
              <w:spacing w:line="240" w:lineRule="exact"/>
              <w:ind w:left="105" w:leftChars="50" w:right="105" w:rightChars="50" w:firstLine="96" w:firstLineChars="46"/>
              <w:jc w:val="center"/>
              <w:rPr>
                <w:rFonts w:ascii="宋体" w:cs="宋体"/>
              </w:rPr>
            </w:pPr>
          </w:p>
          <w:p w14:paraId="770647C1">
            <w:pPr>
              <w:tabs>
                <w:tab w:val="left" w:pos="2604"/>
              </w:tabs>
              <w:spacing w:line="240" w:lineRule="exact"/>
              <w:ind w:left="105" w:leftChars="50" w:right="105" w:rightChars="50" w:firstLine="96" w:firstLineChars="46"/>
              <w:jc w:val="center"/>
              <w:rPr>
                <w:rFonts w:ascii="宋体" w:cs="宋体"/>
              </w:rPr>
            </w:pPr>
          </w:p>
          <w:p w14:paraId="066E70F3">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139B609E">
            <w:pPr>
              <w:tabs>
                <w:tab w:val="left" w:pos="2604"/>
              </w:tabs>
              <w:spacing w:line="240" w:lineRule="exact"/>
              <w:ind w:left="105" w:leftChars="50" w:right="105" w:rightChars="50" w:firstLine="96" w:firstLineChars="46"/>
              <w:rPr>
                <w:rFonts w:ascii="宋体" w:cs="宋体"/>
              </w:rPr>
            </w:pPr>
            <w:r>
              <w:rPr>
                <w:rFonts w:hint="eastAsia" w:ascii="宋体" w:cs="宋体"/>
              </w:rPr>
              <w:t>部门本年度实际支出的公用经费总额与预算安排的公用经费总额的比率，用以反映和考核部门对机构运转成本的实际控制程度。</w:t>
            </w:r>
          </w:p>
        </w:tc>
        <w:tc>
          <w:tcPr>
            <w:tcW w:w="1866" w:type="pct"/>
            <w:tcMar>
              <w:top w:w="10" w:type="dxa"/>
              <w:left w:w="10" w:type="dxa"/>
              <w:right w:w="10" w:type="dxa"/>
            </w:tcMar>
            <w:vAlign w:val="center"/>
          </w:tcPr>
          <w:p w14:paraId="7DAB8086">
            <w:pPr>
              <w:spacing w:line="240" w:lineRule="exact"/>
              <w:ind w:left="105" w:leftChars="50" w:right="105" w:rightChars="50"/>
              <w:rPr>
                <w:rFonts w:ascii="宋体" w:cs="宋体"/>
              </w:rPr>
            </w:pPr>
            <w:r>
              <w:rPr>
                <w:rFonts w:hint="eastAsia" w:ascii="宋体" w:cs="宋体"/>
              </w:rPr>
              <w:t>公用经费控制率</w:t>
            </w:r>
            <w:r>
              <w:rPr>
                <w:rFonts w:ascii="宋体" w:cs="宋体"/>
              </w:rPr>
              <w:t>=</w:t>
            </w:r>
            <w:r>
              <w:rPr>
                <w:rFonts w:hint="eastAsia" w:ascii="宋体" w:cs="宋体"/>
              </w:rPr>
              <w:t>（实际支出公用经费总额</w:t>
            </w:r>
            <w:r>
              <w:rPr>
                <w:rFonts w:ascii="宋体" w:cs="宋体"/>
              </w:rPr>
              <w:t>/</w:t>
            </w:r>
            <w:r>
              <w:rPr>
                <w:rFonts w:hint="eastAsia" w:ascii="宋体" w:cs="宋体"/>
              </w:rPr>
              <w:t>预算安排公用经费总额）×</w:t>
            </w:r>
            <w:r>
              <w:rPr>
                <w:rFonts w:ascii="宋体" w:cs="宋体"/>
              </w:rPr>
              <w:t>100%</w:t>
            </w:r>
            <w:r>
              <w:rPr>
                <w:rFonts w:hint="eastAsia" w:ascii="宋体" w:cs="宋体"/>
              </w:rPr>
              <w:t>。</w:t>
            </w:r>
          </w:p>
        </w:tc>
      </w:tr>
      <w:tr w14:paraId="455B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6" w:type="pct"/>
            <w:vMerge w:val="continue"/>
            <w:vAlign w:val="center"/>
          </w:tcPr>
          <w:p w14:paraId="77B27751"/>
        </w:tc>
        <w:tc>
          <w:tcPr>
            <w:tcW w:w="375" w:type="pct"/>
            <w:vMerge w:val="continue"/>
            <w:vAlign w:val="center"/>
          </w:tcPr>
          <w:p w14:paraId="3F263047"/>
        </w:tc>
        <w:tc>
          <w:tcPr>
            <w:tcW w:w="500" w:type="pct"/>
            <w:tcMar>
              <w:top w:w="10" w:type="dxa"/>
              <w:left w:w="10" w:type="dxa"/>
              <w:right w:w="10" w:type="dxa"/>
            </w:tcMar>
            <w:vAlign w:val="center"/>
          </w:tcPr>
          <w:p w14:paraId="42940EB7">
            <w:pPr>
              <w:spacing w:line="240" w:lineRule="exact"/>
              <w:jc w:val="center"/>
              <w:rPr>
                <w:rFonts w:ascii="宋体" w:cs="宋体"/>
              </w:rPr>
            </w:pPr>
            <w:r>
              <w:rPr>
                <w:rFonts w:hint="eastAsia" w:ascii="宋体" w:cs="宋体"/>
              </w:rPr>
              <w:t>“三公经费”控制率（</w:t>
            </w:r>
            <w:r>
              <w:rPr>
                <w:rFonts w:ascii="宋体" w:cs="宋体"/>
              </w:rPr>
              <w:t>2</w:t>
            </w:r>
            <w:r>
              <w:rPr>
                <w:rFonts w:hint="eastAsia" w:ascii="宋体" w:cs="宋体"/>
              </w:rPr>
              <w:t>分）</w:t>
            </w:r>
          </w:p>
        </w:tc>
        <w:tc>
          <w:tcPr>
            <w:tcW w:w="375" w:type="pct"/>
          </w:tcPr>
          <w:p w14:paraId="08402955">
            <w:pPr>
              <w:tabs>
                <w:tab w:val="left" w:pos="2604"/>
              </w:tabs>
              <w:spacing w:line="240" w:lineRule="exact"/>
              <w:ind w:left="105" w:leftChars="50" w:right="105" w:rightChars="50" w:firstLine="96" w:firstLineChars="46"/>
              <w:jc w:val="center"/>
              <w:rPr>
                <w:rFonts w:ascii="宋体" w:cs="宋体"/>
              </w:rPr>
            </w:pPr>
          </w:p>
          <w:p w14:paraId="56A90E28">
            <w:pPr>
              <w:tabs>
                <w:tab w:val="left" w:pos="2604"/>
              </w:tabs>
              <w:spacing w:line="240" w:lineRule="exact"/>
              <w:ind w:left="105" w:leftChars="50" w:right="105" w:rightChars="50" w:firstLine="96" w:firstLineChars="46"/>
              <w:jc w:val="center"/>
              <w:rPr>
                <w:rFonts w:ascii="宋体" w:cs="宋体"/>
              </w:rPr>
            </w:pPr>
          </w:p>
          <w:p w14:paraId="7E2D7E17">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32D67031">
            <w:pPr>
              <w:tabs>
                <w:tab w:val="left" w:pos="2604"/>
              </w:tabs>
              <w:spacing w:line="240" w:lineRule="exact"/>
              <w:ind w:left="105" w:leftChars="50" w:right="105" w:rightChars="50" w:firstLine="96" w:firstLineChars="46"/>
              <w:rPr>
                <w:rFonts w:ascii="宋体" w:cs="宋体"/>
              </w:rPr>
            </w:pPr>
            <w:r>
              <w:rPr>
                <w:rFonts w:hint="eastAsia" w:ascii="宋体" w:cs="宋体"/>
              </w:rPr>
              <w:t>部门本年度“三公经费”实际支出数与预算安排数的比率，用以反映和考核部门对“三公经费”的实际控制程度。</w:t>
            </w:r>
          </w:p>
        </w:tc>
        <w:tc>
          <w:tcPr>
            <w:tcW w:w="1866" w:type="pct"/>
            <w:tcMar>
              <w:top w:w="10" w:type="dxa"/>
              <w:left w:w="10" w:type="dxa"/>
              <w:right w:w="10" w:type="dxa"/>
            </w:tcMar>
            <w:vAlign w:val="center"/>
          </w:tcPr>
          <w:p w14:paraId="796A7E2D">
            <w:pPr>
              <w:spacing w:line="240" w:lineRule="exact"/>
              <w:ind w:left="105" w:leftChars="50" w:right="105" w:rightChars="50"/>
              <w:rPr>
                <w:rFonts w:ascii="宋体" w:cs="宋体"/>
              </w:rPr>
            </w:pPr>
            <w:r>
              <w:rPr>
                <w:rFonts w:hint="eastAsia" w:ascii="宋体" w:cs="宋体"/>
              </w:rPr>
              <w:t>“三公经费”控制率</w:t>
            </w:r>
            <w:r>
              <w:rPr>
                <w:rFonts w:ascii="宋体" w:cs="宋体"/>
              </w:rPr>
              <w:t>=</w:t>
            </w:r>
            <w:r>
              <w:rPr>
                <w:rFonts w:hint="eastAsia" w:ascii="宋体" w:cs="宋体"/>
              </w:rPr>
              <w:t>（“三公经费”实际支出数</w:t>
            </w:r>
            <w:r>
              <w:rPr>
                <w:rFonts w:ascii="宋体" w:cs="宋体"/>
              </w:rPr>
              <w:t>/</w:t>
            </w:r>
            <w:r>
              <w:rPr>
                <w:rFonts w:hint="eastAsia" w:ascii="宋体" w:cs="宋体"/>
              </w:rPr>
              <w:t>“三公经费”预算安排数）×</w:t>
            </w:r>
            <w:r>
              <w:rPr>
                <w:rFonts w:ascii="宋体" w:cs="宋体"/>
              </w:rPr>
              <w:t>100%</w:t>
            </w:r>
            <w:r>
              <w:rPr>
                <w:rFonts w:hint="eastAsia" w:ascii="宋体" w:cs="宋体"/>
              </w:rPr>
              <w:t>。</w:t>
            </w:r>
          </w:p>
        </w:tc>
      </w:tr>
      <w:tr w14:paraId="10D5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6" w:type="pct"/>
            <w:vMerge w:val="continue"/>
            <w:vAlign w:val="center"/>
          </w:tcPr>
          <w:p w14:paraId="73F41054"/>
        </w:tc>
        <w:tc>
          <w:tcPr>
            <w:tcW w:w="375" w:type="pct"/>
            <w:vMerge w:val="continue"/>
            <w:vAlign w:val="center"/>
          </w:tcPr>
          <w:p w14:paraId="06683A82"/>
        </w:tc>
        <w:tc>
          <w:tcPr>
            <w:tcW w:w="500" w:type="pct"/>
            <w:tcMar>
              <w:top w:w="10" w:type="dxa"/>
              <w:left w:w="10" w:type="dxa"/>
              <w:right w:w="10" w:type="dxa"/>
            </w:tcMar>
            <w:vAlign w:val="center"/>
          </w:tcPr>
          <w:p w14:paraId="1CA71238">
            <w:pPr>
              <w:spacing w:line="240" w:lineRule="exact"/>
              <w:jc w:val="center"/>
              <w:rPr>
                <w:rFonts w:ascii="宋体" w:cs="宋体"/>
              </w:rPr>
            </w:pPr>
            <w:r>
              <w:rPr>
                <w:rFonts w:hint="eastAsia" w:ascii="宋体" w:cs="宋体"/>
              </w:rPr>
              <w:t>政府采购</w:t>
            </w:r>
          </w:p>
          <w:p w14:paraId="66DC73E8">
            <w:pPr>
              <w:spacing w:line="240" w:lineRule="exact"/>
              <w:jc w:val="center"/>
              <w:rPr>
                <w:rFonts w:ascii="宋体" w:cs="宋体"/>
              </w:rPr>
            </w:pPr>
            <w:r>
              <w:rPr>
                <w:rFonts w:hint="eastAsia" w:ascii="宋体" w:cs="宋体"/>
              </w:rPr>
              <w:t>执行率（</w:t>
            </w:r>
            <w:r>
              <w:rPr>
                <w:rFonts w:ascii="宋体" w:cs="宋体"/>
              </w:rPr>
              <w:t>4</w:t>
            </w:r>
            <w:r>
              <w:rPr>
                <w:rFonts w:hint="eastAsia" w:ascii="宋体" w:cs="宋体"/>
              </w:rPr>
              <w:t>分）</w:t>
            </w:r>
          </w:p>
        </w:tc>
        <w:tc>
          <w:tcPr>
            <w:tcW w:w="375" w:type="pct"/>
          </w:tcPr>
          <w:p w14:paraId="69F7275D">
            <w:pPr>
              <w:tabs>
                <w:tab w:val="left" w:pos="2604"/>
              </w:tabs>
              <w:spacing w:line="240" w:lineRule="exact"/>
              <w:ind w:left="105" w:leftChars="50" w:right="105" w:rightChars="50" w:firstLine="96" w:firstLineChars="46"/>
              <w:jc w:val="center"/>
              <w:rPr>
                <w:rFonts w:ascii="宋体" w:cs="宋体"/>
              </w:rPr>
            </w:pPr>
          </w:p>
          <w:p w14:paraId="5514BCDB">
            <w:pPr>
              <w:tabs>
                <w:tab w:val="left" w:pos="2604"/>
              </w:tabs>
              <w:spacing w:line="240" w:lineRule="exact"/>
              <w:ind w:left="105" w:leftChars="50" w:right="105" w:rightChars="50" w:firstLine="96" w:firstLineChars="46"/>
              <w:jc w:val="center"/>
              <w:rPr>
                <w:rFonts w:ascii="宋体" w:cs="宋体"/>
              </w:rPr>
            </w:pPr>
          </w:p>
          <w:p w14:paraId="30E2C6CE">
            <w:pPr>
              <w:tabs>
                <w:tab w:val="left" w:pos="2604"/>
              </w:tabs>
              <w:spacing w:line="240" w:lineRule="exact"/>
              <w:ind w:left="105" w:leftChars="50" w:right="105" w:rightChars="50" w:firstLine="96" w:firstLineChars="46"/>
              <w:jc w:val="center"/>
              <w:rPr>
                <w:rFonts w:ascii="宋体" w:cs="宋体"/>
              </w:rPr>
            </w:pPr>
          </w:p>
          <w:p w14:paraId="19C0A78E">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14:paraId="0ECAA847">
            <w:pPr>
              <w:tabs>
                <w:tab w:val="left" w:pos="2604"/>
              </w:tabs>
              <w:spacing w:line="240" w:lineRule="exact"/>
              <w:ind w:left="105" w:leftChars="50" w:right="105" w:rightChars="50" w:firstLine="96" w:firstLineChars="46"/>
              <w:rPr>
                <w:rFonts w:ascii="宋体" w:cs="宋体"/>
              </w:rPr>
            </w:pPr>
            <w:r>
              <w:rPr>
                <w:rFonts w:hint="eastAsia" w:ascii="宋体" w:cs="宋体"/>
              </w:rPr>
              <w:t>部门本年度实际政府采购金额与年初政府采购预算的比率，用以反映和考核部门政府采购预算执行情况。</w:t>
            </w:r>
          </w:p>
        </w:tc>
        <w:tc>
          <w:tcPr>
            <w:tcW w:w="1866" w:type="pct"/>
            <w:tcMar>
              <w:top w:w="10" w:type="dxa"/>
              <w:left w:w="10" w:type="dxa"/>
              <w:right w:w="10" w:type="dxa"/>
            </w:tcMar>
            <w:vAlign w:val="center"/>
          </w:tcPr>
          <w:p w14:paraId="2069EEDC">
            <w:pPr>
              <w:spacing w:line="240" w:lineRule="exact"/>
              <w:ind w:left="105" w:leftChars="50" w:right="105" w:rightChars="50"/>
              <w:rPr>
                <w:rFonts w:hint="eastAsia" w:ascii="宋体" w:eastAsia="宋体" w:cs="宋体"/>
                <w:lang w:eastAsia="zh-CN"/>
              </w:rPr>
            </w:pPr>
            <w:r>
              <w:rPr>
                <w:rFonts w:hint="eastAsia" w:ascii="宋体" w:cs="宋体"/>
              </w:rPr>
              <w:t>政府采购执行率</w:t>
            </w:r>
            <w:r>
              <w:rPr>
                <w:rFonts w:ascii="宋体" w:cs="宋体"/>
              </w:rPr>
              <w:t>=</w:t>
            </w:r>
            <w:r>
              <w:rPr>
                <w:rFonts w:hint="eastAsia" w:ascii="宋体" w:cs="宋体"/>
              </w:rPr>
              <w:t>（实际政府采购金额</w:t>
            </w:r>
            <w:r>
              <w:rPr>
                <w:rFonts w:ascii="宋体" w:cs="宋体"/>
              </w:rPr>
              <w:t>/</w:t>
            </w:r>
            <w:r>
              <w:rPr>
                <w:rFonts w:hint="eastAsia" w:ascii="宋体" w:cs="宋体"/>
              </w:rPr>
              <w:t>政府采购预算数）×</w:t>
            </w:r>
            <w:r>
              <w:rPr>
                <w:rFonts w:ascii="宋体" w:cs="宋体"/>
              </w:rPr>
              <w:t>100%</w:t>
            </w:r>
            <w:r>
              <w:rPr>
                <w:rFonts w:hint="eastAsia" w:ascii="宋体" w:cs="宋体"/>
              </w:rPr>
              <w:t>；</w:t>
            </w:r>
          </w:p>
          <w:p w14:paraId="35CC0F2F">
            <w:pPr>
              <w:spacing w:line="240" w:lineRule="exact"/>
              <w:ind w:left="105" w:leftChars="50" w:right="105" w:rightChars="50"/>
              <w:rPr>
                <w:rFonts w:ascii="宋体" w:cs="宋体"/>
              </w:rPr>
            </w:pPr>
            <w:r>
              <w:rPr>
                <w:rFonts w:hint="eastAsia" w:ascii="宋体" w:cs="宋体"/>
              </w:rPr>
              <w:t>政府采购预算：采购机关根据事业发展计划和行政任务编制的、并经过规定程序批准的年度政府采购计划。</w:t>
            </w:r>
            <w:r>
              <w:rPr>
                <w:rFonts w:ascii="宋体" w:cs="宋体"/>
              </w:rPr>
              <w:t xml:space="preserve"> </w:t>
            </w:r>
          </w:p>
        </w:tc>
      </w:tr>
      <w:tr w14:paraId="4D4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306" w:type="pct"/>
            <w:vMerge w:val="restart"/>
            <w:vAlign w:val="center"/>
          </w:tcPr>
          <w:p w14:paraId="01C1D261">
            <w:pPr>
              <w:spacing w:line="240" w:lineRule="exact"/>
              <w:jc w:val="center"/>
              <w:rPr>
                <w:rFonts w:ascii="宋体" w:cs="宋体"/>
              </w:rPr>
            </w:pPr>
            <w:r>
              <w:rPr>
                <w:rFonts w:hint="eastAsia" w:ascii="宋体" w:cs="宋体"/>
              </w:rPr>
              <w:t>过</w:t>
            </w:r>
          </w:p>
          <w:p w14:paraId="360F76BB">
            <w:pPr>
              <w:spacing w:line="240" w:lineRule="exact"/>
              <w:jc w:val="center"/>
              <w:rPr>
                <w:rFonts w:ascii="宋体" w:cs="宋体"/>
              </w:rPr>
            </w:pPr>
            <w:r>
              <w:rPr>
                <w:rFonts w:hint="eastAsia" w:ascii="宋体" w:cs="宋体"/>
              </w:rPr>
              <w:t>程（</w:t>
            </w:r>
            <w:r>
              <w:rPr>
                <w:rFonts w:ascii="宋体" w:cs="宋体"/>
              </w:rPr>
              <w:t>30</w:t>
            </w:r>
            <w:r>
              <w:rPr>
                <w:rFonts w:hint="eastAsia" w:ascii="宋体" w:cs="宋体"/>
              </w:rPr>
              <w:t>分）</w:t>
            </w:r>
          </w:p>
        </w:tc>
        <w:tc>
          <w:tcPr>
            <w:tcW w:w="375" w:type="pct"/>
            <w:vMerge w:val="restart"/>
            <w:tcMar>
              <w:top w:w="10" w:type="dxa"/>
              <w:left w:w="10" w:type="dxa"/>
              <w:right w:w="10" w:type="dxa"/>
            </w:tcMar>
            <w:vAlign w:val="center"/>
          </w:tcPr>
          <w:p w14:paraId="7881BEBD">
            <w:pPr>
              <w:spacing w:line="240" w:lineRule="exact"/>
              <w:jc w:val="center"/>
              <w:rPr>
                <w:rFonts w:hint="eastAsia" w:ascii="宋体" w:eastAsia="宋体" w:cs="宋体"/>
                <w:lang w:eastAsia="zh-CN"/>
              </w:rPr>
            </w:pPr>
            <w:r>
              <w:rPr>
                <w:rFonts w:hint="eastAsia" w:ascii="宋体" w:cs="宋体"/>
              </w:rPr>
              <w:t>预算</w:t>
            </w:r>
          </w:p>
          <w:p w14:paraId="622EEAF1">
            <w:pPr>
              <w:spacing w:line="240" w:lineRule="exact"/>
              <w:jc w:val="center"/>
              <w:rPr>
                <w:rFonts w:ascii="宋体" w:cs="宋体"/>
              </w:rPr>
            </w:pPr>
            <w:r>
              <w:rPr>
                <w:rFonts w:hint="eastAsia" w:ascii="宋体" w:cs="宋体"/>
              </w:rPr>
              <w:t>管理（</w:t>
            </w:r>
            <w:r>
              <w:rPr>
                <w:rFonts w:ascii="宋体" w:cs="宋体"/>
              </w:rPr>
              <w:t>5</w:t>
            </w:r>
            <w:r>
              <w:rPr>
                <w:rFonts w:hint="eastAsia" w:ascii="宋体" w:cs="宋体"/>
              </w:rPr>
              <w:t>分）</w:t>
            </w:r>
          </w:p>
          <w:p w14:paraId="6B0D8E16">
            <w:pPr>
              <w:spacing w:line="240" w:lineRule="exact"/>
              <w:jc w:val="center"/>
              <w:rPr>
                <w:rFonts w:ascii="宋体" w:cs="宋体"/>
              </w:rPr>
            </w:pPr>
            <w:r>
              <w:rPr>
                <w:rFonts w:hint="eastAsia" w:ascii="宋体" w:cs="宋体"/>
              </w:rPr>
              <w:t>）</w:t>
            </w:r>
          </w:p>
        </w:tc>
        <w:tc>
          <w:tcPr>
            <w:tcW w:w="500" w:type="pct"/>
            <w:tcMar>
              <w:top w:w="10" w:type="dxa"/>
              <w:left w:w="10" w:type="dxa"/>
              <w:right w:w="10" w:type="dxa"/>
            </w:tcMar>
            <w:vAlign w:val="center"/>
          </w:tcPr>
          <w:p w14:paraId="02F5EEFE">
            <w:pPr>
              <w:spacing w:line="240" w:lineRule="exact"/>
              <w:jc w:val="center"/>
              <w:rPr>
                <w:rFonts w:ascii="宋体" w:cs="宋体"/>
              </w:rPr>
            </w:pPr>
            <w:r>
              <w:rPr>
                <w:rFonts w:hint="eastAsia" w:ascii="宋体" w:cs="宋体"/>
              </w:rPr>
              <w:t>管理制度</w:t>
            </w:r>
          </w:p>
          <w:p w14:paraId="75D44478">
            <w:pPr>
              <w:spacing w:line="240" w:lineRule="exact"/>
              <w:jc w:val="center"/>
              <w:rPr>
                <w:rFonts w:ascii="宋体" w:cs="宋体"/>
              </w:rPr>
            </w:pPr>
            <w:r>
              <w:rPr>
                <w:rFonts w:hint="eastAsia" w:ascii="宋体" w:cs="宋体"/>
              </w:rPr>
              <w:t>健全性（</w:t>
            </w:r>
            <w:r>
              <w:rPr>
                <w:rFonts w:ascii="宋体" w:cs="宋体"/>
              </w:rPr>
              <w:t>2</w:t>
            </w:r>
            <w:r>
              <w:rPr>
                <w:rFonts w:hint="eastAsia" w:ascii="宋体" w:cs="宋体"/>
              </w:rPr>
              <w:t>分）</w:t>
            </w:r>
          </w:p>
        </w:tc>
        <w:tc>
          <w:tcPr>
            <w:tcW w:w="375" w:type="pct"/>
          </w:tcPr>
          <w:p w14:paraId="290CE978">
            <w:pPr>
              <w:tabs>
                <w:tab w:val="left" w:pos="2604"/>
              </w:tabs>
              <w:spacing w:line="240" w:lineRule="exact"/>
              <w:ind w:left="105" w:leftChars="50" w:right="105" w:rightChars="50" w:firstLine="96" w:firstLineChars="46"/>
              <w:jc w:val="center"/>
              <w:rPr>
                <w:rFonts w:ascii="宋体" w:cs="宋体"/>
              </w:rPr>
            </w:pPr>
          </w:p>
          <w:p w14:paraId="3C83C2F9">
            <w:pPr>
              <w:tabs>
                <w:tab w:val="left" w:pos="2604"/>
              </w:tabs>
              <w:spacing w:line="240" w:lineRule="exact"/>
              <w:ind w:left="105" w:leftChars="50" w:right="105" w:rightChars="50" w:firstLine="96" w:firstLineChars="46"/>
              <w:jc w:val="center"/>
              <w:rPr>
                <w:rFonts w:ascii="宋体" w:cs="宋体"/>
              </w:rPr>
            </w:pPr>
          </w:p>
          <w:p w14:paraId="741B9DB3">
            <w:pPr>
              <w:tabs>
                <w:tab w:val="left" w:pos="2604"/>
              </w:tabs>
              <w:spacing w:line="240" w:lineRule="exact"/>
              <w:ind w:left="105" w:leftChars="50" w:right="105" w:rightChars="50" w:firstLine="96" w:firstLineChars="46"/>
              <w:jc w:val="center"/>
              <w:rPr>
                <w:rFonts w:ascii="宋体" w:cs="宋体"/>
              </w:rPr>
            </w:pPr>
          </w:p>
          <w:p w14:paraId="2BA52F76">
            <w:pPr>
              <w:tabs>
                <w:tab w:val="left" w:pos="2604"/>
              </w:tabs>
              <w:spacing w:line="240" w:lineRule="exact"/>
              <w:ind w:left="105" w:leftChars="50" w:right="105" w:rightChars="50" w:firstLine="96" w:firstLineChars="46"/>
              <w:jc w:val="center"/>
              <w:rPr>
                <w:rFonts w:ascii="宋体" w:cs="宋体"/>
              </w:rPr>
            </w:pPr>
          </w:p>
          <w:p w14:paraId="402AF1A2">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576" w:type="pct"/>
            <w:tcMar>
              <w:top w:w="10" w:type="dxa"/>
              <w:left w:w="10" w:type="dxa"/>
              <w:right w:w="10" w:type="dxa"/>
            </w:tcMar>
            <w:vAlign w:val="center"/>
          </w:tcPr>
          <w:p w14:paraId="41B88F65">
            <w:pPr>
              <w:tabs>
                <w:tab w:val="left" w:pos="2604"/>
              </w:tabs>
              <w:spacing w:line="240" w:lineRule="exact"/>
              <w:ind w:left="105" w:leftChars="50" w:right="105" w:rightChars="50" w:firstLine="96" w:firstLineChars="46"/>
              <w:rPr>
                <w:rFonts w:ascii="宋体" w:cs="宋体"/>
              </w:rPr>
            </w:pPr>
            <w:r>
              <w:rPr>
                <w:rFonts w:hint="eastAsia" w:ascii="宋体" w:cs="宋体"/>
              </w:rPr>
              <w:t>部门为加强预算管理、规范财务行为而制定的管理制度是否健全完整，用以反映和考核部门预算管理制度对完成主要职责或促进事业发展的保障情况。</w:t>
            </w:r>
          </w:p>
        </w:tc>
        <w:tc>
          <w:tcPr>
            <w:tcW w:w="1866" w:type="pct"/>
            <w:tcMar>
              <w:top w:w="10" w:type="dxa"/>
              <w:left w:w="10" w:type="dxa"/>
              <w:right w:w="10" w:type="dxa"/>
            </w:tcMar>
            <w:vAlign w:val="center"/>
          </w:tcPr>
          <w:p w14:paraId="68E7BAE7">
            <w:pPr>
              <w:spacing w:line="240" w:lineRule="exact"/>
              <w:ind w:left="105" w:leftChars="50" w:right="105" w:rightChars="50"/>
              <w:rPr>
                <w:rFonts w:hint="eastAsia" w:ascii="宋体" w:eastAsia="宋体" w:cs="宋体"/>
                <w:lang w:eastAsia="zh-CN"/>
              </w:rPr>
            </w:pPr>
            <w:r>
              <w:rPr>
                <w:rFonts w:hint="eastAsia" w:ascii="宋体" w:cs="宋体"/>
              </w:rPr>
              <w:t>评价要点：</w:t>
            </w:r>
          </w:p>
          <w:p w14:paraId="3295722D">
            <w:pPr>
              <w:spacing w:line="240" w:lineRule="exact"/>
              <w:ind w:left="105" w:leftChars="50" w:right="105" w:rightChars="50"/>
              <w:rPr>
                <w:rFonts w:hint="eastAsia" w:ascii="宋体" w:eastAsia="宋体" w:cs="宋体"/>
                <w:lang w:eastAsia="zh-CN"/>
              </w:rPr>
            </w:pPr>
            <w:r>
              <w:rPr>
                <w:rFonts w:hint="eastAsia" w:ascii="宋体" w:cs="宋体"/>
              </w:rPr>
              <w:t>①是否已制定或具有预算资金管理办法、内部财务管理制度、会计核算制度等管理制度；</w:t>
            </w:r>
          </w:p>
          <w:p w14:paraId="046EAE6E">
            <w:pPr>
              <w:spacing w:line="240" w:lineRule="exact"/>
              <w:ind w:left="105" w:leftChars="50" w:right="105" w:rightChars="50"/>
              <w:rPr>
                <w:rFonts w:hint="eastAsia" w:ascii="宋体" w:eastAsia="宋体" w:cs="宋体"/>
                <w:lang w:eastAsia="zh-CN"/>
              </w:rPr>
            </w:pPr>
            <w:r>
              <w:rPr>
                <w:rFonts w:hint="eastAsia" w:ascii="宋体" w:cs="宋体"/>
              </w:rPr>
              <w:t>②相关管理制度是否合法、合规、完整；</w:t>
            </w:r>
          </w:p>
          <w:p w14:paraId="05659088">
            <w:pPr>
              <w:spacing w:line="240" w:lineRule="exact"/>
              <w:ind w:left="105" w:leftChars="50" w:right="105" w:rightChars="50"/>
              <w:rPr>
                <w:rFonts w:ascii="宋体" w:cs="宋体"/>
              </w:rPr>
            </w:pPr>
            <w:r>
              <w:rPr>
                <w:rFonts w:hint="eastAsia" w:ascii="宋体" w:cs="宋体"/>
              </w:rPr>
              <w:t>③相关管理制度是否得到有效执行。</w:t>
            </w:r>
          </w:p>
        </w:tc>
      </w:tr>
      <w:tr w14:paraId="6B40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6" w:type="pct"/>
            <w:vMerge w:val="continue"/>
            <w:vAlign w:val="center"/>
          </w:tcPr>
          <w:p w14:paraId="6FC95E8A"/>
        </w:tc>
        <w:tc>
          <w:tcPr>
            <w:tcW w:w="375" w:type="pct"/>
            <w:vMerge w:val="continue"/>
            <w:vAlign w:val="center"/>
          </w:tcPr>
          <w:p w14:paraId="081C4D8A"/>
        </w:tc>
        <w:tc>
          <w:tcPr>
            <w:tcW w:w="500" w:type="pct"/>
            <w:tcMar>
              <w:top w:w="10" w:type="dxa"/>
              <w:left w:w="10" w:type="dxa"/>
              <w:right w:w="10" w:type="dxa"/>
            </w:tcMar>
            <w:vAlign w:val="center"/>
          </w:tcPr>
          <w:p w14:paraId="4F9C0B96">
            <w:pPr>
              <w:spacing w:line="240" w:lineRule="exact"/>
              <w:jc w:val="center"/>
              <w:rPr>
                <w:rFonts w:ascii="宋体" w:cs="宋体"/>
              </w:rPr>
            </w:pPr>
            <w:r>
              <w:rPr>
                <w:rFonts w:hint="eastAsia" w:ascii="宋体" w:cs="宋体"/>
              </w:rPr>
              <w:t>资金使用</w:t>
            </w:r>
          </w:p>
          <w:p w14:paraId="6BBB5900">
            <w:pPr>
              <w:spacing w:line="240" w:lineRule="exact"/>
              <w:jc w:val="center"/>
              <w:rPr>
                <w:rFonts w:ascii="宋体" w:cs="宋体"/>
              </w:rPr>
            </w:pPr>
            <w:r>
              <w:rPr>
                <w:rFonts w:hint="eastAsia" w:ascii="宋体" w:cs="宋体"/>
              </w:rPr>
              <w:t>合规性（</w:t>
            </w:r>
            <w:r>
              <w:rPr>
                <w:rFonts w:ascii="宋体" w:cs="宋体"/>
              </w:rPr>
              <w:t>1</w:t>
            </w:r>
            <w:r>
              <w:rPr>
                <w:rFonts w:hint="eastAsia" w:ascii="宋体" w:cs="宋体"/>
              </w:rPr>
              <w:t>分）</w:t>
            </w:r>
          </w:p>
        </w:tc>
        <w:tc>
          <w:tcPr>
            <w:tcW w:w="375" w:type="pct"/>
          </w:tcPr>
          <w:p w14:paraId="3AFA2651">
            <w:pPr>
              <w:tabs>
                <w:tab w:val="left" w:pos="2604"/>
              </w:tabs>
              <w:spacing w:line="240" w:lineRule="exact"/>
              <w:ind w:left="105" w:leftChars="50" w:right="105" w:rightChars="50" w:firstLine="96" w:firstLineChars="46"/>
              <w:jc w:val="center"/>
              <w:rPr>
                <w:rFonts w:ascii="宋体" w:cs="宋体"/>
              </w:rPr>
            </w:pPr>
          </w:p>
          <w:p w14:paraId="10D9B346">
            <w:pPr>
              <w:tabs>
                <w:tab w:val="left" w:pos="2604"/>
              </w:tabs>
              <w:spacing w:line="240" w:lineRule="exact"/>
              <w:ind w:left="105" w:leftChars="50" w:right="105" w:rightChars="50" w:firstLine="96" w:firstLineChars="46"/>
              <w:jc w:val="center"/>
              <w:rPr>
                <w:rFonts w:ascii="宋体" w:cs="宋体"/>
              </w:rPr>
            </w:pPr>
          </w:p>
          <w:p w14:paraId="6A4275B4">
            <w:pPr>
              <w:tabs>
                <w:tab w:val="left" w:pos="2604"/>
              </w:tabs>
              <w:spacing w:line="240" w:lineRule="exact"/>
              <w:ind w:left="105" w:leftChars="50" w:right="105" w:rightChars="50" w:firstLine="96" w:firstLineChars="46"/>
              <w:jc w:val="center"/>
              <w:rPr>
                <w:rFonts w:ascii="宋体" w:cs="宋体"/>
              </w:rPr>
            </w:pPr>
          </w:p>
          <w:p w14:paraId="4803F375">
            <w:pPr>
              <w:tabs>
                <w:tab w:val="left" w:pos="2604"/>
              </w:tabs>
              <w:spacing w:line="240" w:lineRule="exact"/>
              <w:ind w:left="105" w:leftChars="50" w:right="105" w:rightChars="50" w:firstLine="96" w:firstLineChars="46"/>
              <w:jc w:val="center"/>
              <w:rPr>
                <w:rFonts w:ascii="宋体" w:cs="宋体"/>
              </w:rPr>
            </w:pPr>
          </w:p>
          <w:p w14:paraId="6A35BE8A">
            <w:pPr>
              <w:tabs>
                <w:tab w:val="left" w:pos="2604"/>
              </w:tabs>
              <w:spacing w:line="240" w:lineRule="exact"/>
              <w:ind w:left="105" w:leftChars="50" w:right="105" w:rightChars="50" w:firstLine="96" w:firstLineChars="46"/>
              <w:jc w:val="center"/>
              <w:rPr>
                <w:rFonts w:ascii="宋体" w:cs="宋体"/>
              </w:rPr>
            </w:pPr>
          </w:p>
          <w:p w14:paraId="757B8B42">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14:paraId="481EDF0D">
            <w:pPr>
              <w:tabs>
                <w:tab w:val="left" w:pos="2604"/>
              </w:tabs>
              <w:spacing w:line="240" w:lineRule="exact"/>
              <w:ind w:left="105" w:leftChars="50" w:right="105" w:rightChars="50" w:firstLine="96" w:firstLineChars="46"/>
              <w:rPr>
                <w:rFonts w:ascii="宋体" w:cs="宋体"/>
              </w:rPr>
            </w:pPr>
            <w:r>
              <w:rPr>
                <w:rFonts w:hint="eastAsia" w:ascii="宋体" w:cs="宋体"/>
              </w:rPr>
              <w:t>部门使用预算资金是否符合相关的预算财务管理制度的规定，用以反映和考核部门预算资金的规范运行情况。</w:t>
            </w:r>
          </w:p>
        </w:tc>
        <w:tc>
          <w:tcPr>
            <w:tcW w:w="1866" w:type="pct"/>
            <w:tcMar>
              <w:top w:w="10" w:type="dxa"/>
              <w:left w:w="10" w:type="dxa"/>
              <w:right w:w="10" w:type="dxa"/>
            </w:tcMar>
            <w:vAlign w:val="center"/>
          </w:tcPr>
          <w:p w14:paraId="4D6A1D1A">
            <w:pPr>
              <w:spacing w:line="240" w:lineRule="exact"/>
              <w:ind w:left="105" w:leftChars="50" w:right="105" w:rightChars="50"/>
              <w:rPr>
                <w:rFonts w:hint="eastAsia" w:ascii="宋体" w:eastAsia="宋体" w:cs="宋体"/>
                <w:lang w:eastAsia="zh-CN"/>
              </w:rPr>
            </w:pPr>
            <w:r>
              <w:rPr>
                <w:rFonts w:hint="eastAsia" w:ascii="宋体" w:cs="宋体"/>
              </w:rPr>
              <w:t>评价要点：</w:t>
            </w:r>
          </w:p>
          <w:p w14:paraId="2E7FE438">
            <w:pPr>
              <w:spacing w:line="240" w:lineRule="exact"/>
              <w:ind w:left="105" w:leftChars="50" w:right="105" w:rightChars="50"/>
              <w:rPr>
                <w:rFonts w:hint="eastAsia" w:ascii="宋体" w:eastAsia="宋体" w:cs="宋体"/>
                <w:lang w:eastAsia="zh-CN"/>
              </w:rPr>
            </w:pPr>
            <w:r>
              <w:rPr>
                <w:rFonts w:hint="eastAsia" w:ascii="宋体" w:cs="宋体"/>
              </w:rPr>
              <w:t>①是否符合国家财经法规和财务管理制度规定以及有关预算支出管理办法的规定；</w:t>
            </w:r>
          </w:p>
          <w:p w14:paraId="4C4D0DA9">
            <w:pPr>
              <w:spacing w:line="240" w:lineRule="exact"/>
              <w:ind w:left="105" w:leftChars="50" w:right="105" w:rightChars="50"/>
              <w:rPr>
                <w:rFonts w:hint="eastAsia" w:ascii="宋体" w:eastAsia="宋体" w:cs="宋体"/>
                <w:lang w:eastAsia="zh-CN"/>
              </w:rPr>
            </w:pPr>
            <w:r>
              <w:rPr>
                <w:rFonts w:hint="eastAsia" w:ascii="宋体" w:cs="宋体"/>
              </w:rPr>
              <w:t>②资金的拨付是否有完整的审批程序和手续；</w:t>
            </w:r>
          </w:p>
          <w:p w14:paraId="15D1555E">
            <w:pPr>
              <w:spacing w:line="240" w:lineRule="exact"/>
              <w:ind w:left="105" w:leftChars="50" w:right="105" w:rightChars="50"/>
              <w:rPr>
                <w:rFonts w:hint="eastAsia" w:ascii="宋体" w:eastAsia="宋体" w:cs="宋体"/>
                <w:lang w:eastAsia="zh-CN"/>
              </w:rPr>
            </w:pPr>
            <w:r>
              <w:rPr>
                <w:rFonts w:hint="eastAsia" w:ascii="宋体" w:cs="宋体"/>
              </w:rPr>
              <w:t>③预算支出的重大开支是否经过评估论证；</w:t>
            </w:r>
          </w:p>
          <w:p w14:paraId="7EF45BE3">
            <w:pPr>
              <w:spacing w:line="240" w:lineRule="exact"/>
              <w:ind w:left="105" w:leftChars="50" w:right="105" w:rightChars="50"/>
              <w:rPr>
                <w:rFonts w:hint="eastAsia" w:ascii="宋体" w:eastAsia="宋体" w:cs="宋体"/>
                <w:lang w:eastAsia="zh-CN"/>
              </w:rPr>
            </w:pPr>
            <w:r>
              <w:rPr>
                <w:rFonts w:hint="eastAsia" w:ascii="宋体" w:cs="宋体"/>
              </w:rPr>
              <w:t>④是否符合部门预算批复的用途；</w:t>
            </w:r>
          </w:p>
          <w:p w14:paraId="1FE4B420">
            <w:pPr>
              <w:spacing w:line="240" w:lineRule="exact"/>
              <w:ind w:left="105" w:leftChars="50" w:right="105" w:rightChars="50"/>
              <w:rPr>
                <w:rFonts w:ascii="宋体" w:cs="宋体"/>
              </w:rPr>
            </w:pPr>
            <w:r>
              <w:rPr>
                <w:rFonts w:hint="eastAsia" w:ascii="宋体" w:cs="宋体"/>
              </w:rPr>
              <w:t>⑤是否存在截留、挤占、挪用、虚列支出等情况。</w:t>
            </w:r>
          </w:p>
        </w:tc>
      </w:tr>
      <w:tr w14:paraId="2C77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6" w:type="pct"/>
            <w:vMerge w:val="continue"/>
            <w:vAlign w:val="center"/>
          </w:tcPr>
          <w:p w14:paraId="27949EE7"/>
        </w:tc>
        <w:tc>
          <w:tcPr>
            <w:tcW w:w="375" w:type="pct"/>
            <w:vMerge w:val="continue"/>
            <w:vAlign w:val="center"/>
          </w:tcPr>
          <w:p w14:paraId="5E692D66"/>
        </w:tc>
        <w:tc>
          <w:tcPr>
            <w:tcW w:w="500" w:type="pct"/>
            <w:tcMar>
              <w:top w:w="10" w:type="dxa"/>
              <w:left w:w="10" w:type="dxa"/>
              <w:right w:w="10" w:type="dxa"/>
            </w:tcMar>
            <w:vAlign w:val="center"/>
          </w:tcPr>
          <w:p w14:paraId="20A9DFAF">
            <w:pPr>
              <w:spacing w:line="240" w:lineRule="exact"/>
              <w:jc w:val="center"/>
              <w:rPr>
                <w:rFonts w:ascii="宋体" w:cs="宋体"/>
              </w:rPr>
            </w:pPr>
            <w:r>
              <w:rPr>
                <w:rFonts w:hint="eastAsia" w:ascii="宋体" w:cs="宋体"/>
              </w:rPr>
              <w:t>预决算信</w:t>
            </w:r>
          </w:p>
          <w:p w14:paraId="4097AD61">
            <w:pPr>
              <w:spacing w:line="240" w:lineRule="exact"/>
              <w:jc w:val="center"/>
              <w:rPr>
                <w:rFonts w:ascii="宋体" w:cs="宋体"/>
              </w:rPr>
            </w:pPr>
            <w:r>
              <w:rPr>
                <w:rFonts w:hint="eastAsia" w:ascii="宋体" w:cs="宋体"/>
              </w:rPr>
              <w:t>息公开性（</w:t>
            </w:r>
            <w:r>
              <w:rPr>
                <w:rFonts w:ascii="宋体" w:cs="宋体"/>
              </w:rPr>
              <w:t>1</w:t>
            </w:r>
            <w:r>
              <w:rPr>
                <w:rFonts w:hint="eastAsia" w:ascii="宋体" w:cs="宋体"/>
              </w:rPr>
              <w:t>分）</w:t>
            </w:r>
          </w:p>
        </w:tc>
        <w:tc>
          <w:tcPr>
            <w:tcW w:w="375" w:type="pct"/>
          </w:tcPr>
          <w:p w14:paraId="1C769ACD">
            <w:pPr>
              <w:tabs>
                <w:tab w:val="left" w:pos="2604"/>
              </w:tabs>
              <w:spacing w:line="240" w:lineRule="exact"/>
              <w:ind w:left="105" w:leftChars="50" w:right="105" w:rightChars="50" w:firstLine="96" w:firstLineChars="46"/>
              <w:jc w:val="center"/>
              <w:rPr>
                <w:rFonts w:ascii="宋体" w:cs="宋体"/>
              </w:rPr>
            </w:pPr>
          </w:p>
          <w:p w14:paraId="33BB3225">
            <w:pPr>
              <w:tabs>
                <w:tab w:val="left" w:pos="2604"/>
              </w:tabs>
              <w:spacing w:line="240" w:lineRule="exact"/>
              <w:ind w:left="105" w:leftChars="50" w:right="105" w:rightChars="50" w:firstLine="96" w:firstLineChars="46"/>
              <w:jc w:val="center"/>
              <w:rPr>
                <w:rFonts w:ascii="宋体" w:cs="宋体"/>
              </w:rPr>
            </w:pPr>
          </w:p>
          <w:p w14:paraId="761FACB0">
            <w:pPr>
              <w:tabs>
                <w:tab w:val="left" w:pos="2604"/>
              </w:tabs>
              <w:spacing w:line="240" w:lineRule="exact"/>
              <w:ind w:left="105" w:leftChars="50" w:right="105" w:rightChars="50" w:firstLine="96" w:firstLineChars="46"/>
              <w:jc w:val="center"/>
              <w:rPr>
                <w:rFonts w:ascii="宋体" w:cs="宋体"/>
              </w:rPr>
            </w:pPr>
          </w:p>
          <w:p w14:paraId="26FAC815">
            <w:pPr>
              <w:tabs>
                <w:tab w:val="left" w:pos="2604"/>
              </w:tabs>
              <w:spacing w:line="240" w:lineRule="exact"/>
              <w:ind w:left="105" w:leftChars="50" w:right="105" w:rightChars="50" w:firstLine="96" w:firstLineChars="46"/>
              <w:jc w:val="center"/>
              <w:rPr>
                <w:rFonts w:ascii="宋体" w:cs="宋体"/>
              </w:rPr>
            </w:pPr>
          </w:p>
          <w:p w14:paraId="7800BA55">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14:paraId="4E4DAA85">
            <w:pPr>
              <w:tabs>
                <w:tab w:val="left" w:pos="2604"/>
              </w:tabs>
              <w:spacing w:line="240" w:lineRule="exact"/>
              <w:ind w:left="105" w:leftChars="50" w:right="105" w:rightChars="50" w:firstLine="96" w:firstLineChars="46"/>
              <w:rPr>
                <w:rFonts w:ascii="宋体" w:cs="宋体"/>
              </w:rPr>
            </w:pPr>
            <w:r>
              <w:rPr>
                <w:rFonts w:hint="eastAsia" w:ascii="宋体" w:cs="宋体"/>
              </w:rPr>
              <w:t>部门是否按照政府信息公开有关规定公开相关预决算信息，用以反映和考核部门预决算管理的公开透明情况。</w:t>
            </w:r>
          </w:p>
        </w:tc>
        <w:tc>
          <w:tcPr>
            <w:tcW w:w="1866" w:type="pct"/>
            <w:tcMar>
              <w:top w:w="10" w:type="dxa"/>
              <w:left w:w="10" w:type="dxa"/>
              <w:right w:w="10" w:type="dxa"/>
            </w:tcMar>
            <w:vAlign w:val="center"/>
          </w:tcPr>
          <w:p w14:paraId="6E106394">
            <w:pPr>
              <w:spacing w:line="240" w:lineRule="exact"/>
              <w:ind w:left="105" w:leftChars="50" w:right="105" w:rightChars="50"/>
              <w:rPr>
                <w:rFonts w:hint="eastAsia" w:ascii="宋体" w:eastAsia="宋体" w:cs="宋体"/>
                <w:lang w:eastAsia="zh-CN"/>
              </w:rPr>
            </w:pPr>
            <w:r>
              <w:rPr>
                <w:rFonts w:hint="eastAsia" w:ascii="宋体" w:cs="宋体"/>
              </w:rPr>
              <w:t>评价要点：</w:t>
            </w:r>
          </w:p>
          <w:p w14:paraId="2888E3CF">
            <w:pPr>
              <w:spacing w:line="240" w:lineRule="exact"/>
              <w:ind w:left="105" w:leftChars="50" w:right="105" w:rightChars="50"/>
              <w:rPr>
                <w:rFonts w:hint="eastAsia" w:ascii="宋体" w:eastAsia="宋体" w:cs="宋体"/>
                <w:lang w:eastAsia="zh-CN"/>
              </w:rPr>
            </w:pPr>
            <w:r>
              <w:rPr>
                <w:rFonts w:hint="eastAsia" w:ascii="宋体" w:cs="宋体"/>
              </w:rPr>
              <w:t>①是否按规定内容公开预决算信息；</w:t>
            </w:r>
          </w:p>
          <w:p w14:paraId="11E321AC">
            <w:pPr>
              <w:spacing w:line="240" w:lineRule="exact"/>
              <w:ind w:left="105" w:leftChars="50" w:right="105" w:rightChars="50"/>
              <w:rPr>
                <w:rFonts w:hint="eastAsia" w:ascii="宋体" w:eastAsia="宋体" w:cs="宋体"/>
                <w:lang w:eastAsia="zh-CN"/>
              </w:rPr>
            </w:pPr>
            <w:r>
              <w:rPr>
                <w:rFonts w:hint="eastAsia" w:ascii="宋体" w:cs="宋体"/>
              </w:rPr>
              <w:t>②是否按规定时限公开预决算信息。</w:t>
            </w:r>
          </w:p>
          <w:p w14:paraId="3639BAE4">
            <w:pPr>
              <w:spacing w:line="240" w:lineRule="exact"/>
              <w:ind w:left="105" w:leftChars="50" w:right="105" w:rightChars="50"/>
              <w:rPr>
                <w:rFonts w:ascii="宋体" w:cs="宋体"/>
              </w:rPr>
            </w:pPr>
            <w:r>
              <w:rPr>
                <w:rFonts w:hint="eastAsia" w:ascii="宋体" w:cs="宋体"/>
              </w:rPr>
              <w:t>预决算信息是指与部门预算、执行、决算、监督、绩效等管理相关的信息。</w:t>
            </w:r>
          </w:p>
        </w:tc>
      </w:tr>
      <w:tr w14:paraId="104B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6" w:type="pct"/>
            <w:vMerge w:val="continue"/>
            <w:vAlign w:val="center"/>
          </w:tcPr>
          <w:p w14:paraId="6665B09E"/>
        </w:tc>
        <w:tc>
          <w:tcPr>
            <w:tcW w:w="375" w:type="pct"/>
            <w:vMerge w:val="continue"/>
            <w:vAlign w:val="center"/>
          </w:tcPr>
          <w:p w14:paraId="35550911"/>
        </w:tc>
        <w:tc>
          <w:tcPr>
            <w:tcW w:w="500" w:type="pct"/>
            <w:tcMar>
              <w:top w:w="10" w:type="dxa"/>
              <w:left w:w="10" w:type="dxa"/>
              <w:right w:w="10" w:type="dxa"/>
            </w:tcMar>
            <w:vAlign w:val="center"/>
          </w:tcPr>
          <w:p w14:paraId="0C4AE5AB">
            <w:pPr>
              <w:spacing w:line="240" w:lineRule="exact"/>
              <w:jc w:val="center"/>
              <w:rPr>
                <w:rFonts w:ascii="宋体" w:cs="宋体"/>
              </w:rPr>
            </w:pPr>
            <w:r>
              <w:rPr>
                <w:rFonts w:hint="eastAsia" w:ascii="宋体" w:cs="宋体"/>
              </w:rPr>
              <w:t>基础信息</w:t>
            </w:r>
          </w:p>
          <w:p w14:paraId="4B00A019">
            <w:pPr>
              <w:spacing w:line="240" w:lineRule="exact"/>
              <w:jc w:val="center"/>
              <w:rPr>
                <w:rFonts w:ascii="宋体" w:cs="宋体"/>
              </w:rPr>
            </w:pPr>
            <w:r>
              <w:rPr>
                <w:rFonts w:hint="eastAsia" w:ascii="宋体" w:cs="宋体"/>
              </w:rPr>
              <w:t>完善性（</w:t>
            </w:r>
            <w:r>
              <w:rPr>
                <w:rFonts w:ascii="宋体" w:cs="宋体"/>
              </w:rPr>
              <w:t>1</w:t>
            </w:r>
            <w:r>
              <w:rPr>
                <w:rFonts w:hint="eastAsia" w:ascii="宋体" w:cs="宋体"/>
              </w:rPr>
              <w:t>分）</w:t>
            </w:r>
          </w:p>
        </w:tc>
        <w:tc>
          <w:tcPr>
            <w:tcW w:w="375" w:type="pct"/>
          </w:tcPr>
          <w:p w14:paraId="22864440">
            <w:pPr>
              <w:tabs>
                <w:tab w:val="left" w:pos="2604"/>
              </w:tabs>
              <w:spacing w:line="240" w:lineRule="exact"/>
              <w:ind w:left="105" w:leftChars="50" w:right="105" w:rightChars="50" w:firstLine="96" w:firstLineChars="46"/>
              <w:jc w:val="center"/>
              <w:rPr>
                <w:rFonts w:ascii="宋体" w:cs="宋体"/>
              </w:rPr>
            </w:pPr>
          </w:p>
          <w:p w14:paraId="74E2FCCE">
            <w:pPr>
              <w:tabs>
                <w:tab w:val="left" w:pos="2604"/>
              </w:tabs>
              <w:spacing w:line="240" w:lineRule="exact"/>
              <w:ind w:left="105" w:leftChars="50" w:right="105" w:rightChars="50" w:firstLine="96" w:firstLineChars="46"/>
              <w:jc w:val="center"/>
              <w:rPr>
                <w:rFonts w:ascii="宋体" w:cs="宋体"/>
              </w:rPr>
            </w:pPr>
          </w:p>
          <w:p w14:paraId="4428B8DE">
            <w:pPr>
              <w:tabs>
                <w:tab w:val="left" w:pos="2604"/>
              </w:tabs>
              <w:spacing w:line="240" w:lineRule="exact"/>
              <w:ind w:left="105" w:leftChars="50" w:right="105" w:rightChars="50" w:firstLine="96" w:firstLineChars="46"/>
              <w:jc w:val="center"/>
              <w:rPr>
                <w:rFonts w:ascii="宋体" w:cs="宋体"/>
              </w:rPr>
            </w:pPr>
          </w:p>
          <w:p w14:paraId="11DF644A">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p w14:paraId="43DE8931">
            <w:pPr>
              <w:tabs>
                <w:tab w:val="left" w:pos="2604"/>
              </w:tabs>
              <w:spacing w:line="240" w:lineRule="exact"/>
              <w:ind w:left="105" w:leftChars="50" w:right="105" w:rightChars="50" w:firstLine="96" w:firstLineChars="46"/>
              <w:jc w:val="center"/>
              <w:rPr>
                <w:rFonts w:ascii="宋体" w:cs="宋体"/>
              </w:rPr>
            </w:pPr>
          </w:p>
          <w:p w14:paraId="051471AC">
            <w:pPr>
              <w:tabs>
                <w:tab w:val="left" w:pos="2604"/>
              </w:tabs>
              <w:spacing w:line="240" w:lineRule="exact"/>
              <w:ind w:left="105" w:leftChars="50" w:right="105" w:rightChars="50" w:firstLine="96" w:firstLineChars="46"/>
              <w:jc w:val="center"/>
              <w:rPr>
                <w:rFonts w:ascii="宋体" w:cs="宋体"/>
              </w:rPr>
            </w:pPr>
          </w:p>
          <w:p w14:paraId="4B9E5B3B">
            <w:pPr>
              <w:tabs>
                <w:tab w:val="left" w:pos="2604"/>
              </w:tabs>
              <w:spacing w:line="240" w:lineRule="exact"/>
              <w:ind w:left="105" w:leftChars="50" w:right="105" w:rightChars="50" w:firstLine="96" w:firstLineChars="46"/>
              <w:jc w:val="center"/>
              <w:rPr>
                <w:rFonts w:ascii="宋体" w:cs="宋体"/>
              </w:rPr>
            </w:pPr>
          </w:p>
        </w:tc>
        <w:tc>
          <w:tcPr>
            <w:tcW w:w="1576" w:type="pct"/>
            <w:tcMar>
              <w:top w:w="10" w:type="dxa"/>
              <w:left w:w="10" w:type="dxa"/>
              <w:right w:w="10" w:type="dxa"/>
            </w:tcMar>
            <w:vAlign w:val="center"/>
          </w:tcPr>
          <w:p w14:paraId="15E228D8">
            <w:pPr>
              <w:tabs>
                <w:tab w:val="left" w:pos="2604"/>
              </w:tabs>
              <w:spacing w:line="240" w:lineRule="exact"/>
              <w:ind w:left="105" w:leftChars="50" w:right="105" w:rightChars="50" w:firstLine="96" w:firstLineChars="46"/>
              <w:rPr>
                <w:rFonts w:ascii="宋体" w:cs="宋体"/>
              </w:rPr>
            </w:pPr>
            <w:r>
              <w:rPr>
                <w:rFonts w:hint="eastAsia" w:ascii="宋体" w:cs="宋体"/>
              </w:rPr>
              <w:t>部门基础信息是否完善，用以反映和考核基础信息对预算管理工作的支撑情况。</w:t>
            </w:r>
          </w:p>
        </w:tc>
        <w:tc>
          <w:tcPr>
            <w:tcW w:w="1866" w:type="pct"/>
            <w:tcMar>
              <w:top w:w="10" w:type="dxa"/>
              <w:left w:w="10" w:type="dxa"/>
              <w:right w:w="10" w:type="dxa"/>
            </w:tcMar>
            <w:vAlign w:val="center"/>
          </w:tcPr>
          <w:p w14:paraId="5A45D3B5">
            <w:pPr>
              <w:spacing w:line="240" w:lineRule="exact"/>
              <w:ind w:left="105" w:leftChars="50" w:right="105" w:rightChars="50"/>
              <w:rPr>
                <w:rFonts w:hint="eastAsia" w:ascii="宋体" w:eastAsia="宋体" w:cs="宋体"/>
                <w:lang w:eastAsia="zh-CN"/>
              </w:rPr>
            </w:pPr>
            <w:r>
              <w:rPr>
                <w:rFonts w:hint="eastAsia" w:ascii="宋体" w:cs="宋体"/>
              </w:rPr>
              <w:t>评价要点：</w:t>
            </w:r>
          </w:p>
          <w:p w14:paraId="7C85C78A">
            <w:pPr>
              <w:spacing w:line="240" w:lineRule="exact"/>
              <w:ind w:left="105" w:leftChars="50" w:right="105" w:rightChars="50"/>
              <w:rPr>
                <w:rFonts w:hint="eastAsia" w:ascii="宋体" w:eastAsia="宋体" w:cs="宋体"/>
                <w:lang w:eastAsia="zh-CN"/>
              </w:rPr>
            </w:pPr>
            <w:r>
              <w:rPr>
                <w:rFonts w:hint="eastAsia" w:ascii="宋体" w:cs="宋体"/>
              </w:rPr>
              <w:t>①基础数据信息和会计信息资料是否真实；</w:t>
            </w:r>
          </w:p>
          <w:p w14:paraId="64FB8641">
            <w:pPr>
              <w:spacing w:line="240" w:lineRule="exact"/>
              <w:ind w:left="105" w:leftChars="50" w:right="105" w:rightChars="50"/>
              <w:rPr>
                <w:rFonts w:hint="eastAsia" w:ascii="宋体" w:eastAsia="宋体" w:cs="宋体"/>
                <w:lang w:eastAsia="zh-CN"/>
              </w:rPr>
            </w:pPr>
            <w:r>
              <w:rPr>
                <w:rFonts w:hint="eastAsia" w:ascii="宋体" w:cs="宋体"/>
              </w:rPr>
              <w:t>②基础数据信息和会计信息资料是否完整；</w:t>
            </w:r>
          </w:p>
          <w:p w14:paraId="56C519A9">
            <w:pPr>
              <w:spacing w:line="240" w:lineRule="exact"/>
              <w:ind w:left="105" w:leftChars="50" w:right="105" w:rightChars="50"/>
              <w:rPr>
                <w:rFonts w:ascii="宋体" w:cs="宋体"/>
              </w:rPr>
            </w:pPr>
            <w:r>
              <w:rPr>
                <w:rFonts w:hint="eastAsia" w:ascii="宋体" w:cs="宋体"/>
              </w:rPr>
              <w:t>③基础数据信息和会计信息资料是否准确。</w:t>
            </w:r>
          </w:p>
        </w:tc>
      </w:tr>
      <w:tr w14:paraId="1E3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6" w:type="pct"/>
            <w:vMerge w:val="continue"/>
            <w:noWrap/>
            <w:tcMar>
              <w:top w:w="10" w:type="dxa"/>
              <w:left w:w="10" w:type="dxa"/>
              <w:right w:w="10" w:type="dxa"/>
            </w:tcMar>
            <w:textDirection w:val="tbRlV"/>
            <w:vAlign w:val="center"/>
          </w:tcPr>
          <w:p w14:paraId="0AB1A564"/>
        </w:tc>
        <w:tc>
          <w:tcPr>
            <w:tcW w:w="375" w:type="pct"/>
            <w:vMerge w:val="restart"/>
            <w:tcMar>
              <w:top w:w="10" w:type="dxa"/>
              <w:left w:w="10" w:type="dxa"/>
              <w:right w:w="10" w:type="dxa"/>
            </w:tcMar>
            <w:vAlign w:val="center"/>
          </w:tcPr>
          <w:p w14:paraId="71C7C5A5">
            <w:pPr>
              <w:spacing w:line="240" w:lineRule="exact"/>
              <w:jc w:val="center"/>
              <w:rPr>
                <w:rFonts w:hint="eastAsia" w:ascii="宋体" w:eastAsia="宋体" w:cs="宋体"/>
                <w:lang w:eastAsia="zh-CN"/>
              </w:rPr>
            </w:pPr>
            <w:r>
              <w:rPr>
                <w:rFonts w:hint="eastAsia" w:ascii="宋体" w:cs="宋体"/>
              </w:rPr>
              <w:t>资产</w:t>
            </w:r>
          </w:p>
          <w:p w14:paraId="365D85BF">
            <w:pPr>
              <w:spacing w:line="240" w:lineRule="exact"/>
              <w:jc w:val="center"/>
              <w:rPr>
                <w:rFonts w:ascii="宋体" w:cs="宋体"/>
              </w:rPr>
            </w:pPr>
            <w:r>
              <w:rPr>
                <w:rFonts w:hint="eastAsia" w:ascii="宋体" w:cs="宋体"/>
              </w:rPr>
              <w:t>管理（</w:t>
            </w:r>
            <w:r>
              <w:rPr>
                <w:rFonts w:ascii="宋体" w:cs="宋体"/>
              </w:rPr>
              <w:t>5</w:t>
            </w:r>
            <w:r>
              <w:rPr>
                <w:rFonts w:hint="eastAsia" w:ascii="宋体" w:cs="宋体"/>
              </w:rPr>
              <w:t>分）</w:t>
            </w:r>
          </w:p>
        </w:tc>
        <w:tc>
          <w:tcPr>
            <w:tcW w:w="500" w:type="pct"/>
            <w:tcMar>
              <w:top w:w="10" w:type="dxa"/>
              <w:left w:w="10" w:type="dxa"/>
              <w:right w:w="10" w:type="dxa"/>
            </w:tcMar>
            <w:vAlign w:val="center"/>
          </w:tcPr>
          <w:p w14:paraId="1079C4AC">
            <w:pPr>
              <w:spacing w:line="240" w:lineRule="exact"/>
              <w:jc w:val="center"/>
              <w:rPr>
                <w:rFonts w:ascii="宋体" w:cs="宋体"/>
              </w:rPr>
            </w:pPr>
            <w:r>
              <w:rPr>
                <w:rFonts w:hint="eastAsia" w:ascii="宋体" w:cs="宋体"/>
              </w:rPr>
              <w:t>管理制度</w:t>
            </w:r>
          </w:p>
          <w:p w14:paraId="6477DFA9">
            <w:pPr>
              <w:spacing w:line="240" w:lineRule="exact"/>
              <w:jc w:val="center"/>
              <w:rPr>
                <w:rFonts w:ascii="宋体" w:cs="宋体"/>
              </w:rPr>
            </w:pPr>
            <w:r>
              <w:rPr>
                <w:rFonts w:hint="eastAsia" w:ascii="宋体" w:cs="宋体"/>
              </w:rPr>
              <w:t>健全性（</w:t>
            </w:r>
            <w:r>
              <w:rPr>
                <w:rFonts w:ascii="宋体" w:cs="宋体"/>
              </w:rPr>
              <w:t>2</w:t>
            </w:r>
            <w:r>
              <w:rPr>
                <w:rFonts w:hint="eastAsia" w:ascii="宋体" w:cs="宋体"/>
              </w:rPr>
              <w:t>分）</w:t>
            </w:r>
          </w:p>
        </w:tc>
        <w:tc>
          <w:tcPr>
            <w:tcW w:w="375" w:type="pct"/>
          </w:tcPr>
          <w:p w14:paraId="7E68DAF4">
            <w:pPr>
              <w:tabs>
                <w:tab w:val="left" w:pos="2604"/>
              </w:tabs>
              <w:spacing w:line="240" w:lineRule="exact"/>
              <w:ind w:left="105" w:leftChars="50" w:right="105" w:rightChars="50" w:firstLine="96" w:firstLineChars="46"/>
              <w:jc w:val="center"/>
              <w:rPr>
                <w:rFonts w:ascii="宋体" w:cs="宋体"/>
              </w:rPr>
            </w:pPr>
          </w:p>
          <w:p w14:paraId="22A2C79B">
            <w:pPr>
              <w:tabs>
                <w:tab w:val="left" w:pos="2604"/>
              </w:tabs>
              <w:spacing w:line="240" w:lineRule="exact"/>
              <w:ind w:left="105" w:leftChars="50" w:right="105" w:rightChars="50" w:firstLine="96" w:firstLineChars="46"/>
              <w:jc w:val="center"/>
              <w:rPr>
                <w:rFonts w:ascii="宋体" w:cs="宋体"/>
              </w:rPr>
            </w:pPr>
          </w:p>
          <w:p w14:paraId="3B30C38B">
            <w:pPr>
              <w:tabs>
                <w:tab w:val="left" w:pos="2604"/>
              </w:tabs>
              <w:spacing w:line="240" w:lineRule="exact"/>
              <w:ind w:left="105" w:leftChars="50" w:right="105" w:rightChars="50" w:firstLine="96" w:firstLineChars="46"/>
              <w:jc w:val="center"/>
              <w:rPr>
                <w:rFonts w:ascii="宋体" w:cs="宋体"/>
              </w:rPr>
            </w:pPr>
          </w:p>
          <w:p w14:paraId="16B3C245">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p w14:paraId="0C394872">
            <w:pPr>
              <w:tabs>
                <w:tab w:val="left" w:pos="2604"/>
              </w:tabs>
              <w:spacing w:line="240" w:lineRule="exact"/>
              <w:ind w:left="105" w:leftChars="50" w:right="105" w:rightChars="50" w:firstLine="96" w:firstLineChars="46"/>
              <w:jc w:val="center"/>
              <w:rPr>
                <w:rFonts w:ascii="宋体" w:cs="宋体"/>
              </w:rPr>
            </w:pPr>
          </w:p>
          <w:p w14:paraId="25627163">
            <w:pPr>
              <w:tabs>
                <w:tab w:val="left" w:pos="2604"/>
              </w:tabs>
              <w:spacing w:line="240" w:lineRule="exact"/>
              <w:ind w:right="105" w:rightChars="50"/>
              <w:rPr>
                <w:rFonts w:ascii="宋体" w:cs="宋体"/>
              </w:rPr>
            </w:pPr>
          </w:p>
        </w:tc>
        <w:tc>
          <w:tcPr>
            <w:tcW w:w="1576" w:type="pct"/>
            <w:tcMar>
              <w:top w:w="10" w:type="dxa"/>
              <w:left w:w="10" w:type="dxa"/>
              <w:right w:w="10" w:type="dxa"/>
            </w:tcMar>
            <w:vAlign w:val="center"/>
          </w:tcPr>
          <w:p w14:paraId="35465A4A">
            <w:pPr>
              <w:tabs>
                <w:tab w:val="left" w:pos="2604"/>
              </w:tabs>
              <w:spacing w:line="240" w:lineRule="exact"/>
              <w:ind w:left="105" w:leftChars="50" w:right="105" w:rightChars="50" w:firstLine="96" w:firstLineChars="46"/>
              <w:rPr>
                <w:rFonts w:ascii="宋体" w:cs="宋体"/>
              </w:rPr>
            </w:pPr>
            <w:r>
              <w:rPr>
                <w:rFonts w:hint="eastAsia" w:ascii="宋体" w:cs="宋体"/>
              </w:rPr>
              <w:t>部门为加强资产管理、规范资产管理行为而制定的管理制度是否健全完整，用以反映和考核部门资产管理制度对完成主要职责或促进社会发展的保障情况。</w:t>
            </w:r>
          </w:p>
        </w:tc>
        <w:tc>
          <w:tcPr>
            <w:tcW w:w="1866" w:type="pct"/>
            <w:tcMar>
              <w:top w:w="10" w:type="dxa"/>
              <w:left w:w="10" w:type="dxa"/>
              <w:right w:w="10" w:type="dxa"/>
            </w:tcMar>
            <w:vAlign w:val="center"/>
          </w:tcPr>
          <w:p w14:paraId="1699F76A">
            <w:pPr>
              <w:spacing w:line="240" w:lineRule="exact"/>
              <w:ind w:left="105" w:leftChars="50" w:right="105" w:rightChars="50"/>
              <w:rPr>
                <w:rFonts w:hint="eastAsia" w:ascii="宋体" w:eastAsia="宋体" w:cs="宋体"/>
                <w:lang w:eastAsia="zh-CN"/>
              </w:rPr>
            </w:pPr>
            <w:r>
              <w:rPr>
                <w:rFonts w:hint="eastAsia" w:ascii="宋体" w:cs="宋体"/>
              </w:rPr>
              <w:t>评价要点：</w:t>
            </w:r>
          </w:p>
          <w:p w14:paraId="5610BC22">
            <w:pPr>
              <w:spacing w:line="240" w:lineRule="exact"/>
              <w:ind w:left="105" w:leftChars="50" w:right="105" w:rightChars="50"/>
              <w:rPr>
                <w:rFonts w:hint="eastAsia" w:ascii="宋体" w:eastAsia="宋体" w:cs="宋体"/>
                <w:lang w:eastAsia="zh-CN"/>
              </w:rPr>
            </w:pPr>
            <w:r>
              <w:rPr>
                <w:rFonts w:hint="eastAsia" w:ascii="宋体" w:cs="宋体"/>
              </w:rPr>
              <w:t>①是否已制定或具有资产管理制度；</w:t>
            </w:r>
            <w:r>
              <w:rPr>
                <w:rFonts w:ascii="宋体" w:cs="宋体"/>
              </w:rPr>
              <w:t xml:space="preserve">           </w:t>
            </w:r>
            <w:r>
              <w:rPr>
                <w:rFonts w:hint="eastAsia" w:ascii="宋体" w:cs="宋体"/>
              </w:rPr>
              <w:t>②相关资金管理制度是否合法、合规、完整；</w:t>
            </w:r>
          </w:p>
          <w:p w14:paraId="2405071B">
            <w:pPr>
              <w:spacing w:line="240" w:lineRule="exact"/>
              <w:ind w:left="105" w:leftChars="50" w:right="105" w:rightChars="50"/>
              <w:rPr>
                <w:rFonts w:ascii="宋体" w:cs="宋体"/>
              </w:rPr>
            </w:pPr>
            <w:r>
              <w:rPr>
                <w:rFonts w:hint="eastAsia" w:ascii="宋体" w:cs="宋体"/>
              </w:rPr>
              <w:t>③相关资产管理制度是否得到有效执行。</w:t>
            </w:r>
          </w:p>
        </w:tc>
      </w:tr>
      <w:tr w14:paraId="2E90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6" w:type="pct"/>
            <w:vMerge w:val="continue"/>
            <w:vAlign w:val="center"/>
          </w:tcPr>
          <w:p w14:paraId="6C419450"/>
        </w:tc>
        <w:tc>
          <w:tcPr>
            <w:tcW w:w="375" w:type="pct"/>
            <w:vMerge w:val="continue"/>
            <w:vAlign w:val="center"/>
          </w:tcPr>
          <w:p w14:paraId="4BF393AD"/>
        </w:tc>
        <w:tc>
          <w:tcPr>
            <w:tcW w:w="500" w:type="pct"/>
            <w:tcMar>
              <w:top w:w="10" w:type="dxa"/>
              <w:left w:w="10" w:type="dxa"/>
              <w:right w:w="10" w:type="dxa"/>
            </w:tcMar>
            <w:vAlign w:val="center"/>
          </w:tcPr>
          <w:p w14:paraId="228E852B">
            <w:pPr>
              <w:spacing w:line="240" w:lineRule="exact"/>
              <w:jc w:val="center"/>
              <w:rPr>
                <w:rFonts w:ascii="宋体" w:cs="宋体"/>
              </w:rPr>
            </w:pPr>
            <w:r>
              <w:rPr>
                <w:rFonts w:hint="eastAsia" w:ascii="宋体" w:cs="宋体"/>
              </w:rPr>
              <w:t>资产管理</w:t>
            </w:r>
          </w:p>
          <w:p w14:paraId="695CB80B">
            <w:pPr>
              <w:spacing w:line="240" w:lineRule="exact"/>
              <w:jc w:val="center"/>
              <w:rPr>
                <w:rFonts w:ascii="宋体" w:cs="宋体"/>
              </w:rPr>
            </w:pPr>
            <w:r>
              <w:rPr>
                <w:rFonts w:hint="eastAsia" w:ascii="宋体" w:cs="宋体"/>
              </w:rPr>
              <w:t>安全性（</w:t>
            </w:r>
            <w:r>
              <w:rPr>
                <w:rFonts w:ascii="宋体" w:cs="宋体"/>
              </w:rPr>
              <w:t>2</w:t>
            </w:r>
            <w:r>
              <w:rPr>
                <w:rFonts w:hint="eastAsia" w:ascii="宋体" w:cs="宋体"/>
              </w:rPr>
              <w:t>分）</w:t>
            </w:r>
          </w:p>
        </w:tc>
        <w:tc>
          <w:tcPr>
            <w:tcW w:w="375" w:type="pct"/>
          </w:tcPr>
          <w:p w14:paraId="4E6928A6">
            <w:pPr>
              <w:tabs>
                <w:tab w:val="left" w:pos="761"/>
                <w:tab w:val="left" w:pos="2604"/>
              </w:tabs>
              <w:spacing w:line="240" w:lineRule="exact"/>
              <w:ind w:left="105" w:leftChars="50" w:right="105" w:rightChars="50" w:firstLine="96" w:firstLineChars="46"/>
              <w:jc w:val="center"/>
              <w:rPr>
                <w:rFonts w:ascii="宋体" w:cs="宋体"/>
              </w:rPr>
            </w:pPr>
          </w:p>
          <w:p w14:paraId="4C5E4D83">
            <w:pPr>
              <w:tabs>
                <w:tab w:val="left" w:pos="761"/>
                <w:tab w:val="left" w:pos="2604"/>
              </w:tabs>
              <w:spacing w:line="240" w:lineRule="exact"/>
              <w:ind w:left="105" w:leftChars="50" w:right="105" w:rightChars="50" w:firstLine="96" w:firstLineChars="46"/>
              <w:jc w:val="center"/>
              <w:rPr>
                <w:rFonts w:ascii="宋体" w:cs="宋体"/>
              </w:rPr>
            </w:pPr>
          </w:p>
          <w:p w14:paraId="163DE762">
            <w:pPr>
              <w:tabs>
                <w:tab w:val="left" w:pos="761"/>
                <w:tab w:val="left" w:pos="2604"/>
              </w:tabs>
              <w:spacing w:line="240" w:lineRule="exact"/>
              <w:ind w:left="105" w:leftChars="50" w:right="105" w:rightChars="50" w:firstLine="96" w:firstLineChars="46"/>
              <w:jc w:val="center"/>
              <w:rPr>
                <w:rFonts w:ascii="宋体" w:cs="宋体"/>
              </w:rPr>
            </w:pPr>
          </w:p>
          <w:p w14:paraId="7C3D0607">
            <w:pPr>
              <w:tabs>
                <w:tab w:val="left" w:pos="761"/>
                <w:tab w:val="left" w:pos="2604"/>
              </w:tabs>
              <w:spacing w:line="240" w:lineRule="exact"/>
              <w:ind w:left="105" w:leftChars="50" w:right="105" w:rightChars="50" w:firstLine="96" w:firstLineChars="46"/>
              <w:jc w:val="center"/>
              <w:rPr>
                <w:rFonts w:ascii="宋体" w:cs="宋体"/>
              </w:rPr>
            </w:pPr>
            <w:r>
              <w:rPr>
                <w:rFonts w:hint="eastAsia" w:ascii="宋体" w:cs="宋体"/>
              </w:rPr>
              <w:t>2</w:t>
            </w:r>
          </w:p>
          <w:p w14:paraId="30C6D908">
            <w:pPr>
              <w:tabs>
                <w:tab w:val="left" w:pos="761"/>
                <w:tab w:val="left" w:pos="2604"/>
              </w:tabs>
              <w:spacing w:line="240" w:lineRule="exact"/>
              <w:ind w:left="105" w:leftChars="50" w:right="105" w:rightChars="50" w:firstLine="96" w:firstLineChars="46"/>
              <w:jc w:val="center"/>
              <w:rPr>
                <w:rFonts w:ascii="宋体" w:cs="宋体"/>
              </w:rPr>
            </w:pPr>
          </w:p>
          <w:p w14:paraId="38D0C7B4">
            <w:pPr>
              <w:tabs>
                <w:tab w:val="left" w:pos="761"/>
                <w:tab w:val="left" w:pos="2604"/>
              </w:tabs>
              <w:spacing w:line="240" w:lineRule="exact"/>
              <w:ind w:left="105" w:leftChars="50" w:right="105" w:rightChars="50" w:firstLine="96" w:firstLineChars="46"/>
              <w:jc w:val="center"/>
              <w:rPr>
                <w:rFonts w:ascii="宋体" w:cs="宋体"/>
              </w:rPr>
            </w:pPr>
          </w:p>
        </w:tc>
        <w:tc>
          <w:tcPr>
            <w:tcW w:w="1576" w:type="pct"/>
            <w:tcMar>
              <w:top w:w="10" w:type="dxa"/>
              <w:left w:w="10" w:type="dxa"/>
              <w:right w:w="10" w:type="dxa"/>
            </w:tcMar>
            <w:vAlign w:val="center"/>
          </w:tcPr>
          <w:p w14:paraId="47ED2F04">
            <w:pPr>
              <w:tabs>
                <w:tab w:val="left" w:pos="761"/>
                <w:tab w:val="left" w:pos="2604"/>
              </w:tabs>
              <w:spacing w:line="240" w:lineRule="exact"/>
              <w:ind w:left="105" w:leftChars="50" w:right="105" w:rightChars="50" w:firstLine="96" w:firstLineChars="46"/>
              <w:rPr>
                <w:rFonts w:ascii="宋体" w:cs="宋体"/>
              </w:rPr>
            </w:pPr>
            <w:r>
              <w:rPr>
                <w:rFonts w:hint="eastAsia" w:ascii="宋体" w:cs="宋体"/>
              </w:rPr>
              <w:t>部门的资产是否保存完整、使用合规、配置合理、处置规范、收入及时足额上缴，用以反映和考核部门资产安全运行情况。</w:t>
            </w:r>
          </w:p>
        </w:tc>
        <w:tc>
          <w:tcPr>
            <w:tcW w:w="1866" w:type="pct"/>
            <w:tcMar>
              <w:top w:w="10" w:type="dxa"/>
              <w:left w:w="10" w:type="dxa"/>
              <w:right w:w="10" w:type="dxa"/>
            </w:tcMar>
            <w:vAlign w:val="center"/>
          </w:tcPr>
          <w:p w14:paraId="69F61893">
            <w:pPr>
              <w:spacing w:line="240" w:lineRule="exact"/>
              <w:ind w:left="105" w:leftChars="50" w:right="105" w:rightChars="50"/>
              <w:rPr>
                <w:rFonts w:hint="eastAsia" w:ascii="宋体" w:eastAsia="宋体" w:cs="宋体"/>
                <w:lang w:eastAsia="zh-CN"/>
              </w:rPr>
            </w:pPr>
            <w:r>
              <w:rPr>
                <w:rFonts w:hint="eastAsia" w:ascii="宋体" w:cs="宋体"/>
              </w:rPr>
              <w:t>评价要点：</w:t>
            </w:r>
          </w:p>
          <w:p w14:paraId="540F52FA">
            <w:pPr>
              <w:spacing w:line="240" w:lineRule="exact"/>
              <w:ind w:left="105" w:leftChars="50" w:right="105" w:rightChars="50"/>
              <w:rPr>
                <w:rFonts w:hint="eastAsia" w:ascii="宋体" w:eastAsia="宋体" w:cs="宋体"/>
                <w:lang w:eastAsia="zh-CN"/>
              </w:rPr>
            </w:pPr>
            <w:r>
              <w:rPr>
                <w:rFonts w:hint="eastAsia" w:ascii="宋体" w:cs="宋体"/>
              </w:rPr>
              <w:t>①资产保存是否完整；</w:t>
            </w:r>
          </w:p>
          <w:p w14:paraId="441BED42">
            <w:pPr>
              <w:spacing w:line="240" w:lineRule="exact"/>
              <w:ind w:left="105" w:leftChars="50" w:right="105" w:rightChars="50"/>
              <w:rPr>
                <w:rFonts w:hint="eastAsia" w:ascii="宋体" w:eastAsia="宋体" w:cs="宋体"/>
                <w:lang w:eastAsia="zh-CN"/>
              </w:rPr>
            </w:pPr>
            <w:r>
              <w:rPr>
                <w:rFonts w:hint="eastAsia" w:ascii="宋体" w:cs="宋体"/>
              </w:rPr>
              <w:t>②资产配置是否合理；</w:t>
            </w:r>
          </w:p>
          <w:p w14:paraId="4C32DA39">
            <w:pPr>
              <w:spacing w:line="240" w:lineRule="exact"/>
              <w:ind w:left="105" w:leftChars="50" w:right="105" w:rightChars="50"/>
              <w:rPr>
                <w:rFonts w:hint="eastAsia" w:ascii="宋体" w:eastAsia="宋体" w:cs="宋体"/>
                <w:lang w:eastAsia="zh-CN"/>
              </w:rPr>
            </w:pPr>
            <w:r>
              <w:rPr>
                <w:rFonts w:hint="eastAsia" w:ascii="宋体" w:cs="宋体"/>
              </w:rPr>
              <w:t>③资产处置是否规范；</w:t>
            </w:r>
          </w:p>
          <w:p w14:paraId="1AE3A0E4">
            <w:pPr>
              <w:spacing w:line="240" w:lineRule="exact"/>
              <w:ind w:left="105" w:leftChars="50" w:right="105" w:rightChars="50"/>
              <w:rPr>
                <w:rFonts w:hint="eastAsia" w:ascii="宋体" w:eastAsia="宋体" w:cs="宋体"/>
                <w:lang w:eastAsia="zh-CN"/>
              </w:rPr>
            </w:pPr>
            <w:r>
              <w:rPr>
                <w:rFonts w:hint="eastAsia" w:ascii="宋体" w:cs="宋体"/>
              </w:rPr>
              <w:t>④资产账务管理是否合规，是否帐实相符；</w:t>
            </w:r>
          </w:p>
          <w:p w14:paraId="6B74BA36">
            <w:pPr>
              <w:spacing w:line="240" w:lineRule="exact"/>
              <w:ind w:left="105" w:leftChars="50" w:right="105" w:rightChars="50"/>
              <w:rPr>
                <w:rFonts w:ascii="宋体" w:cs="宋体"/>
              </w:rPr>
            </w:pPr>
            <w:r>
              <w:rPr>
                <w:rFonts w:hint="eastAsia" w:ascii="宋体" w:cs="宋体"/>
              </w:rPr>
              <w:t>⑤资产是否有偿使用及处置收入及时足额上缴。</w:t>
            </w:r>
          </w:p>
        </w:tc>
      </w:tr>
      <w:tr w14:paraId="0F71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6" w:type="pct"/>
            <w:vMerge w:val="continue"/>
            <w:vAlign w:val="center"/>
          </w:tcPr>
          <w:p w14:paraId="507F1ED2"/>
        </w:tc>
        <w:tc>
          <w:tcPr>
            <w:tcW w:w="375" w:type="pct"/>
            <w:vMerge w:val="continue"/>
            <w:vAlign w:val="center"/>
          </w:tcPr>
          <w:p w14:paraId="35593ED2"/>
        </w:tc>
        <w:tc>
          <w:tcPr>
            <w:tcW w:w="500" w:type="pct"/>
            <w:tcMar>
              <w:top w:w="10" w:type="dxa"/>
              <w:left w:w="10" w:type="dxa"/>
              <w:right w:w="10" w:type="dxa"/>
            </w:tcMar>
            <w:vAlign w:val="center"/>
          </w:tcPr>
          <w:p w14:paraId="0E39732D">
            <w:pPr>
              <w:spacing w:line="240" w:lineRule="exact"/>
              <w:jc w:val="center"/>
              <w:rPr>
                <w:rFonts w:ascii="宋体" w:cs="宋体"/>
              </w:rPr>
            </w:pPr>
            <w:r>
              <w:rPr>
                <w:rFonts w:hint="eastAsia" w:ascii="宋体" w:cs="宋体"/>
              </w:rPr>
              <w:t>固定资产</w:t>
            </w:r>
          </w:p>
          <w:p w14:paraId="0F27D172">
            <w:pPr>
              <w:spacing w:line="240" w:lineRule="exact"/>
              <w:jc w:val="center"/>
              <w:rPr>
                <w:rFonts w:ascii="宋体" w:cs="宋体"/>
              </w:rPr>
            </w:pPr>
            <w:r>
              <w:rPr>
                <w:rFonts w:hint="eastAsia" w:ascii="宋体" w:cs="宋体"/>
              </w:rPr>
              <w:t>利用率（</w:t>
            </w:r>
            <w:r>
              <w:rPr>
                <w:rFonts w:ascii="宋体" w:cs="宋体"/>
              </w:rPr>
              <w:t>1</w:t>
            </w:r>
            <w:r>
              <w:rPr>
                <w:rFonts w:hint="eastAsia" w:ascii="宋体" w:cs="宋体"/>
              </w:rPr>
              <w:t>分）</w:t>
            </w:r>
          </w:p>
        </w:tc>
        <w:tc>
          <w:tcPr>
            <w:tcW w:w="375" w:type="pct"/>
          </w:tcPr>
          <w:p w14:paraId="4B22215B">
            <w:pPr>
              <w:tabs>
                <w:tab w:val="left" w:pos="2604"/>
              </w:tabs>
              <w:spacing w:line="240" w:lineRule="exact"/>
              <w:ind w:left="105" w:leftChars="50" w:right="105" w:rightChars="50" w:firstLine="96" w:firstLineChars="46"/>
              <w:jc w:val="center"/>
              <w:rPr>
                <w:rFonts w:ascii="宋体" w:cs="宋体"/>
              </w:rPr>
            </w:pPr>
          </w:p>
          <w:p w14:paraId="268248AA">
            <w:pPr>
              <w:tabs>
                <w:tab w:val="left" w:pos="2604"/>
              </w:tabs>
              <w:spacing w:line="240" w:lineRule="exact"/>
              <w:ind w:left="105" w:leftChars="50" w:right="105" w:rightChars="50" w:firstLine="96" w:firstLineChars="46"/>
              <w:jc w:val="center"/>
              <w:rPr>
                <w:rFonts w:ascii="宋体" w:cs="宋体"/>
              </w:rPr>
            </w:pPr>
          </w:p>
          <w:p w14:paraId="4010B553">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576" w:type="pct"/>
            <w:tcMar>
              <w:top w:w="10" w:type="dxa"/>
              <w:left w:w="10" w:type="dxa"/>
              <w:right w:w="10" w:type="dxa"/>
            </w:tcMar>
            <w:vAlign w:val="center"/>
          </w:tcPr>
          <w:p w14:paraId="38038DAA">
            <w:pPr>
              <w:tabs>
                <w:tab w:val="left" w:pos="2604"/>
              </w:tabs>
              <w:spacing w:line="240" w:lineRule="exact"/>
              <w:ind w:left="105" w:leftChars="50" w:right="105" w:rightChars="50" w:firstLine="96" w:firstLineChars="46"/>
              <w:rPr>
                <w:rFonts w:ascii="宋体" w:cs="宋体"/>
              </w:rPr>
            </w:pPr>
            <w:r>
              <w:rPr>
                <w:rFonts w:hint="eastAsia" w:ascii="宋体" w:cs="宋体"/>
              </w:rPr>
              <w:t>部门实际在用固定资产总额与所有固定资产总额的比率，用以反映和考核部门固定资产使用效率程度。</w:t>
            </w:r>
          </w:p>
        </w:tc>
        <w:tc>
          <w:tcPr>
            <w:tcW w:w="1866" w:type="pct"/>
            <w:tcMar>
              <w:top w:w="10" w:type="dxa"/>
              <w:left w:w="10" w:type="dxa"/>
              <w:right w:w="10" w:type="dxa"/>
            </w:tcMar>
            <w:vAlign w:val="center"/>
          </w:tcPr>
          <w:p w14:paraId="7EE7BD0C">
            <w:pPr>
              <w:spacing w:line="240" w:lineRule="exact"/>
              <w:ind w:left="105" w:leftChars="50" w:right="105" w:rightChars="50"/>
              <w:rPr>
                <w:rFonts w:ascii="宋体" w:cs="宋体"/>
              </w:rPr>
            </w:pPr>
            <w:r>
              <w:rPr>
                <w:rFonts w:hint="eastAsia" w:ascii="宋体" w:cs="宋体"/>
              </w:rPr>
              <w:t>固定资产利用率</w:t>
            </w:r>
            <w:r>
              <w:rPr>
                <w:rFonts w:ascii="宋体" w:cs="宋体"/>
              </w:rPr>
              <w:t>=</w:t>
            </w:r>
            <w:r>
              <w:rPr>
                <w:rFonts w:hint="eastAsia" w:ascii="宋体" w:cs="宋体"/>
              </w:rPr>
              <w:t>（实际在用固定资产总额</w:t>
            </w:r>
            <w:r>
              <w:rPr>
                <w:rFonts w:ascii="宋体" w:cs="宋体"/>
              </w:rPr>
              <w:t>/</w:t>
            </w:r>
            <w:r>
              <w:rPr>
                <w:rFonts w:hint="eastAsia" w:ascii="宋体" w:cs="宋体"/>
              </w:rPr>
              <w:t>所有固定资产总额）×</w:t>
            </w:r>
            <w:r>
              <w:rPr>
                <w:rFonts w:ascii="宋体" w:cs="宋体"/>
              </w:rPr>
              <w:t>100%</w:t>
            </w:r>
            <w:r>
              <w:rPr>
                <w:rFonts w:hint="eastAsia" w:ascii="宋体" w:cs="宋体"/>
              </w:rPr>
              <w:t>。</w:t>
            </w:r>
          </w:p>
        </w:tc>
      </w:tr>
      <w:tr w14:paraId="2402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6" w:type="pct"/>
            <w:vMerge w:val="restart"/>
            <w:noWrap/>
            <w:tcMar>
              <w:top w:w="10" w:type="dxa"/>
              <w:left w:w="10" w:type="dxa"/>
              <w:right w:w="10" w:type="dxa"/>
            </w:tcMar>
            <w:textDirection w:val="tbRlV"/>
            <w:vAlign w:val="center"/>
          </w:tcPr>
          <w:p w14:paraId="29714A07">
            <w:pPr>
              <w:spacing w:line="240" w:lineRule="exact"/>
              <w:jc w:val="center"/>
              <w:rPr>
                <w:rFonts w:ascii="宋体" w:cs="宋体"/>
              </w:rPr>
            </w:pPr>
            <w:r>
              <w:rPr>
                <w:rFonts w:hint="eastAsia" w:ascii="宋体" w:cs="宋体"/>
              </w:rPr>
              <w:t>产</w:t>
            </w:r>
            <w:r>
              <w:rPr>
                <w:rFonts w:ascii="宋体" w:cs="宋体"/>
              </w:rPr>
              <w:t xml:space="preserve">   </w:t>
            </w:r>
            <w:r>
              <w:rPr>
                <w:rFonts w:hint="eastAsia" w:ascii="宋体" w:cs="宋体"/>
              </w:rPr>
              <w:t>出（</w:t>
            </w:r>
            <w:r>
              <w:rPr>
                <w:rFonts w:ascii="宋体" w:cs="宋体"/>
              </w:rPr>
              <w:t>30</w:t>
            </w:r>
            <w:r>
              <w:rPr>
                <w:rFonts w:hint="eastAsia" w:ascii="宋体" w:cs="宋体"/>
              </w:rPr>
              <w:t>分）</w:t>
            </w:r>
          </w:p>
        </w:tc>
        <w:tc>
          <w:tcPr>
            <w:tcW w:w="375" w:type="pct"/>
            <w:vMerge w:val="restart"/>
            <w:tcMar>
              <w:top w:w="10" w:type="dxa"/>
              <w:left w:w="10" w:type="dxa"/>
              <w:right w:w="10" w:type="dxa"/>
            </w:tcMar>
            <w:vAlign w:val="center"/>
          </w:tcPr>
          <w:p w14:paraId="792E0B5B">
            <w:pPr>
              <w:spacing w:line="240" w:lineRule="exact"/>
              <w:jc w:val="center"/>
              <w:rPr>
                <w:rFonts w:hint="eastAsia" w:ascii="宋体" w:eastAsia="宋体" w:cs="宋体"/>
                <w:lang w:eastAsia="zh-CN"/>
              </w:rPr>
            </w:pPr>
            <w:r>
              <w:rPr>
                <w:rFonts w:hint="eastAsia" w:ascii="宋体" w:cs="宋体"/>
              </w:rPr>
              <w:t>职责</w:t>
            </w:r>
          </w:p>
          <w:p w14:paraId="40BDCB02">
            <w:pPr>
              <w:spacing w:line="240" w:lineRule="exact"/>
              <w:jc w:val="center"/>
              <w:rPr>
                <w:rFonts w:ascii="宋体" w:cs="宋体"/>
              </w:rPr>
            </w:pPr>
            <w:r>
              <w:rPr>
                <w:rFonts w:hint="eastAsia" w:ascii="宋体" w:cs="宋体"/>
              </w:rPr>
              <w:t>履行（</w:t>
            </w:r>
            <w:r>
              <w:rPr>
                <w:rFonts w:ascii="宋体" w:cs="宋体"/>
              </w:rPr>
              <w:t>30</w:t>
            </w:r>
            <w:r>
              <w:rPr>
                <w:rFonts w:hint="eastAsia" w:ascii="宋体" w:cs="宋体"/>
              </w:rPr>
              <w:t>分）</w:t>
            </w:r>
          </w:p>
        </w:tc>
        <w:tc>
          <w:tcPr>
            <w:tcW w:w="500" w:type="pct"/>
            <w:tcMar>
              <w:top w:w="10" w:type="dxa"/>
              <w:left w:w="10" w:type="dxa"/>
              <w:right w:w="10" w:type="dxa"/>
            </w:tcMar>
            <w:vAlign w:val="center"/>
          </w:tcPr>
          <w:p w14:paraId="6DB143BC">
            <w:pPr>
              <w:spacing w:line="240" w:lineRule="exact"/>
              <w:jc w:val="center"/>
              <w:rPr>
                <w:rFonts w:ascii="宋体" w:cs="宋体"/>
              </w:rPr>
            </w:pPr>
            <w:r>
              <w:rPr>
                <w:rFonts w:hint="eastAsia" w:ascii="宋体" w:cs="宋体"/>
              </w:rPr>
              <w:t>实际</w:t>
            </w:r>
          </w:p>
          <w:p w14:paraId="3BC21B22">
            <w:pPr>
              <w:spacing w:line="240" w:lineRule="exact"/>
              <w:jc w:val="center"/>
              <w:rPr>
                <w:rFonts w:ascii="宋体" w:cs="宋体"/>
              </w:rPr>
            </w:pPr>
            <w:r>
              <w:rPr>
                <w:rFonts w:hint="eastAsia" w:ascii="宋体" w:cs="宋体"/>
              </w:rPr>
              <w:t>完成率（</w:t>
            </w:r>
            <w:r>
              <w:rPr>
                <w:rFonts w:ascii="宋体" w:cs="宋体"/>
              </w:rPr>
              <w:t>8</w:t>
            </w:r>
            <w:r>
              <w:rPr>
                <w:rFonts w:hint="eastAsia" w:ascii="宋体" w:cs="宋体"/>
              </w:rPr>
              <w:t>分）</w:t>
            </w:r>
          </w:p>
        </w:tc>
        <w:tc>
          <w:tcPr>
            <w:tcW w:w="375" w:type="pct"/>
          </w:tcPr>
          <w:p w14:paraId="4AB8D8F0">
            <w:pPr>
              <w:tabs>
                <w:tab w:val="left" w:pos="2604"/>
              </w:tabs>
              <w:spacing w:line="240" w:lineRule="exact"/>
              <w:ind w:left="105" w:leftChars="50" w:right="105" w:rightChars="50" w:firstLine="96" w:firstLineChars="46"/>
              <w:jc w:val="center"/>
              <w:rPr>
                <w:rFonts w:ascii="宋体" w:cs="宋体"/>
              </w:rPr>
            </w:pPr>
          </w:p>
          <w:p w14:paraId="3115D151">
            <w:pPr>
              <w:tabs>
                <w:tab w:val="left" w:pos="2604"/>
              </w:tabs>
              <w:spacing w:line="240" w:lineRule="exact"/>
              <w:ind w:left="105" w:leftChars="50" w:right="105" w:rightChars="50" w:firstLine="96" w:firstLineChars="46"/>
              <w:jc w:val="center"/>
              <w:rPr>
                <w:rFonts w:ascii="宋体" w:cs="宋体"/>
              </w:rPr>
            </w:pPr>
          </w:p>
          <w:p w14:paraId="7F488959">
            <w:pPr>
              <w:tabs>
                <w:tab w:val="left" w:pos="2604"/>
              </w:tabs>
              <w:spacing w:line="240" w:lineRule="exact"/>
              <w:ind w:left="105" w:leftChars="50" w:right="105" w:rightChars="50" w:firstLine="96" w:firstLineChars="46"/>
              <w:jc w:val="center"/>
              <w:rPr>
                <w:rFonts w:ascii="宋体" w:cs="宋体"/>
              </w:rPr>
            </w:pPr>
          </w:p>
          <w:p w14:paraId="75DB4A1C">
            <w:pPr>
              <w:tabs>
                <w:tab w:val="left" w:pos="2604"/>
              </w:tabs>
              <w:spacing w:line="240" w:lineRule="exact"/>
              <w:ind w:left="105" w:leftChars="50" w:right="105" w:rightChars="50" w:firstLine="96" w:firstLineChars="46"/>
              <w:jc w:val="center"/>
              <w:rPr>
                <w:rFonts w:ascii="宋体" w:cs="宋体"/>
              </w:rPr>
            </w:pPr>
          </w:p>
          <w:p w14:paraId="166960A4">
            <w:pPr>
              <w:tabs>
                <w:tab w:val="left" w:pos="2604"/>
              </w:tabs>
              <w:spacing w:line="240" w:lineRule="exact"/>
              <w:ind w:left="105" w:leftChars="50" w:right="105" w:rightChars="50" w:firstLine="96" w:firstLineChars="46"/>
              <w:jc w:val="center"/>
              <w:rPr>
                <w:rFonts w:ascii="宋体" w:cs="宋体"/>
              </w:rPr>
            </w:pPr>
            <w:r>
              <w:rPr>
                <w:rFonts w:hint="eastAsia" w:ascii="宋体" w:cs="宋体"/>
              </w:rPr>
              <w:t>7</w:t>
            </w:r>
          </w:p>
        </w:tc>
        <w:tc>
          <w:tcPr>
            <w:tcW w:w="1576" w:type="pct"/>
            <w:tcMar>
              <w:top w:w="10" w:type="dxa"/>
              <w:left w:w="10" w:type="dxa"/>
              <w:right w:w="10" w:type="dxa"/>
            </w:tcMar>
            <w:vAlign w:val="center"/>
          </w:tcPr>
          <w:p w14:paraId="2D01583C">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部门履行职责而实际完成工作数与计划工作数的比率，用以反映和考核部门履职工作任务目标的实现程度。</w:t>
            </w:r>
          </w:p>
        </w:tc>
        <w:tc>
          <w:tcPr>
            <w:tcW w:w="1866" w:type="pct"/>
            <w:tcMar>
              <w:top w:w="10" w:type="dxa"/>
              <w:left w:w="10" w:type="dxa"/>
              <w:right w:w="10" w:type="dxa"/>
            </w:tcMar>
            <w:vAlign w:val="center"/>
          </w:tcPr>
          <w:p w14:paraId="0C158082">
            <w:pPr>
              <w:spacing w:line="240" w:lineRule="exact"/>
              <w:ind w:left="105" w:leftChars="50" w:right="105" w:rightChars="50"/>
              <w:rPr>
                <w:rFonts w:hint="eastAsia" w:ascii="宋体" w:eastAsia="宋体" w:cs="宋体"/>
                <w:lang w:eastAsia="zh-CN"/>
              </w:rPr>
            </w:pPr>
            <w:r>
              <w:rPr>
                <w:rFonts w:hint="eastAsia" w:ascii="宋体" w:cs="宋体"/>
              </w:rPr>
              <w:t>实际完成率</w:t>
            </w:r>
            <w:r>
              <w:rPr>
                <w:rFonts w:ascii="宋体" w:cs="宋体"/>
              </w:rPr>
              <w:t>=</w:t>
            </w:r>
            <w:r>
              <w:rPr>
                <w:rFonts w:hint="eastAsia" w:ascii="宋体" w:cs="宋体"/>
              </w:rPr>
              <w:t>（实际完成工作数</w:t>
            </w:r>
            <w:r>
              <w:rPr>
                <w:rFonts w:ascii="宋体" w:cs="宋体"/>
              </w:rPr>
              <w:t>/</w:t>
            </w:r>
            <w:r>
              <w:rPr>
                <w:rFonts w:hint="eastAsia" w:ascii="宋体" w:cs="宋体"/>
              </w:rPr>
              <w:t>计划工作数）×</w:t>
            </w:r>
            <w:r>
              <w:rPr>
                <w:rFonts w:ascii="宋体" w:cs="宋体"/>
              </w:rPr>
              <w:t>100%</w:t>
            </w:r>
            <w:r>
              <w:rPr>
                <w:rFonts w:hint="eastAsia" w:ascii="宋体" w:cs="宋体"/>
              </w:rPr>
              <w:t>。</w:t>
            </w:r>
          </w:p>
          <w:p w14:paraId="2447CAFF">
            <w:pPr>
              <w:spacing w:line="240" w:lineRule="exact"/>
              <w:ind w:left="105" w:leftChars="50" w:right="105" w:rightChars="50"/>
              <w:rPr>
                <w:rFonts w:hint="eastAsia" w:ascii="宋体" w:eastAsia="宋体" w:cs="宋体"/>
                <w:lang w:eastAsia="zh-CN"/>
              </w:rPr>
            </w:pPr>
            <w:r>
              <w:rPr>
                <w:rFonts w:hint="eastAsia" w:ascii="宋体" w:cs="宋体"/>
              </w:rPr>
              <w:t>实际完成工作数：一定时期（年度或规划期）内部门实际完成工作任务的数量。</w:t>
            </w:r>
          </w:p>
          <w:p w14:paraId="0FA39405">
            <w:pPr>
              <w:spacing w:line="240" w:lineRule="exact"/>
              <w:ind w:left="105" w:leftChars="50" w:right="105" w:rightChars="50"/>
              <w:rPr>
                <w:rFonts w:ascii="宋体" w:cs="宋体"/>
              </w:rPr>
            </w:pPr>
            <w:r>
              <w:rPr>
                <w:rFonts w:hint="eastAsia" w:ascii="宋体" w:cs="宋体"/>
              </w:rPr>
              <w:t>计划工作数：部门整体绩效目标确定的一定时期（年度或规划期）内预计完成工作任务的数量。</w:t>
            </w:r>
          </w:p>
        </w:tc>
      </w:tr>
      <w:tr w14:paraId="17CF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6" w:type="pct"/>
            <w:vMerge w:val="continue"/>
            <w:textDirection w:val="tbRlV"/>
            <w:vAlign w:val="center"/>
          </w:tcPr>
          <w:p w14:paraId="542679B0"/>
        </w:tc>
        <w:tc>
          <w:tcPr>
            <w:tcW w:w="375" w:type="pct"/>
            <w:vMerge w:val="continue"/>
            <w:vAlign w:val="center"/>
          </w:tcPr>
          <w:p w14:paraId="39212446"/>
        </w:tc>
        <w:tc>
          <w:tcPr>
            <w:tcW w:w="500" w:type="pct"/>
            <w:tcMar>
              <w:top w:w="10" w:type="dxa"/>
              <w:left w:w="10" w:type="dxa"/>
              <w:right w:w="10" w:type="dxa"/>
            </w:tcMar>
            <w:vAlign w:val="center"/>
          </w:tcPr>
          <w:p w14:paraId="45E032C8">
            <w:pPr>
              <w:spacing w:line="240" w:lineRule="exact"/>
              <w:jc w:val="center"/>
              <w:rPr>
                <w:rFonts w:ascii="宋体" w:cs="宋体"/>
              </w:rPr>
            </w:pPr>
            <w:r>
              <w:rPr>
                <w:rFonts w:hint="eastAsia" w:ascii="宋体" w:cs="宋体"/>
              </w:rPr>
              <w:t>完成</w:t>
            </w:r>
          </w:p>
          <w:p w14:paraId="7D607C1D">
            <w:pPr>
              <w:spacing w:line="240" w:lineRule="exact"/>
              <w:jc w:val="center"/>
              <w:rPr>
                <w:rFonts w:ascii="宋体" w:cs="宋体"/>
              </w:rPr>
            </w:pPr>
            <w:r>
              <w:rPr>
                <w:rFonts w:hint="eastAsia" w:ascii="宋体" w:cs="宋体"/>
              </w:rPr>
              <w:t>及时率（</w:t>
            </w:r>
            <w:r>
              <w:rPr>
                <w:rFonts w:ascii="宋体" w:cs="宋体"/>
              </w:rPr>
              <w:t>4</w:t>
            </w:r>
            <w:r>
              <w:rPr>
                <w:rFonts w:hint="eastAsia" w:ascii="宋体" w:cs="宋体"/>
              </w:rPr>
              <w:t>分）</w:t>
            </w:r>
          </w:p>
        </w:tc>
        <w:tc>
          <w:tcPr>
            <w:tcW w:w="375" w:type="pct"/>
          </w:tcPr>
          <w:p w14:paraId="2FC301FB">
            <w:pPr>
              <w:tabs>
                <w:tab w:val="left" w:pos="2604"/>
              </w:tabs>
              <w:spacing w:line="240" w:lineRule="exact"/>
              <w:ind w:left="105" w:leftChars="50" w:right="105" w:rightChars="50" w:firstLine="96" w:firstLineChars="46"/>
              <w:jc w:val="center"/>
              <w:rPr>
                <w:rFonts w:ascii="宋体" w:cs="宋体"/>
              </w:rPr>
            </w:pPr>
          </w:p>
          <w:p w14:paraId="29D3D6ED">
            <w:pPr>
              <w:tabs>
                <w:tab w:val="left" w:pos="2604"/>
              </w:tabs>
              <w:spacing w:line="240" w:lineRule="exact"/>
              <w:ind w:left="105" w:leftChars="50" w:right="105" w:rightChars="50" w:firstLine="96" w:firstLineChars="46"/>
              <w:jc w:val="center"/>
              <w:rPr>
                <w:rFonts w:ascii="宋体" w:cs="宋体"/>
              </w:rPr>
            </w:pPr>
          </w:p>
          <w:p w14:paraId="20F4C766">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14:paraId="6BD8FBB6">
            <w:pPr>
              <w:tabs>
                <w:tab w:val="left" w:pos="2604"/>
              </w:tabs>
              <w:spacing w:line="240" w:lineRule="exact"/>
              <w:ind w:left="105" w:leftChars="50" w:right="105" w:rightChars="50" w:firstLine="96" w:firstLineChars="46"/>
              <w:rPr>
                <w:rFonts w:ascii="宋体" w:cs="宋体"/>
              </w:rPr>
            </w:pPr>
            <w:r>
              <w:rPr>
                <w:rFonts w:hint="eastAsia" w:ascii="宋体" w:cs="宋体"/>
              </w:rPr>
              <w:t>部门在规定时限内及时完成的实际工作数与计划工作数的比率</w:t>
            </w:r>
            <w:r>
              <w:rPr>
                <w:rFonts w:ascii="宋体" w:cs="宋体"/>
              </w:rPr>
              <w:t>,</w:t>
            </w:r>
            <w:r>
              <w:rPr>
                <w:rFonts w:hint="eastAsia" w:ascii="宋体" w:cs="宋体"/>
              </w:rPr>
              <w:t>用以反映和考核部门履职时效目标的实现程度。</w:t>
            </w:r>
          </w:p>
        </w:tc>
        <w:tc>
          <w:tcPr>
            <w:tcW w:w="1866" w:type="pct"/>
            <w:tcMar>
              <w:top w:w="10" w:type="dxa"/>
              <w:left w:w="10" w:type="dxa"/>
              <w:right w:w="10" w:type="dxa"/>
            </w:tcMar>
            <w:vAlign w:val="center"/>
          </w:tcPr>
          <w:p w14:paraId="4D2A229F">
            <w:pPr>
              <w:spacing w:line="240" w:lineRule="exact"/>
              <w:ind w:left="105" w:leftChars="50" w:right="105" w:rightChars="50"/>
              <w:rPr>
                <w:rFonts w:hint="eastAsia" w:ascii="宋体" w:eastAsia="宋体" w:cs="宋体"/>
                <w:lang w:eastAsia="zh-CN"/>
              </w:rPr>
            </w:pPr>
            <w:r>
              <w:rPr>
                <w:rFonts w:hint="eastAsia" w:ascii="宋体" w:cs="宋体"/>
              </w:rPr>
              <w:t>完成及时率</w:t>
            </w:r>
            <w:r>
              <w:rPr>
                <w:rFonts w:ascii="宋体" w:cs="宋体"/>
              </w:rPr>
              <w:t>=</w:t>
            </w:r>
            <w:r>
              <w:rPr>
                <w:rFonts w:hint="eastAsia" w:ascii="宋体" w:cs="宋体"/>
              </w:rPr>
              <w:t>（及时完成实际工作数</w:t>
            </w:r>
            <w:r>
              <w:rPr>
                <w:rFonts w:ascii="宋体" w:cs="宋体"/>
              </w:rPr>
              <w:t>/</w:t>
            </w:r>
            <w:r>
              <w:rPr>
                <w:rFonts w:hint="eastAsia" w:ascii="宋体" w:cs="宋体"/>
              </w:rPr>
              <w:t>计划工作数）×</w:t>
            </w:r>
            <w:r>
              <w:rPr>
                <w:rFonts w:ascii="宋体" w:cs="宋体"/>
              </w:rPr>
              <w:t>100%</w:t>
            </w:r>
            <w:r>
              <w:rPr>
                <w:rFonts w:hint="eastAsia" w:ascii="宋体" w:cs="宋体"/>
              </w:rPr>
              <w:t>。</w:t>
            </w:r>
          </w:p>
          <w:p w14:paraId="2248E0E7">
            <w:pPr>
              <w:spacing w:line="240" w:lineRule="exact"/>
              <w:ind w:left="105" w:leftChars="50" w:right="105" w:rightChars="50"/>
              <w:rPr>
                <w:rFonts w:ascii="宋体" w:cs="宋体"/>
              </w:rPr>
            </w:pPr>
            <w:r>
              <w:rPr>
                <w:rFonts w:hint="eastAsia" w:ascii="宋体" w:cs="宋体"/>
              </w:rPr>
              <w:t>及时完成实际工作数：部门按照整体绩效目标确定的时限实际完成的工作任务数量。</w:t>
            </w:r>
          </w:p>
        </w:tc>
      </w:tr>
      <w:tr w14:paraId="58FC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6" w:type="pct"/>
            <w:vMerge w:val="continue"/>
            <w:vAlign w:val="center"/>
          </w:tcPr>
          <w:p w14:paraId="32314307"/>
        </w:tc>
        <w:tc>
          <w:tcPr>
            <w:tcW w:w="375" w:type="pct"/>
            <w:vMerge w:val="continue"/>
            <w:vAlign w:val="center"/>
          </w:tcPr>
          <w:p w14:paraId="6D87FA9D"/>
        </w:tc>
        <w:tc>
          <w:tcPr>
            <w:tcW w:w="500" w:type="pct"/>
            <w:tcMar>
              <w:top w:w="10" w:type="dxa"/>
              <w:left w:w="10" w:type="dxa"/>
              <w:right w:w="10" w:type="dxa"/>
            </w:tcMar>
            <w:vAlign w:val="center"/>
          </w:tcPr>
          <w:p w14:paraId="51D35BE2">
            <w:pPr>
              <w:spacing w:line="240" w:lineRule="exact"/>
              <w:jc w:val="center"/>
              <w:rPr>
                <w:rFonts w:ascii="宋体" w:cs="宋体"/>
              </w:rPr>
            </w:pPr>
            <w:r>
              <w:rPr>
                <w:rFonts w:hint="eastAsia" w:ascii="宋体" w:cs="宋体"/>
              </w:rPr>
              <w:t>质量</w:t>
            </w:r>
          </w:p>
          <w:p w14:paraId="48D6E040">
            <w:pPr>
              <w:spacing w:line="240" w:lineRule="exact"/>
              <w:jc w:val="center"/>
              <w:rPr>
                <w:rFonts w:ascii="宋体" w:cs="宋体"/>
              </w:rPr>
            </w:pPr>
            <w:r>
              <w:rPr>
                <w:rFonts w:hint="eastAsia" w:ascii="宋体" w:cs="宋体"/>
              </w:rPr>
              <w:t>达标率（</w:t>
            </w:r>
            <w:r>
              <w:rPr>
                <w:rFonts w:ascii="宋体" w:cs="宋体"/>
              </w:rPr>
              <w:t>8</w:t>
            </w:r>
            <w:r>
              <w:rPr>
                <w:rFonts w:hint="eastAsia" w:ascii="宋体" w:cs="宋体"/>
              </w:rPr>
              <w:t>分）</w:t>
            </w:r>
          </w:p>
        </w:tc>
        <w:tc>
          <w:tcPr>
            <w:tcW w:w="375" w:type="pct"/>
          </w:tcPr>
          <w:p w14:paraId="2B01C4DF">
            <w:pPr>
              <w:tabs>
                <w:tab w:val="left" w:pos="2604"/>
              </w:tabs>
              <w:spacing w:line="240" w:lineRule="exact"/>
              <w:ind w:left="105" w:leftChars="50" w:right="105" w:rightChars="50" w:firstLine="96" w:firstLineChars="46"/>
              <w:jc w:val="center"/>
              <w:rPr>
                <w:rFonts w:ascii="宋体" w:cs="宋体"/>
              </w:rPr>
            </w:pPr>
          </w:p>
          <w:p w14:paraId="4D95145F">
            <w:pPr>
              <w:tabs>
                <w:tab w:val="left" w:pos="2604"/>
              </w:tabs>
              <w:spacing w:line="240" w:lineRule="exact"/>
              <w:ind w:left="105" w:leftChars="50" w:right="105" w:rightChars="50" w:firstLine="96" w:firstLineChars="46"/>
              <w:jc w:val="center"/>
              <w:rPr>
                <w:rFonts w:ascii="宋体" w:cs="宋体"/>
              </w:rPr>
            </w:pPr>
          </w:p>
          <w:p w14:paraId="386237DB">
            <w:pPr>
              <w:tabs>
                <w:tab w:val="left" w:pos="2604"/>
              </w:tabs>
              <w:spacing w:line="240" w:lineRule="exact"/>
              <w:ind w:left="105" w:leftChars="50" w:right="105" w:rightChars="50" w:firstLine="96" w:firstLineChars="46"/>
              <w:jc w:val="center"/>
              <w:rPr>
                <w:rFonts w:ascii="宋体" w:cs="宋体"/>
              </w:rPr>
            </w:pPr>
          </w:p>
          <w:p w14:paraId="601EABC2">
            <w:pPr>
              <w:tabs>
                <w:tab w:val="left" w:pos="2604"/>
              </w:tabs>
              <w:spacing w:line="240" w:lineRule="exact"/>
              <w:ind w:left="105" w:leftChars="50" w:right="105" w:rightChars="50" w:firstLine="96" w:firstLineChars="46"/>
              <w:jc w:val="center"/>
              <w:rPr>
                <w:rFonts w:ascii="宋体" w:cs="宋体"/>
              </w:rPr>
            </w:pPr>
            <w:r>
              <w:rPr>
                <w:rFonts w:hint="eastAsia" w:ascii="宋体" w:cs="宋体"/>
              </w:rPr>
              <w:t>7</w:t>
            </w:r>
          </w:p>
        </w:tc>
        <w:tc>
          <w:tcPr>
            <w:tcW w:w="1576" w:type="pct"/>
            <w:tcMar>
              <w:top w:w="10" w:type="dxa"/>
              <w:left w:w="10" w:type="dxa"/>
              <w:right w:w="10" w:type="dxa"/>
            </w:tcMar>
            <w:vAlign w:val="center"/>
          </w:tcPr>
          <w:p w14:paraId="16B0DAC8">
            <w:pPr>
              <w:tabs>
                <w:tab w:val="left" w:pos="2604"/>
              </w:tabs>
              <w:spacing w:line="240" w:lineRule="exact"/>
              <w:ind w:left="105" w:leftChars="50" w:right="105" w:rightChars="50" w:firstLine="96" w:firstLineChars="46"/>
              <w:rPr>
                <w:rFonts w:ascii="宋体" w:cs="宋体"/>
              </w:rPr>
            </w:pPr>
            <w:r>
              <w:rPr>
                <w:rFonts w:hint="eastAsia" w:ascii="宋体" w:cs="宋体"/>
              </w:rPr>
              <w:t>达到质量标准（绩效标准值）的实际工作数与计划工作数的比率</w:t>
            </w:r>
            <w:r>
              <w:rPr>
                <w:rFonts w:ascii="宋体" w:cs="宋体"/>
              </w:rPr>
              <w:t>,</w:t>
            </w:r>
            <w:r>
              <w:rPr>
                <w:rFonts w:hint="eastAsia" w:ascii="宋体" w:cs="宋体"/>
              </w:rPr>
              <w:t>用以反映和考核部门履职质量目标的实现程度。</w:t>
            </w:r>
          </w:p>
        </w:tc>
        <w:tc>
          <w:tcPr>
            <w:tcW w:w="1866" w:type="pct"/>
            <w:tcMar>
              <w:top w:w="10" w:type="dxa"/>
              <w:left w:w="10" w:type="dxa"/>
              <w:right w:w="10" w:type="dxa"/>
            </w:tcMar>
            <w:vAlign w:val="center"/>
          </w:tcPr>
          <w:p w14:paraId="6221FA20">
            <w:pPr>
              <w:spacing w:line="240" w:lineRule="exact"/>
              <w:ind w:left="105" w:leftChars="50" w:right="105" w:rightChars="50"/>
              <w:rPr>
                <w:rFonts w:hint="eastAsia" w:ascii="宋体" w:eastAsia="宋体" w:cs="宋体"/>
                <w:lang w:eastAsia="zh-CN"/>
              </w:rPr>
            </w:pPr>
            <w:r>
              <w:rPr>
                <w:rFonts w:hint="eastAsia" w:ascii="宋体" w:cs="宋体"/>
              </w:rPr>
              <w:t>质量达标率</w:t>
            </w:r>
            <w:r>
              <w:rPr>
                <w:rFonts w:ascii="宋体" w:cs="宋体"/>
              </w:rPr>
              <w:t>=</w:t>
            </w:r>
            <w:r>
              <w:rPr>
                <w:rFonts w:hint="eastAsia" w:ascii="宋体" w:cs="宋体"/>
              </w:rPr>
              <w:t>（质量达标实际工作数</w:t>
            </w:r>
            <w:r>
              <w:rPr>
                <w:rFonts w:ascii="宋体" w:cs="宋体"/>
              </w:rPr>
              <w:t>/</w:t>
            </w:r>
            <w:r>
              <w:rPr>
                <w:rFonts w:hint="eastAsia" w:ascii="宋体" w:cs="宋体"/>
              </w:rPr>
              <w:t>计划工作数）×</w:t>
            </w:r>
            <w:r>
              <w:rPr>
                <w:rFonts w:ascii="宋体" w:cs="宋体"/>
              </w:rPr>
              <w:t>100%</w:t>
            </w:r>
            <w:r>
              <w:rPr>
                <w:rFonts w:hint="eastAsia" w:ascii="宋体" w:cs="宋体"/>
              </w:rPr>
              <w:t>。</w:t>
            </w:r>
          </w:p>
          <w:p w14:paraId="14AF07AD">
            <w:pPr>
              <w:spacing w:line="240" w:lineRule="exact"/>
              <w:ind w:left="105" w:leftChars="50" w:right="105" w:rightChars="50"/>
              <w:rPr>
                <w:rFonts w:ascii="宋体" w:cs="宋体"/>
              </w:rPr>
            </w:pPr>
            <w:r>
              <w:rPr>
                <w:rFonts w:hint="eastAsia" w:ascii="宋体" w:cs="宋体"/>
              </w:rPr>
              <w:t>质量达标实际工作数：一定时期（年度或规划期）内部门实际完成工作数中达到部门绩效目标要求（绩效标准值）的工作任务数量。</w:t>
            </w:r>
          </w:p>
        </w:tc>
      </w:tr>
      <w:tr w14:paraId="1ABE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6" w:type="pct"/>
            <w:vMerge w:val="continue"/>
            <w:vAlign w:val="center"/>
          </w:tcPr>
          <w:p w14:paraId="431E4A3A"/>
        </w:tc>
        <w:tc>
          <w:tcPr>
            <w:tcW w:w="375" w:type="pct"/>
            <w:vMerge w:val="continue"/>
            <w:vAlign w:val="center"/>
          </w:tcPr>
          <w:p w14:paraId="37A6F623"/>
        </w:tc>
        <w:tc>
          <w:tcPr>
            <w:tcW w:w="500" w:type="pct"/>
            <w:tcMar>
              <w:top w:w="10" w:type="dxa"/>
              <w:left w:w="10" w:type="dxa"/>
              <w:right w:w="10" w:type="dxa"/>
            </w:tcMar>
            <w:vAlign w:val="center"/>
          </w:tcPr>
          <w:p w14:paraId="5A45B0FD">
            <w:pPr>
              <w:spacing w:line="240" w:lineRule="exact"/>
              <w:jc w:val="center"/>
              <w:rPr>
                <w:rFonts w:ascii="宋体" w:cs="宋体"/>
              </w:rPr>
            </w:pPr>
            <w:r>
              <w:rPr>
                <w:rFonts w:hint="eastAsia" w:ascii="宋体" w:cs="宋体"/>
              </w:rPr>
              <w:t>重点工作</w:t>
            </w:r>
          </w:p>
          <w:p w14:paraId="4C7053C0">
            <w:pPr>
              <w:spacing w:line="240" w:lineRule="exact"/>
              <w:jc w:val="center"/>
              <w:rPr>
                <w:rFonts w:ascii="宋体" w:cs="宋体"/>
              </w:rPr>
            </w:pPr>
            <w:r>
              <w:rPr>
                <w:rFonts w:hint="eastAsia" w:ascii="宋体" w:cs="宋体"/>
              </w:rPr>
              <w:t>办结率（</w:t>
            </w:r>
            <w:r>
              <w:rPr>
                <w:rFonts w:ascii="宋体" w:cs="宋体"/>
              </w:rPr>
              <w:t>10</w:t>
            </w:r>
            <w:r>
              <w:rPr>
                <w:rFonts w:hint="eastAsia" w:ascii="宋体" w:cs="宋体"/>
              </w:rPr>
              <w:t>分）</w:t>
            </w:r>
          </w:p>
        </w:tc>
        <w:tc>
          <w:tcPr>
            <w:tcW w:w="375" w:type="pct"/>
          </w:tcPr>
          <w:p w14:paraId="06D37AE4">
            <w:pPr>
              <w:tabs>
                <w:tab w:val="left" w:pos="2604"/>
              </w:tabs>
              <w:spacing w:line="240" w:lineRule="exact"/>
              <w:ind w:right="105" w:rightChars="50"/>
              <w:rPr>
                <w:rFonts w:ascii="宋体" w:cs="宋体"/>
              </w:rPr>
            </w:pPr>
          </w:p>
          <w:p w14:paraId="4C1F7318">
            <w:pPr>
              <w:tabs>
                <w:tab w:val="left" w:pos="2604"/>
              </w:tabs>
              <w:spacing w:line="240" w:lineRule="exact"/>
              <w:ind w:right="105" w:rightChars="50"/>
              <w:jc w:val="center"/>
              <w:rPr>
                <w:rFonts w:ascii="宋体" w:cs="宋体"/>
              </w:rPr>
            </w:pPr>
          </w:p>
          <w:p w14:paraId="7410DC78">
            <w:pPr>
              <w:tabs>
                <w:tab w:val="left" w:pos="2604"/>
              </w:tabs>
              <w:spacing w:line="240" w:lineRule="exact"/>
              <w:ind w:right="105" w:rightChars="50" w:firstLine="210" w:firstLineChars="100"/>
              <w:rPr>
                <w:rFonts w:ascii="宋体" w:cs="宋体"/>
              </w:rPr>
            </w:pPr>
            <w:r>
              <w:rPr>
                <w:rFonts w:hint="eastAsia" w:ascii="宋体" w:cs="宋体"/>
              </w:rPr>
              <w:t>10</w:t>
            </w:r>
          </w:p>
        </w:tc>
        <w:tc>
          <w:tcPr>
            <w:tcW w:w="1576" w:type="pct"/>
            <w:tcMar>
              <w:top w:w="10" w:type="dxa"/>
              <w:left w:w="10" w:type="dxa"/>
              <w:right w:w="10" w:type="dxa"/>
            </w:tcMar>
            <w:vAlign w:val="center"/>
          </w:tcPr>
          <w:p w14:paraId="0821F775">
            <w:pPr>
              <w:tabs>
                <w:tab w:val="left" w:pos="2604"/>
              </w:tabs>
              <w:spacing w:line="240" w:lineRule="exact"/>
              <w:ind w:left="105" w:leftChars="50" w:right="105" w:rightChars="50" w:firstLine="96" w:firstLineChars="46"/>
              <w:rPr>
                <w:rFonts w:ascii="宋体" w:cs="宋体"/>
              </w:rPr>
            </w:pPr>
            <w:r>
              <w:rPr>
                <w:rFonts w:hint="eastAsia" w:ascii="宋体" w:cs="宋体"/>
              </w:rPr>
              <w:t>部门年度重点工作实际完成数与交办或下达数的比率，用以反映部门对重点工作的办理落实程度。</w:t>
            </w:r>
          </w:p>
        </w:tc>
        <w:tc>
          <w:tcPr>
            <w:tcW w:w="1866" w:type="pct"/>
            <w:tcMar>
              <w:top w:w="10" w:type="dxa"/>
              <w:left w:w="10" w:type="dxa"/>
              <w:right w:w="10" w:type="dxa"/>
            </w:tcMar>
            <w:vAlign w:val="center"/>
          </w:tcPr>
          <w:p w14:paraId="44B0D03A">
            <w:pPr>
              <w:spacing w:line="240" w:lineRule="exact"/>
              <w:ind w:left="105" w:leftChars="50" w:right="105" w:rightChars="50"/>
              <w:rPr>
                <w:rFonts w:hint="eastAsia" w:ascii="宋体" w:eastAsia="宋体" w:cs="宋体"/>
                <w:lang w:eastAsia="zh-CN"/>
              </w:rPr>
            </w:pPr>
            <w:r>
              <w:rPr>
                <w:rFonts w:hint="eastAsia" w:ascii="宋体" w:cs="宋体"/>
              </w:rPr>
              <w:t>重点工作办结率</w:t>
            </w:r>
            <w:r>
              <w:rPr>
                <w:rFonts w:ascii="宋体" w:cs="宋体"/>
              </w:rPr>
              <w:t>=</w:t>
            </w:r>
            <w:r>
              <w:rPr>
                <w:rFonts w:hint="eastAsia" w:ascii="宋体" w:cs="宋体"/>
              </w:rPr>
              <w:t>（重点工作实际完成数</w:t>
            </w:r>
            <w:r>
              <w:rPr>
                <w:rFonts w:ascii="宋体" w:cs="宋体"/>
              </w:rPr>
              <w:t>/</w:t>
            </w:r>
            <w:r>
              <w:rPr>
                <w:rFonts w:hint="eastAsia" w:ascii="宋体" w:cs="宋体"/>
              </w:rPr>
              <w:t>交办或下达数）×</w:t>
            </w:r>
            <w:r>
              <w:rPr>
                <w:rFonts w:ascii="宋体" w:cs="宋体"/>
              </w:rPr>
              <w:t>100%</w:t>
            </w:r>
            <w:r>
              <w:rPr>
                <w:rFonts w:hint="eastAsia" w:ascii="宋体" w:cs="宋体"/>
              </w:rPr>
              <w:t>。</w:t>
            </w:r>
          </w:p>
          <w:p w14:paraId="5B032CE1">
            <w:pPr>
              <w:spacing w:line="240" w:lineRule="exact"/>
              <w:ind w:left="105" w:leftChars="50" w:right="105" w:rightChars="50"/>
              <w:rPr>
                <w:rFonts w:ascii="宋体" w:cs="宋体"/>
              </w:rPr>
            </w:pPr>
            <w:r>
              <w:rPr>
                <w:rFonts w:hint="eastAsia" w:ascii="宋体" w:cs="宋体"/>
              </w:rPr>
              <w:t>重点工作是指党委、政府、人大、相关部门交办或下达的工作任务。</w:t>
            </w:r>
          </w:p>
        </w:tc>
      </w:tr>
      <w:tr w14:paraId="7162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6" w:type="pct"/>
            <w:vMerge w:val="restart"/>
            <w:noWrap/>
            <w:tcMar>
              <w:top w:w="10" w:type="dxa"/>
              <w:left w:w="10" w:type="dxa"/>
              <w:right w:w="10" w:type="dxa"/>
            </w:tcMar>
            <w:textDirection w:val="tbRlV"/>
            <w:vAlign w:val="center"/>
          </w:tcPr>
          <w:p w14:paraId="2600176A">
            <w:pPr>
              <w:spacing w:line="240" w:lineRule="exact"/>
              <w:jc w:val="center"/>
              <w:rPr>
                <w:rFonts w:ascii="宋体" w:cs="宋体"/>
              </w:rPr>
            </w:pPr>
            <w:r>
              <w:rPr>
                <w:rFonts w:hint="eastAsia" w:ascii="宋体" w:cs="宋体"/>
              </w:rPr>
              <w:t>效</w:t>
            </w:r>
            <w:r>
              <w:rPr>
                <w:rFonts w:ascii="宋体" w:cs="宋体"/>
              </w:rPr>
              <w:t xml:space="preserve">   </w:t>
            </w:r>
            <w:r>
              <w:rPr>
                <w:rFonts w:hint="eastAsia" w:ascii="宋体" w:cs="宋体"/>
              </w:rPr>
              <w:t>果（</w:t>
            </w:r>
            <w:r>
              <w:rPr>
                <w:rFonts w:ascii="宋体" w:cs="宋体"/>
              </w:rPr>
              <w:t>20</w:t>
            </w:r>
            <w:r>
              <w:rPr>
                <w:rFonts w:hint="eastAsia" w:ascii="宋体" w:cs="宋体"/>
              </w:rPr>
              <w:t>分）</w:t>
            </w:r>
          </w:p>
        </w:tc>
        <w:tc>
          <w:tcPr>
            <w:tcW w:w="375" w:type="pct"/>
            <w:vMerge w:val="restart"/>
            <w:tcMar>
              <w:top w:w="10" w:type="dxa"/>
              <w:left w:w="10" w:type="dxa"/>
              <w:right w:w="10" w:type="dxa"/>
            </w:tcMar>
            <w:vAlign w:val="center"/>
          </w:tcPr>
          <w:p w14:paraId="4088E210">
            <w:pPr>
              <w:spacing w:line="240" w:lineRule="exact"/>
              <w:jc w:val="center"/>
              <w:rPr>
                <w:rFonts w:hint="eastAsia" w:ascii="宋体" w:eastAsia="宋体" w:cs="宋体"/>
                <w:lang w:eastAsia="zh-CN"/>
              </w:rPr>
            </w:pPr>
            <w:r>
              <w:rPr>
                <w:rFonts w:hint="eastAsia" w:ascii="宋体" w:cs="宋体"/>
              </w:rPr>
              <w:t>履职</w:t>
            </w:r>
          </w:p>
          <w:p w14:paraId="5EDA1EF7">
            <w:pPr>
              <w:spacing w:line="240" w:lineRule="exact"/>
              <w:jc w:val="center"/>
              <w:rPr>
                <w:rFonts w:ascii="宋体" w:cs="宋体"/>
              </w:rPr>
            </w:pPr>
            <w:r>
              <w:rPr>
                <w:rFonts w:hint="eastAsia" w:ascii="宋体" w:cs="宋体"/>
              </w:rPr>
              <w:t>效益（</w:t>
            </w:r>
            <w:r>
              <w:rPr>
                <w:rFonts w:ascii="宋体" w:cs="宋体"/>
              </w:rPr>
              <w:t>20</w:t>
            </w:r>
            <w:r>
              <w:rPr>
                <w:rFonts w:hint="eastAsia" w:ascii="宋体" w:cs="宋体"/>
              </w:rPr>
              <w:t>分）</w:t>
            </w:r>
          </w:p>
        </w:tc>
        <w:tc>
          <w:tcPr>
            <w:tcW w:w="500" w:type="pct"/>
            <w:tcMar>
              <w:top w:w="10" w:type="dxa"/>
              <w:left w:w="10" w:type="dxa"/>
              <w:right w:w="10" w:type="dxa"/>
            </w:tcMar>
            <w:vAlign w:val="center"/>
          </w:tcPr>
          <w:p w14:paraId="1274FC77">
            <w:pPr>
              <w:spacing w:line="240" w:lineRule="exact"/>
              <w:jc w:val="center"/>
              <w:rPr>
                <w:rFonts w:ascii="宋体" w:cs="宋体"/>
              </w:rPr>
            </w:pPr>
            <w:r>
              <w:rPr>
                <w:rFonts w:hint="eastAsia" w:ascii="宋体" w:cs="宋体"/>
              </w:rPr>
              <w:t>经济效益（</w:t>
            </w:r>
            <w:r>
              <w:rPr>
                <w:rFonts w:ascii="宋体" w:cs="宋体"/>
              </w:rPr>
              <w:t>5</w:t>
            </w:r>
            <w:r>
              <w:rPr>
                <w:rFonts w:hint="eastAsia" w:ascii="宋体" w:cs="宋体"/>
              </w:rPr>
              <w:t>分）</w:t>
            </w:r>
          </w:p>
        </w:tc>
        <w:tc>
          <w:tcPr>
            <w:tcW w:w="375" w:type="pct"/>
          </w:tcPr>
          <w:p w14:paraId="59CEDE45">
            <w:pPr>
              <w:tabs>
                <w:tab w:val="left" w:pos="2604"/>
              </w:tabs>
              <w:spacing w:line="240" w:lineRule="exact"/>
              <w:ind w:left="105" w:leftChars="50" w:right="105" w:rightChars="50" w:firstLine="96" w:firstLineChars="46"/>
              <w:jc w:val="center"/>
              <w:rPr>
                <w:rFonts w:ascii="宋体" w:cs="宋体"/>
              </w:rPr>
            </w:pPr>
          </w:p>
          <w:p w14:paraId="754ED674">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14:paraId="0575AF1A">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部门履行职责对经济发展所带来的直接或间接影响。</w:t>
            </w:r>
          </w:p>
        </w:tc>
        <w:tc>
          <w:tcPr>
            <w:tcW w:w="1866" w:type="pct"/>
            <w:vMerge w:val="restart"/>
            <w:tcMar>
              <w:top w:w="10" w:type="dxa"/>
              <w:left w:w="10" w:type="dxa"/>
              <w:right w:w="10" w:type="dxa"/>
            </w:tcMar>
            <w:vAlign w:val="center"/>
          </w:tcPr>
          <w:p w14:paraId="350A8E56">
            <w:pPr>
              <w:spacing w:line="240" w:lineRule="exact"/>
              <w:ind w:left="105" w:leftChars="50" w:right="105" w:rightChars="50"/>
              <w:rPr>
                <w:rFonts w:ascii="宋体" w:cs="宋体"/>
              </w:rPr>
            </w:pPr>
            <w:r>
              <w:rPr>
                <w:rFonts w:hint="eastAsia" w:ascii="宋体" w:cs="宋体"/>
              </w:rPr>
              <w:t>此三项指标为设置部门整体支出绩效评价指标时必须考虑的共性要素，可根据部门实际并结合部门整体支出绩效目标设立情况有选择的进行设置，并将其细化为相应的个性化指标。</w:t>
            </w:r>
          </w:p>
        </w:tc>
      </w:tr>
      <w:tr w14:paraId="4FE7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6" w:type="pct"/>
            <w:vMerge w:val="continue"/>
            <w:vAlign w:val="center"/>
          </w:tcPr>
          <w:p w14:paraId="61D1B714"/>
        </w:tc>
        <w:tc>
          <w:tcPr>
            <w:tcW w:w="375" w:type="pct"/>
            <w:vMerge w:val="continue"/>
            <w:vAlign w:val="center"/>
          </w:tcPr>
          <w:p w14:paraId="032DCEE4"/>
        </w:tc>
        <w:tc>
          <w:tcPr>
            <w:tcW w:w="500" w:type="pct"/>
            <w:tcMar>
              <w:top w:w="10" w:type="dxa"/>
              <w:left w:w="10" w:type="dxa"/>
              <w:right w:w="10" w:type="dxa"/>
            </w:tcMar>
            <w:vAlign w:val="center"/>
          </w:tcPr>
          <w:p w14:paraId="53238C40">
            <w:pPr>
              <w:spacing w:line="240" w:lineRule="exact"/>
              <w:jc w:val="center"/>
              <w:rPr>
                <w:rFonts w:ascii="宋体" w:cs="宋体"/>
              </w:rPr>
            </w:pPr>
            <w:r>
              <w:rPr>
                <w:rFonts w:hint="eastAsia" w:ascii="宋体" w:cs="宋体"/>
              </w:rPr>
              <w:t>社会效益（</w:t>
            </w:r>
            <w:r>
              <w:rPr>
                <w:rFonts w:ascii="宋体" w:cs="宋体"/>
              </w:rPr>
              <w:t>5</w:t>
            </w:r>
            <w:r>
              <w:rPr>
                <w:rFonts w:hint="eastAsia" w:ascii="宋体" w:cs="宋体"/>
              </w:rPr>
              <w:t>分）</w:t>
            </w:r>
          </w:p>
        </w:tc>
        <w:tc>
          <w:tcPr>
            <w:tcW w:w="375" w:type="pct"/>
          </w:tcPr>
          <w:p w14:paraId="01B5F3D1">
            <w:pPr>
              <w:tabs>
                <w:tab w:val="left" w:pos="2604"/>
              </w:tabs>
              <w:spacing w:line="240" w:lineRule="exact"/>
              <w:ind w:left="105" w:leftChars="50" w:right="105" w:rightChars="50" w:firstLine="96" w:firstLineChars="46"/>
              <w:jc w:val="center"/>
              <w:rPr>
                <w:rFonts w:ascii="宋体" w:cs="宋体"/>
              </w:rPr>
            </w:pPr>
          </w:p>
          <w:p w14:paraId="07B338A9">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14:paraId="3648CB56">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部门履行职责对社会发展所带来的直接或间接影响。</w:t>
            </w:r>
          </w:p>
        </w:tc>
        <w:tc>
          <w:tcPr>
            <w:tcW w:w="1866" w:type="pct"/>
            <w:vMerge w:val="continue"/>
            <w:vAlign w:val="center"/>
          </w:tcPr>
          <w:p w14:paraId="446A5BEB"/>
        </w:tc>
      </w:tr>
      <w:tr w14:paraId="395F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6" w:type="pct"/>
            <w:vMerge w:val="continue"/>
            <w:vAlign w:val="center"/>
          </w:tcPr>
          <w:p w14:paraId="62EBA48E"/>
        </w:tc>
        <w:tc>
          <w:tcPr>
            <w:tcW w:w="375" w:type="pct"/>
            <w:vMerge w:val="continue"/>
            <w:vAlign w:val="center"/>
          </w:tcPr>
          <w:p w14:paraId="56E2A58C"/>
        </w:tc>
        <w:tc>
          <w:tcPr>
            <w:tcW w:w="500" w:type="pct"/>
            <w:tcMar>
              <w:top w:w="10" w:type="dxa"/>
              <w:left w:w="10" w:type="dxa"/>
              <w:right w:w="10" w:type="dxa"/>
            </w:tcMar>
            <w:vAlign w:val="center"/>
          </w:tcPr>
          <w:p w14:paraId="503A68ED">
            <w:pPr>
              <w:spacing w:line="240" w:lineRule="exact"/>
              <w:jc w:val="center"/>
              <w:rPr>
                <w:rFonts w:ascii="宋体" w:cs="宋体"/>
              </w:rPr>
            </w:pPr>
            <w:r>
              <w:rPr>
                <w:rFonts w:hint="eastAsia" w:ascii="宋体" w:cs="宋体"/>
              </w:rPr>
              <w:t>生态效益（</w:t>
            </w:r>
            <w:r>
              <w:rPr>
                <w:rFonts w:ascii="宋体" w:cs="宋体"/>
              </w:rPr>
              <w:t>5</w:t>
            </w:r>
            <w:r>
              <w:rPr>
                <w:rFonts w:hint="eastAsia" w:ascii="宋体" w:cs="宋体"/>
              </w:rPr>
              <w:t>分）</w:t>
            </w:r>
          </w:p>
        </w:tc>
        <w:tc>
          <w:tcPr>
            <w:tcW w:w="375" w:type="pct"/>
          </w:tcPr>
          <w:p w14:paraId="55E611F7">
            <w:pPr>
              <w:tabs>
                <w:tab w:val="left" w:pos="2604"/>
              </w:tabs>
              <w:spacing w:line="240" w:lineRule="exact"/>
              <w:ind w:left="105" w:leftChars="50" w:right="105" w:rightChars="50" w:firstLine="96" w:firstLineChars="46"/>
              <w:jc w:val="center"/>
              <w:rPr>
                <w:rFonts w:ascii="宋体" w:cs="宋体"/>
              </w:rPr>
            </w:pPr>
          </w:p>
          <w:p w14:paraId="4FCC7D35">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576" w:type="pct"/>
            <w:tcMar>
              <w:top w:w="10" w:type="dxa"/>
              <w:left w:w="10" w:type="dxa"/>
              <w:right w:w="10" w:type="dxa"/>
            </w:tcMar>
            <w:vAlign w:val="center"/>
          </w:tcPr>
          <w:p w14:paraId="480C45FD">
            <w:pPr>
              <w:tabs>
                <w:tab w:val="left" w:pos="2604"/>
              </w:tabs>
              <w:spacing w:line="240" w:lineRule="exact"/>
              <w:ind w:left="105" w:leftChars="50" w:right="105" w:rightChars="50" w:firstLine="96" w:firstLineChars="46"/>
              <w:rPr>
                <w:rFonts w:ascii="宋体" w:cs="宋体"/>
              </w:rPr>
            </w:pPr>
            <w:r>
              <w:rPr>
                <w:rFonts w:hint="eastAsia" w:ascii="宋体" w:cs="宋体"/>
              </w:rPr>
              <w:t>部门履行职责对生态环境所带来的直接或间接影响。</w:t>
            </w:r>
          </w:p>
        </w:tc>
        <w:tc>
          <w:tcPr>
            <w:tcW w:w="1866" w:type="pct"/>
            <w:vMerge w:val="continue"/>
            <w:vAlign w:val="center"/>
          </w:tcPr>
          <w:p w14:paraId="5E428684"/>
        </w:tc>
      </w:tr>
      <w:tr w14:paraId="444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6" w:type="pct"/>
            <w:vMerge w:val="continue"/>
            <w:vAlign w:val="center"/>
          </w:tcPr>
          <w:p w14:paraId="28BB45DD"/>
        </w:tc>
        <w:tc>
          <w:tcPr>
            <w:tcW w:w="375" w:type="pct"/>
            <w:vMerge w:val="continue"/>
            <w:vAlign w:val="center"/>
          </w:tcPr>
          <w:p w14:paraId="3E118ECB"/>
        </w:tc>
        <w:tc>
          <w:tcPr>
            <w:tcW w:w="500" w:type="pct"/>
            <w:tcMar>
              <w:top w:w="10" w:type="dxa"/>
              <w:left w:w="10" w:type="dxa"/>
              <w:right w:w="10" w:type="dxa"/>
            </w:tcMar>
            <w:vAlign w:val="center"/>
          </w:tcPr>
          <w:p w14:paraId="42D6319C">
            <w:pPr>
              <w:spacing w:line="240" w:lineRule="exact"/>
              <w:jc w:val="center"/>
              <w:rPr>
                <w:rFonts w:ascii="宋体" w:cs="宋体"/>
              </w:rPr>
            </w:pPr>
            <w:r>
              <w:rPr>
                <w:rFonts w:hint="eastAsia" w:ascii="宋体" w:cs="宋体"/>
              </w:rPr>
              <w:t>社会公众</w:t>
            </w:r>
          </w:p>
          <w:p w14:paraId="0F2FF2F9">
            <w:pPr>
              <w:spacing w:line="240" w:lineRule="exact"/>
              <w:jc w:val="center"/>
              <w:rPr>
                <w:rFonts w:ascii="宋体" w:cs="宋体"/>
              </w:rPr>
            </w:pPr>
            <w:r>
              <w:rPr>
                <w:rFonts w:hint="eastAsia" w:ascii="宋体" w:cs="宋体"/>
              </w:rPr>
              <w:t>或服务对</w:t>
            </w:r>
          </w:p>
          <w:p w14:paraId="274EF824">
            <w:pPr>
              <w:spacing w:line="240" w:lineRule="exact"/>
              <w:jc w:val="center"/>
              <w:rPr>
                <w:rFonts w:ascii="宋体" w:cs="宋体"/>
              </w:rPr>
            </w:pPr>
            <w:r>
              <w:rPr>
                <w:rFonts w:hint="eastAsia" w:ascii="宋体" w:cs="宋体"/>
              </w:rPr>
              <w:t>象满意度（</w:t>
            </w:r>
            <w:r>
              <w:rPr>
                <w:rFonts w:ascii="宋体" w:cs="宋体"/>
              </w:rPr>
              <w:t>5</w:t>
            </w:r>
            <w:r>
              <w:rPr>
                <w:rFonts w:hint="eastAsia" w:ascii="宋体" w:cs="宋体"/>
              </w:rPr>
              <w:t>分）</w:t>
            </w:r>
          </w:p>
        </w:tc>
        <w:tc>
          <w:tcPr>
            <w:tcW w:w="375" w:type="pct"/>
          </w:tcPr>
          <w:p w14:paraId="508BDEBC">
            <w:pPr>
              <w:tabs>
                <w:tab w:val="left" w:pos="2604"/>
              </w:tabs>
              <w:spacing w:line="240" w:lineRule="exact"/>
              <w:ind w:left="105" w:leftChars="50" w:right="105" w:rightChars="50" w:firstLine="96" w:firstLineChars="46"/>
              <w:jc w:val="center"/>
              <w:rPr>
                <w:rFonts w:ascii="宋体" w:cs="宋体"/>
              </w:rPr>
            </w:pPr>
          </w:p>
          <w:p w14:paraId="78737061">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576" w:type="pct"/>
            <w:tcMar>
              <w:top w:w="10" w:type="dxa"/>
              <w:left w:w="10" w:type="dxa"/>
              <w:right w:w="10" w:type="dxa"/>
            </w:tcMar>
            <w:vAlign w:val="center"/>
          </w:tcPr>
          <w:p w14:paraId="206A1EB1">
            <w:pPr>
              <w:tabs>
                <w:tab w:val="left" w:pos="2604"/>
              </w:tabs>
              <w:spacing w:line="240" w:lineRule="exact"/>
              <w:ind w:left="105" w:leftChars="50" w:right="105" w:rightChars="50" w:firstLine="96" w:firstLineChars="46"/>
              <w:rPr>
                <w:rFonts w:ascii="宋体" w:cs="宋体"/>
              </w:rPr>
            </w:pPr>
            <w:r>
              <w:rPr>
                <w:rFonts w:hint="eastAsia" w:ascii="宋体" w:cs="宋体"/>
              </w:rPr>
              <w:t>社会公众或部门的服务对象对部门履职效果的满意程度。</w:t>
            </w:r>
          </w:p>
        </w:tc>
        <w:tc>
          <w:tcPr>
            <w:tcW w:w="1866" w:type="pct"/>
            <w:tcMar>
              <w:top w:w="10" w:type="dxa"/>
              <w:left w:w="10" w:type="dxa"/>
              <w:right w:w="10" w:type="dxa"/>
            </w:tcMar>
            <w:vAlign w:val="center"/>
          </w:tcPr>
          <w:p w14:paraId="2970EA75">
            <w:pPr>
              <w:spacing w:line="240" w:lineRule="exact"/>
              <w:ind w:left="105" w:leftChars="50" w:right="105" w:rightChars="50"/>
              <w:rPr>
                <w:rFonts w:ascii="宋体" w:cs="宋体"/>
              </w:rPr>
            </w:pPr>
            <w:r>
              <w:rPr>
                <w:rFonts w:hint="eastAsia" w:ascii="宋体" w:cs="宋体"/>
              </w:rPr>
              <w:t>社会公众或服务对象是指部门履行职责而影响到的部门、群体或个人。一般采取社会调查的方式。</w:t>
            </w:r>
          </w:p>
        </w:tc>
      </w:tr>
      <w:tr w14:paraId="76B5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6" w:type="pct"/>
            <w:vAlign w:val="center"/>
          </w:tcPr>
          <w:p w14:paraId="2C080579">
            <w:pPr>
              <w:spacing w:line="240" w:lineRule="exact"/>
              <w:rPr>
                <w:rFonts w:ascii="宋体" w:cs="宋体"/>
              </w:rPr>
            </w:pPr>
            <w:r>
              <w:rPr>
                <w:rFonts w:hint="eastAsia" w:ascii="宋体" w:cs="宋体"/>
              </w:rPr>
              <w:t>总分</w:t>
            </w:r>
          </w:p>
        </w:tc>
        <w:tc>
          <w:tcPr>
            <w:tcW w:w="375" w:type="pct"/>
            <w:vAlign w:val="center"/>
          </w:tcPr>
          <w:p w14:paraId="1FFF39CF">
            <w:pPr>
              <w:spacing w:line="240" w:lineRule="exact"/>
              <w:rPr>
                <w:rFonts w:ascii="宋体" w:cs="宋体"/>
              </w:rPr>
            </w:pPr>
          </w:p>
        </w:tc>
        <w:tc>
          <w:tcPr>
            <w:tcW w:w="500" w:type="pct"/>
            <w:tcMar>
              <w:top w:w="10" w:type="dxa"/>
              <w:left w:w="10" w:type="dxa"/>
              <w:right w:w="10" w:type="dxa"/>
            </w:tcMar>
            <w:vAlign w:val="center"/>
          </w:tcPr>
          <w:p w14:paraId="68ACFFDA">
            <w:pPr>
              <w:spacing w:line="240" w:lineRule="exact"/>
              <w:jc w:val="center"/>
              <w:rPr>
                <w:rFonts w:ascii="宋体" w:cs="宋体"/>
              </w:rPr>
            </w:pPr>
          </w:p>
        </w:tc>
        <w:tc>
          <w:tcPr>
            <w:tcW w:w="375" w:type="pct"/>
          </w:tcPr>
          <w:p w14:paraId="1311C491">
            <w:pPr>
              <w:tabs>
                <w:tab w:val="left" w:pos="2604"/>
              </w:tabs>
              <w:spacing w:line="240" w:lineRule="exact"/>
              <w:ind w:left="105" w:leftChars="50" w:right="105" w:rightChars="50" w:firstLine="96" w:firstLineChars="46"/>
              <w:jc w:val="center"/>
              <w:rPr>
                <w:rFonts w:ascii="宋体" w:cs="宋体"/>
              </w:rPr>
            </w:pPr>
          </w:p>
          <w:p w14:paraId="082C752C">
            <w:pPr>
              <w:tabs>
                <w:tab w:val="left" w:pos="2604"/>
              </w:tabs>
              <w:spacing w:line="240" w:lineRule="exact"/>
              <w:ind w:left="105" w:leftChars="50" w:right="105" w:rightChars="50" w:firstLine="96" w:firstLineChars="46"/>
              <w:jc w:val="center"/>
              <w:rPr>
                <w:rFonts w:ascii="宋体" w:cs="宋体"/>
              </w:rPr>
            </w:pPr>
            <w:r>
              <w:rPr>
                <w:rFonts w:hint="eastAsia" w:ascii="宋体" w:cs="宋体"/>
              </w:rPr>
              <w:t>95</w:t>
            </w:r>
          </w:p>
        </w:tc>
        <w:tc>
          <w:tcPr>
            <w:tcW w:w="1576" w:type="pct"/>
            <w:tcMar>
              <w:top w:w="10" w:type="dxa"/>
              <w:left w:w="10" w:type="dxa"/>
              <w:right w:w="10" w:type="dxa"/>
            </w:tcMar>
            <w:vAlign w:val="center"/>
          </w:tcPr>
          <w:p w14:paraId="2DA09B99">
            <w:pPr>
              <w:tabs>
                <w:tab w:val="left" w:pos="2604"/>
              </w:tabs>
              <w:spacing w:line="240" w:lineRule="exact"/>
              <w:ind w:left="105" w:leftChars="50" w:right="105" w:rightChars="50" w:firstLine="96" w:firstLineChars="46"/>
              <w:rPr>
                <w:rFonts w:ascii="宋体" w:cs="宋体"/>
              </w:rPr>
            </w:pPr>
          </w:p>
        </w:tc>
        <w:tc>
          <w:tcPr>
            <w:tcW w:w="1866" w:type="pct"/>
            <w:tcMar>
              <w:top w:w="10" w:type="dxa"/>
              <w:left w:w="10" w:type="dxa"/>
              <w:right w:w="10" w:type="dxa"/>
            </w:tcMar>
            <w:vAlign w:val="center"/>
          </w:tcPr>
          <w:p w14:paraId="21317FF7">
            <w:pPr>
              <w:spacing w:line="240" w:lineRule="exact"/>
              <w:ind w:left="105" w:leftChars="50" w:right="105" w:rightChars="50"/>
              <w:rPr>
                <w:rFonts w:ascii="宋体" w:cs="宋体"/>
              </w:rPr>
            </w:pPr>
          </w:p>
        </w:tc>
      </w:tr>
    </w:tbl>
    <w:p w14:paraId="675C5B54"/>
    <w:sectPr>
      <w:footerReference r:id="rId3" w:type="default"/>
      <w:pgSz w:w="11906" w:h="16838"/>
      <w:pgMar w:top="2098" w:right="1474" w:bottom="1985" w:left="1588"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008736"/>
      <w:docPartObj>
        <w:docPartGallery w:val="AutoText"/>
      </w:docPartObj>
    </w:sdtPr>
    <w:sdtContent>
      <w:p w14:paraId="7678F9AD">
        <w:pPr>
          <w:pStyle w:val="6"/>
          <w:jc w:val="center"/>
        </w:pPr>
        <w:r>
          <w:fldChar w:fldCharType="begin"/>
        </w:r>
        <w:r>
          <w:instrText xml:space="preserve">PAGE   \* MERGEFORMAT</w:instrText>
        </w:r>
        <w:r>
          <w:fldChar w:fldCharType="separate"/>
        </w:r>
        <w:r>
          <w:rPr>
            <w:lang w:val="zh-CN"/>
          </w:rPr>
          <w:t>8</w:t>
        </w:r>
        <w:r>
          <w:fldChar w:fldCharType="end"/>
        </w:r>
      </w:p>
    </w:sdtContent>
  </w:sdt>
  <w:p w14:paraId="71EA744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DJkZDM1N2MwNGE2NmM2MzMyNzY1OGRjNWZiZWIifQ=="/>
  </w:docVars>
  <w:rsids>
    <w:rsidRoot w:val="007357F7"/>
    <w:rsid w:val="00107247"/>
    <w:rsid w:val="001B1E52"/>
    <w:rsid w:val="00581F48"/>
    <w:rsid w:val="006665D8"/>
    <w:rsid w:val="007357F7"/>
    <w:rsid w:val="00C023AC"/>
    <w:rsid w:val="00C13862"/>
    <w:rsid w:val="00EE679E"/>
    <w:rsid w:val="00FF3A75"/>
    <w:rsid w:val="561D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kern w:val="0"/>
      <w:sz w:val="24"/>
      <w:szCs w:val="24"/>
    </w:rPr>
  </w:style>
  <w:style w:type="paragraph" w:styleId="11">
    <w:name w:val="List Paragraph"/>
    <w:basedOn w:val="1"/>
    <w:qFormat/>
    <w:uiPriority w:val="0"/>
    <w:pPr>
      <w:ind w:firstLine="200" w:firstLineChars="200"/>
    </w:pPr>
  </w:style>
  <w:style w:type="character" w:customStyle="1" w:styleId="12">
    <w:name w:val="15"/>
    <w:basedOn w:val="10"/>
    <w:qFormat/>
    <w:uiPriority w:val="0"/>
    <w:rPr>
      <w:rFonts w:ascii="Calibri" w:hAnsi="Calibri" w:cs="Times New Roman"/>
      <w:b/>
      <w:bCs/>
    </w:rPr>
  </w:style>
  <w:style w:type="character" w:customStyle="1" w:styleId="13">
    <w:name w:val="16"/>
    <w:basedOn w:val="10"/>
    <w:qFormat/>
    <w:uiPriority w:val="0"/>
    <w:rPr>
      <w:rFonts w:ascii="Calibri" w:hAnsi="Calibri"/>
    </w:rPr>
  </w:style>
  <w:style w:type="paragraph" w:customStyle="1" w:styleId="14">
    <w:name w:val="正文1"/>
    <w:qFormat/>
    <w:uiPriority w:val="0"/>
    <w:pPr>
      <w:snapToGrid w:val="0"/>
      <w:spacing w:after="200"/>
    </w:pPr>
    <w:rPr>
      <w:rFonts w:ascii="Tahoma" w:hAnsi="Tahoma" w:eastAsia="微软雅黑" w:cs="Arial"/>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11117</Words>
  <Characters>11990</Characters>
  <Lines>89</Lines>
  <Paragraphs>25</Paragraphs>
  <TotalTime>71</TotalTime>
  <ScaleCrop>false</ScaleCrop>
  <LinksUpToDate>false</LinksUpToDate>
  <CharactersWithSpaces>12042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2021-10-21T02:49:00Z</dcterms:created>
  <dc:creator>Administrator</dc:creator>
  <cp:lastModifiedBy>86158</cp:lastModifiedBy>
  <cp:lastPrinted>2022-05-27T03:19:00Z</cp:lastPrinted>
  <dcterms:modified xsi:type="dcterms:W3CDTF">2024-07-26T08:31:12Z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5AE9DE9F51264DB1922C79D870BA815E_13</vt:lpwstr>
  </property>
</Properties>
</file>