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2EC" w:rsidRDefault="00F732EC" w:rsidP="00F732EC">
      <w:pPr>
        <w:rPr>
          <w:rFonts w:ascii="黑体" w:eastAsia="黑体" w:hAnsi="黑体" w:cs="仿宋"/>
          <w:sz w:val="32"/>
          <w:szCs w:val="32"/>
        </w:rPr>
      </w:pPr>
      <w:r>
        <w:rPr>
          <w:rFonts w:ascii="黑体" w:eastAsia="黑体" w:hAnsi="黑体" w:cs="仿宋" w:hint="eastAsia"/>
          <w:sz w:val="32"/>
          <w:szCs w:val="32"/>
        </w:rPr>
        <w:t>附件一</w:t>
      </w:r>
    </w:p>
    <w:p w:rsidR="00B163F5" w:rsidRDefault="00796530">
      <w:pPr>
        <w:widowControl/>
        <w:autoSpaceDN w:val="0"/>
        <w:spacing w:line="576" w:lineRule="exact"/>
        <w:jc w:val="center"/>
        <w:rPr>
          <w:rFonts w:ascii="微软雅黑" w:eastAsia="微软雅黑" w:hAnsi="仿宋" w:cs="宋体"/>
          <w:bCs/>
          <w:kern w:val="0"/>
          <w:sz w:val="44"/>
          <w:szCs w:val="44"/>
        </w:rPr>
      </w:pPr>
      <w:r>
        <w:rPr>
          <w:rFonts w:ascii="微软雅黑" w:eastAsia="微软雅黑" w:hAnsi="仿宋" w:cs="宋体" w:hint="eastAsia"/>
          <w:bCs/>
          <w:kern w:val="0"/>
          <w:sz w:val="44"/>
          <w:szCs w:val="44"/>
        </w:rPr>
        <w:t>2023</w:t>
      </w:r>
      <w:r>
        <w:rPr>
          <w:rFonts w:ascii="微软雅黑" w:eastAsia="微软雅黑" w:hAnsi="仿宋" w:cs="宋体" w:hint="eastAsia"/>
          <w:bCs/>
          <w:kern w:val="0"/>
          <w:sz w:val="44"/>
          <w:szCs w:val="44"/>
        </w:rPr>
        <w:t>年度</w:t>
      </w:r>
      <w:r>
        <w:rPr>
          <w:rFonts w:ascii="微软雅黑" w:eastAsia="微软雅黑" w:hAnsi="仿宋" w:cs="宋体" w:hint="eastAsia"/>
          <w:bCs/>
          <w:kern w:val="0"/>
          <w:sz w:val="44"/>
          <w:szCs w:val="44"/>
        </w:rPr>
        <w:t>赫山区交通运输局</w:t>
      </w:r>
    </w:p>
    <w:p w:rsidR="00B163F5" w:rsidRDefault="00796530">
      <w:pPr>
        <w:widowControl/>
        <w:autoSpaceDN w:val="0"/>
        <w:spacing w:line="576" w:lineRule="exact"/>
        <w:jc w:val="center"/>
        <w:rPr>
          <w:rFonts w:ascii="微软雅黑" w:eastAsia="微软雅黑" w:hAnsi="仿宋" w:cs="宋体"/>
          <w:bCs/>
          <w:kern w:val="0"/>
          <w:sz w:val="44"/>
          <w:szCs w:val="44"/>
        </w:rPr>
      </w:pPr>
      <w:r>
        <w:rPr>
          <w:rFonts w:ascii="微软雅黑" w:eastAsia="微软雅黑" w:hAnsi="仿宋" w:cs="宋体" w:hint="eastAsia"/>
          <w:bCs/>
          <w:kern w:val="0"/>
          <w:sz w:val="44"/>
          <w:szCs w:val="44"/>
        </w:rPr>
        <w:t>整体支出绩效自评报告</w:t>
      </w:r>
    </w:p>
    <w:p w:rsidR="00B163F5" w:rsidRDefault="00796530">
      <w:pPr>
        <w:widowControl/>
        <w:spacing w:line="576" w:lineRule="exact"/>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一、部门</w:t>
      </w:r>
      <w:r>
        <w:rPr>
          <w:rFonts w:ascii="黑体" w:eastAsia="黑体" w:hAnsi="黑体" w:cs="宋体" w:hint="eastAsia"/>
          <w:color w:val="000000"/>
          <w:kern w:val="0"/>
          <w:sz w:val="32"/>
          <w:szCs w:val="32"/>
        </w:rPr>
        <w:t>(</w:t>
      </w:r>
      <w:r>
        <w:rPr>
          <w:rFonts w:ascii="黑体" w:eastAsia="黑体" w:hAnsi="黑体" w:cs="宋体" w:hint="eastAsia"/>
          <w:color w:val="000000"/>
          <w:kern w:val="0"/>
          <w:sz w:val="32"/>
          <w:szCs w:val="32"/>
        </w:rPr>
        <w:t>单位</w:t>
      </w:r>
      <w:r>
        <w:rPr>
          <w:rFonts w:ascii="黑体" w:eastAsia="黑体" w:hAnsi="黑体" w:cs="宋体" w:hint="eastAsia"/>
          <w:color w:val="000000"/>
          <w:kern w:val="0"/>
          <w:sz w:val="32"/>
          <w:szCs w:val="32"/>
        </w:rPr>
        <w:t>)</w:t>
      </w:r>
      <w:r>
        <w:rPr>
          <w:rFonts w:ascii="黑体" w:eastAsia="黑体" w:hAnsi="黑体" w:cs="宋体" w:hint="eastAsia"/>
          <w:color w:val="000000"/>
          <w:kern w:val="0"/>
          <w:sz w:val="32"/>
          <w:szCs w:val="32"/>
        </w:rPr>
        <w:t>基本情况</w:t>
      </w:r>
    </w:p>
    <w:p w:rsidR="00B163F5" w:rsidRDefault="00796530">
      <w:pPr>
        <w:widowControl/>
        <w:spacing w:line="576" w:lineRule="exact"/>
        <w:ind w:firstLineChars="200" w:firstLine="640"/>
        <w:jc w:val="left"/>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w:t>
      </w:r>
      <w:r>
        <w:rPr>
          <w:rFonts w:ascii="楷体_GB2312" w:eastAsia="楷体_GB2312" w:hAnsi="楷体_GB2312" w:cs="楷体_GB2312" w:hint="eastAsia"/>
          <w:color w:val="000000"/>
          <w:kern w:val="0"/>
          <w:sz w:val="32"/>
          <w:szCs w:val="32"/>
        </w:rPr>
        <w:t>一</w:t>
      </w:r>
      <w:r>
        <w:rPr>
          <w:rFonts w:ascii="楷体_GB2312" w:eastAsia="楷体_GB2312" w:hAnsi="楷体_GB2312" w:cs="楷体_GB2312" w:hint="eastAsia"/>
          <w:color w:val="000000"/>
          <w:kern w:val="0"/>
          <w:sz w:val="32"/>
          <w:szCs w:val="32"/>
        </w:rPr>
        <w:t>)2023</w:t>
      </w:r>
      <w:r>
        <w:rPr>
          <w:rFonts w:ascii="楷体_GB2312" w:eastAsia="楷体_GB2312" w:hAnsi="楷体_GB2312" w:cs="楷体_GB2312" w:hint="eastAsia"/>
          <w:color w:val="000000"/>
          <w:kern w:val="0"/>
          <w:sz w:val="32"/>
          <w:szCs w:val="32"/>
        </w:rPr>
        <w:t>年度重点工作</w:t>
      </w:r>
    </w:p>
    <w:p w:rsidR="00B163F5" w:rsidRDefault="00796530">
      <w:pPr>
        <w:pStyle w:val="a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ascii="仿宋" w:eastAsia="仿宋" w:hAnsi="仿宋" w:cs="仿宋" w:hint="eastAsia"/>
          <w:color w:val="333333"/>
          <w:sz w:val="32"/>
          <w:szCs w:val="32"/>
          <w:shd w:val="clear" w:color="auto" w:fill="FFFFFF"/>
        </w:rPr>
        <w:t> </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保障</w:t>
      </w:r>
      <w:r>
        <w:rPr>
          <w:rFonts w:ascii="仿宋" w:eastAsia="仿宋" w:hAnsi="仿宋" w:cs="仿宋" w:hint="eastAsia"/>
          <w:color w:val="333333"/>
          <w:sz w:val="32"/>
          <w:szCs w:val="32"/>
          <w:shd w:val="clear" w:color="auto" w:fill="FFFFFF"/>
        </w:rPr>
        <w:t>辖区交通运输工程及城乡客货运输基础设施建设市场行业监督管理，维护交通基础设施建设市场秩序</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编制辖区道路运输工程及城乡客货运输基础设施建设总体规划和年度计划并组织实施</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负责辖区交通运输建设工程招投标和工程造价、工程质量、安全生产的监督管理</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负责辖区交通基础设施建设与养护工作</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承担交通基本建设项目的绩效监督和管理工作。</w:t>
      </w:r>
    </w:p>
    <w:p w:rsidR="00B163F5" w:rsidRDefault="00796530">
      <w:pPr>
        <w:pStyle w:val="a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保障</w:t>
      </w:r>
      <w:r>
        <w:rPr>
          <w:rFonts w:ascii="仿宋" w:eastAsia="仿宋" w:hAnsi="仿宋" w:cs="仿宋" w:hint="eastAsia"/>
          <w:color w:val="333333"/>
          <w:sz w:val="32"/>
          <w:szCs w:val="32"/>
          <w:shd w:val="clear" w:color="auto" w:fill="FFFFFF"/>
        </w:rPr>
        <w:t>辖区交通运输和城乡客货运输设施等固定资产投资规模和方向、区级财政性资金安排工作</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按区政府规定权限审批、核准辖区规划内和年度计划内固定资产投资项目。</w:t>
      </w:r>
    </w:p>
    <w:p w:rsidR="00B163F5" w:rsidRDefault="00796530">
      <w:pPr>
        <w:pStyle w:val="a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保障</w:t>
      </w:r>
      <w:r>
        <w:rPr>
          <w:rFonts w:ascii="仿宋" w:eastAsia="仿宋" w:hAnsi="仿宋" w:cs="仿宋" w:hint="eastAsia"/>
          <w:color w:val="333333"/>
          <w:sz w:val="32"/>
          <w:szCs w:val="32"/>
          <w:shd w:val="clear" w:color="auto" w:fill="FFFFFF"/>
        </w:rPr>
        <w:t>监督实施辖区交通运输行业科技标</w:t>
      </w:r>
      <w:r>
        <w:rPr>
          <w:rFonts w:ascii="仿宋" w:eastAsia="仿宋" w:hAnsi="仿宋" w:cs="仿宋" w:hint="eastAsia"/>
          <w:color w:val="333333"/>
          <w:sz w:val="32"/>
          <w:szCs w:val="32"/>
          <w:shd w:val="clear" w:color="auto" w:fill="FFFFFF"/>
        </w:rPr>
        <w:t>准、规划并监督实施</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负责辖区交通运输信息化建设</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监测分析交通运输运行情况，发布有关信息</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负责交通运输行业环境保护和节能减排工作。</w:t>
      </w:r>
    </w:p>
    <w:p w:rsidR="00B163F5" w:rsidRDefault="00796530">
      <w:pPr>
        <w:pStyle w:val="a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保障</w:t>
      </w:r>
      <w:r>
        <w:rPr>
          <w:rFonts w:ascii="仿宋" w:eastAsia="仿宋" w:hAnsi="仿宋" w:cs="仿宋" w:hint="eastAsia"/>
          <w:color w:val="333333"/>
          <w:sz w:val="32"/>
          <w:szCs w:val="32"/>
          <w:shd w:val="clear" w:color="auto" w:fill="FFFFFF"/>
        </w:rPr>
        <w:t>辖区交通运输行业安全生产和应急管理工作</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按规定组织、协调区级重点物资和紧急客货运输</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负责辖区路网运行监测和应急处置协调</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承担辖区交通战备工作。</w:t>
      </w:r>
    </w:p>
    <w:p w:rsidR="00B163F5" w:rsidRDefault="00796530">
      <w:pPr>
        <w:pStyle w:val="a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ascii="仿宋" w:eastAsia="仿宋" w:hAnsi="仿宋" w:cs="仿宋" w:hint="eastAsia"/>
          <w:color w:val="333333"/>
          <w:sz w:val="32"/>
          <w:szCs w:val="32"/>
          <w:shd w:val="clear" w:color="auto" w:fill="FFFFFF"/>
        </w:rPr>
        <w:lastRenderedPageBreak/>
        <w:t>5</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保障</w:t>
      </w:r>
      <w:r>
        <w:rPr>
          <w:rFonts w:ascii="仿宋" w:eastAsia="仿宋" w:hAnsi="仿宋" w:cs="仿宋" w:hint="eastAsia"/>
          <w:color w:val="333333"/>
          <w:sz w:val="32"/>
          <w:szCs w:val="32"/>
          <w:shd w:val="clear" w:color="auto" w:fill="FFFFFF"/>
        </w:rPr>
        <w:t>辖区交通运输行业开展对外交流合作和交通外经外责工作。</w:t>
      </w:r>
    </w:p>
    <w:p w:rsidR="00B163F5" w:rsidRDefault="00796530">
      <w:pPr>
        <w:pStyle w:val="a5"/>
        <w:shd w:val="clear" w:color="auto" w:fill="FFFFFF"/>
        <w:spacing w:before="0" w:beforeAutospacing="0" w:after="0" w:afterAutospacing="0" w:line="560" w:lineRule="atLeast"/>
        <w:ind w:firstLine="640"/>
        <w:jc w:val="both"/>
        <w:rPr>
          <w:rFonts w:ascii="仿宋" w:eastAsia="仿宋" w:hAnsi="仿宋" w:cs="仿宋"/>
          <w:color w:val="3D3D3D"/>
          <w:sz w:val="32"/>
          <w:szCs w:val="32"/>
          <w:shd w:val="clear" w:color="auto" w:fill="FFFFFF"/>
        </w:rPr>
      </w:pPr>
      <w:r>
        <w:rPr>
          <w:rFonts w:ascii="仿宋" w:eastAsia="仿宋" w:hAnsi="仿宋" w:cs="仿宋" w:hint="eastAsia"/>
          <w:color w:val="333333"/>
          <w:sz w:val="32"/>
          <w:szCs w:val="32"/>
          <w:shd w:val="clear" w:color="auto" w:fill="FFFFFF"/>
        </w:rPr>
        <w:t>6</w:t>
      </w:r>
      <w:r>
        <w:rPr>
          <w:rFonts w:ascii="仿宋" w:eastAsia="仿宋" w:hAnsi="仿宋" w:cs="仿宋" w:hint="eastAsia"/>
          <w:color w:val="333333"/>
          <w:sz w:val="32"/>
          <w:szCs w:val="32"/>
          <w:shd w:val="clear" w:color="auto" w:fill="FFFFFF"/>
        </w:rPr>
        <w:t>、协调市级交通主管部门负责的水上与铁路等交通运输的相关工作。</w:t>
      </w:r>
    </w:p>
    <w:p w:rsidR="00B163F5" w:rsidRDefault="00796530">
      <w:pPr>
        <w:pStyle w:val="a5"/>
        <w:shd w:val="clear" w:color="auto" w:fill="FFFFFF"/>
        <w:spacing w:before="0" w:beforeAutospacing="0" w:after="0" w:afterAutospacing="0" w:line="594" w:lineRule="exact"/>
        <w:ind w:firstLineChars="200" w:firstLine="640"/>
        <w:jc w:val="both"/>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w:t>
      </w:r>
      <w:r>
        <w:rPr>
          <w:rFonts w:ascii="楷体_GB2312" w:eastAsia="楷体_GB2312" w:hAnsi="楷体_GB2312" w:cs="楷体_GB2312" w:hint="eastAsia"/>
          <w:color w:val="000000"/>
          <w:sz w:val="32"/>
          <w:szCs w:val="32"/>
        </w:rPr>
        <w:t>二</w:t>
      </w:r>
      <w:r>
        <w:rPr>
          <w:rFonts w:ascii="楷体_GB2312" w:eastAsia="楷体_GB2312" w:hAnsi="楷体_GB2312" w:cs="楷体_GB2312" w:hint="eastAsia"/>
          <w:color w:val="000000"/>
          <w:sz w:val="32"/>
          <w:szCs w:val="32"/>
        </w:rPr>
        <w:t>)</w:t>
      </w:r>
      <w:r>
        <w:rPr>
          <w:rFonts w:ascii="楷体_GB2312" w:eastAsia="楷体_GB2312" w:hAnsi="楷体_GB2312" w:cs="楷体_GB2312" w:hint="eastAsia"/>
          <w:color w:val="000000"/>
          <w:sz w:val="32"/>
          <w:szCs w:val="32"/>
        </w:rPr>
        <w:t>部门整体支出规模、使用方向、主要内容和涉及范围</w:t>
      </w:r>
    </w:p>
    <w:p w:rsidR="00B163F5" w:rsidRDefault="00796530">
      <w:pPr>
        <w:pStyle w:val="a5"/>
        <w:shd w:val="clear" w:color="auto" w:fill="FFFFFF"/>
        <w:spacing w:before="0" w:beforeAutospacing="0" w:after="0" w:afterAutospacing="0" w:line="594" w:lineRule="exact"/>
        <w:ind w:firstLineChars="200" w:firstLine="640"/>
        <w:jc w:val="both"/>
        <w:rPr>
          <w:rFonts w:ascii="仿宋" w:eastAsia="仿宋" w:hAnsi="仿宋" w:cs="仿宋"/>
          <w:color w:val="3D3D3D"/>
          <w:sz w:val="32"/>
          <w:szCs w:val="32"/>
          <w:shd w:val="clear" w:color="auto" w:fill="FFFFFF"/>
        </w:rPr>
      </w:pPr>
      <w:r>
        <w:rPr>
          <w:rFonts w:ascii="仿宋" w:eastAsia="仿宋" w:hAnsi="仿宋" w:cs="仿宋" w:hint="eastAsia"/>
          <w:color w:val="3D3D3D"/>
          <w:sz w:val="32"/>
          <w:szCs w:val="32"/>
          <w:shd w:val="clear" w:color="auto" w:fill="FFFFFF"/>
        </w:rPr>
        <w:t>2023</w:t>
      </w:r>
      <w:r>
        <w:rPr>
          <w:rFonts w:ascii="仿宋" w:eastAsia="仿宋" w:hAnsi="仿宋" w:cs="仿宋" w:hint="eastAsia"/>
          <w:color w:val="3D3D3D"/>
          <w:sz w:val="32"/>
          <w:szCs w:val="32"/>
          <w:shd w:val="clear" w:color="auto" w:fill="FFFFFF"/>
        </w:rPr>
        <w:t>年度整体支出总额</w:t>
      </w:r>
      <w:r>
        <w:rPr>
          <w:rFonts w:ascii="仿宋" w:eastAsia="仿宋" w:hAnsi="仿宋" w:cs="仿宋" w:hint="eastAsia"/>
          <w:color w:val="3D3D3D"/>
          <w:sz w:val="32"/>
          <w:szCs w:val="32"/>
          <w:shd w:val="clear" w:color="auto" w:fill="FFFFFF"/>
        </w:rPr>
        <w:t>8641.28</w:t>
      </w:r>
      <w:r>
        <w:rPr>
          <w:rFonts w:ascii="仿宋" w:eastAsia="仿宋" w:hAnsi="仿宋" w:cs="仿宋" w:hint="eastAsia"/>
          <w:color w:val="3D3D3D"/>
          <w:sz w:val="32"/>
          <w:szCs w:val="32"/>
          <w:shd w:val="clear" w:color="auto" w:fill="FFFFFF"/>
        </w:rPr>
        <w:t>万元，其中财政拨款收入</w:t>
      </w:r>
      <w:r>
        <w:rPr>
          <w:rFonts w:ascii="仿宋" w:eastAsia="仿宋" w:hAnsi="仿宋" w:cs="仿宋" w:hint="eastAsia"/>
          <w:color w:val="3D3D3D"/>
          <w:sz w:val="32"/>
          <w:szCs w:val="32"/>
          <w:shd w:val="clear" w:color="auto" w:fill="FFFFFF"/>
        </w:rPr>
        <w:t>8641.28</w:t>
      </w:r>
      <w:r>
        <w:rPr>
          <w:rFonts w:ascii="仿宋" w:eastAsia="仿宋" w:hAnsi="仿宋" w:cs="仿宋" w:hint="eastAsia"/>
          <w:color w:val="3D3D3D"/>
          <w:sz w:val="32"/>
          <w:szCs w:val="32"/>
          <w:shd w:val="clear" w:color="auto" w:fill="FFFFFF"/>
        </w:rPr>
        <w:t>万元，占总收入的</w:t>
      </w:r>
      <w:r>
        <w:rPr>
          <w:rFonts w:ascii="仿宋" w:eastAsia="仿宋" w:hAnsi="仿宋" w:cs="仿宋" w:hint="eastAsia"/>
          <w:color w:val="3D3D3D"/>
          <w:sz w:val="32"/>
          <w:szCs w:val="32"/>
          <w:shd w:val="clear" w:color="auto" w:fill="FFFFFF"/>
        </w:rPr>
        <w:t>100%</w:t>
      </w:r>
      <w:r>
        <w:rPr>
          <w:rFonts w:ascii="仿宋" w:eastAsia="仿宋" w:hAnsi="仿宋" w:cs="仿宋" w:hint="eastAsia"/>
          <w:color w:val="3D3D3D"/>
          <w:sz w:val="32"/>
          <w:szCs w:val="32"/>
          <w:shd w:val="clear" w:color="auto" w:fill="FFFFFF"/>
        </w:rPr>
        <w:t>。主要内容和涉及范围：人员经费包括基本工资、津贴补贴、奖金、其他社会保障缴费、退休费生活补助、住房公积金等；日常公用经费包括办公费、差旅费、培训费、公务接待费、劳务费、工会经费、福利费、公务用车运行维护费、其他交通费用、其他商品和服务支出等；项目支出主要包括其他对个人和家庭的补助支出、办公费、印刷费、邮电费、差旅费、维修（护）费、会议费、培训费、公务接待费、劳务费、委托业务费、公务用车运行维护费、其他交通费、其</w:t>
      </w:r>
      <w:r>
        <w:rPr>
          <w:rFonts w:ascii="仿宋" w:eastAsia="仿宋" w:hAnsi="仿宋" w:cs="仿宋" w:hint="eastAsia"/>
          <w:color w:val="3D3D3D"/>
          <w:sz w:val="32"/>
          <w:szCs w:val="32"/>
          <w:shd w:val="clear" w:color="auto" w:fill="FFFFFF"/>
        </w:rPr>
        <w:t>他商品和服务支出、办公设备购置。涉及人员经费、保障基本运转、开展各项专项业务工作、精准扶贫、党建所发生的全部支出。</w:t>
      </w:r>
    </w:p>
    <w:p w:rsidR="00B163F5" w:rsidRDefault="00796530">
      <w:pPr>
        <w:widowControl/>
        <w:spacing w:line="576" w:lineRule="exact"/>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二、一般公共预算支出情况</w:t>
      </w:r>
    </w:p>
    <w:p w:rsidR="00B163F5" w:rsidRDefault="00796530">
      <w:pPr>
        <w:widowControl/>
        <w:spacing w:line="576" w:lineRule="exact"/>
        <w:ind w:firstLineChars="200" w:firstLine="640"/>
        <w:jc w:val="left"/>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w:t>
      </w:r>
      <w:r>
        <w:rPr>
          <w:rFonts w:ascii="楷体_GB2312" w:eastAsia="楷体_GB2312" w:hAnsi="楷体_GB2312" w:cs="楷体_GB2312" w:hint="eastAsia"/>
          <w:color w:val="000000"/>
          <w:kern w:val="0"/>
          <w:sz w:val="32"/>
          <w:szCs w:val="32"/>
        </w:rPr>
        <w:t>一</w:t>
      </w:r>
      <w:r>
        <w:rPr>
          <w:rFonts w:ascii="楷体_GB2312" w:eastAsia="楷体_GB2312" w:hAnsi="楷体_GB2312" w:cs="楷体_GB2312" w:hint="eastAsia"/>
          <w:color w:val="000000"/>
          <w:kern w:val="0"/>
          <w:sz w:val="32"/>
          <w:szCs w:val="32"/>
        </w:rPr>
        <w:t>)</w:t>
      </w:r>
      <w:r>
        <w:rPr>
          <w:rFonts w:ascii="楷体_GB2312" w:eastAsia="楷体_GB2312" w:hAnsi="楷体_GB2312" w:cs="楷体_GB2312" w:hint="eastAsia"/>
          <w:color w:val="000000"/>
          <w:kern w:val="0"/>
          <w:sz w:val="32"/>
          <w:szCs w:val="32"/>
        </w:rPr>
        <w:t>基本支出情况</w:t>
      </w:r>
    </w:p>
    <w:p w:rsidR="00B163F5" w:rsidRDefault="00796530">
      <w:pPr>
        <w:autoSpaceDE w:val="0"/>
        <w:autoSpaceDN w:val="0"/>
        <w:spacing w:line="360" w:lineRule="auto"/>
        <w:ind w:firstLineChars="200" w:firstLine="640"/>
        <w:rPr>
          <w:rFonts w:ascii="仿宋" w:eastAsia="仿宋" w:hAnsi="仿宋"/>
          <w:sz w:val="32"/>
        </w:rPr>
      </w:pPr>
      <w:r>
        <w:rPr>
          <w:rFonts w:ascii="仿宋" w:eastAsia="仿宋" w:hAnsi="仿宋" w:hint="eastAsia"/>
          <w:sz w:val="32"/>
        </w:rPr>
        <w:t>基本支出</w:t>
      </w:r>
      <w:r>
        <w:rPr>
          <w:rFonts w:ascii="仿宋" w:eastAsia="仿宋" w:hAnsi="仿宋" w:hint="eastAsia"/>
          <w:sz w:val="32"/>
        </w:rPr>
        <w:t>2943.93</w:t>
      </w:r>
      <w:r>
        <w:rPr>
          <w:rFonts w:ascii="仿宋" w:eastAsia="仿宋" w:hAnsi="仿宋" w:hint="eastAsia"/>
          <w:sz w:val="32"/>
        </w:rPr>
        <w:t>万元，是为保障各部门正常运转、完成日常工作任务而发生的各项支出，主要包括工资福利支出</w:t>
      </w:r>
      <w:r>
        <w:rPr>
          <w:rFonts w:ascii="仿宋" w:eastAsia="仿宋" w:hAnsi="仿宋" w:hint="eastAsia"/>
          <w:sz w:val="32"/>
        </w:rPr>
        <w:t>2185.67</w:t>
      </w:r>
      <w:r>
        <w:rPr>
          <w:rFonts w:ascii="仿宋" w:eastAsia="仿宋" w:hAnsi="仿宋" w:hint="eastAsia"/>
          <w:sz w:val="32"/>
        </w:rPr>
        <w:t>万元，商品和服务支出</w:t>
      </w:r>
      <w:r>
        <w:rPr>
          <w:rFonts w:ascii="仿宋" w:eastAsia="仿宋" w:hAnsi="仿宋" w:hint="eastAsia"/>
          <w:sz w:val="32"/>
        </w:rPr>
        <w:t>727.39</w:t>
      </w:r>
      <w:r>
        <w:rPr>
          <w:rFonts w:ascii="仿宋" w:eastAsia="仿宋" w:hAnsi="仿宋" w:hint="eastAsia"/>
          <w:sz w:val="32"/>
        </w:rPr>
        <w:t>万元，对个人和家庭</w:t>
      </w:r>
      <w:r>
        <w:rPr>
          <w:rFonts w:ascii="仿宋" w:eastAsia="仿宋" w:hAnsi="仿宋" w:hint="eastAsia"/>
          <w:sz w:val="32"/>
        </w:rPr>
        <w:lastRenderedPageBreak/>
        <w:t>支出</w:t>
      </w:r>
      <w:r>
        <w:rPr>
          <w:rFonts w:ascii="仿宋" w:eastAsia="仿宋" w:hAnsi="仿宋" w:hint="eastAsia"/>
          <w:sz w:val="32"/>
        </w:rPr>
        <w:t>16.68</w:t>
      </w:r>
      <w:r>
        <w:rPr>
          <w:rFonts w:ascii="仿宋" w:eastAsia="仿宋" w:hAnsi="仿宋" w:hint="eastAsia"/>
          <w:sz w:val="32"/>
        </w:rPr>
        <w:t>万元，资本性支出</w:t>
      </w:r>
      <w:r>
        <w:rPr>
          <w:rFonts w:ascii="仿宋" w:eastAsia="仿宋" w:hAnsi="仿宋" w:hint="eastAsia"/>
          <w:sz w:val="32"/>
        </w:rPr>
        <w:t>14.19</w:t>
      </w:r>
      <w:r>
        <w:rPr>
          <w:rFonts w:ascii="仿宋" w:eastAsia="仿宋" w:hAnsi="仿宋" w:hint="eastAsia"/>
          <w:sz w:val="32"/>
        </w:rPr>
        <w:t>万元。</w:t>
      </w:r>
    </w:p>
    <w:p w:rsidR="00B163F5" w:rsidRDefault="00796530">
      <w:pPr>
        <w:autoSpaceDE w:val="0"/>
        <w:autoSpaceDN w:val="0"/>
        <w:spacing w:line="360" w:lineRule="auto"/>
        <w:ind w:firstLineChars="200" w:firstLine="640"/>
      </w:pPr>
      <w:r>
        <w:rPr>
          <w:rFonts w:ascii="仿宋" w:eastAsia="仿宋" w:hAnsi="仿宋" w:hint="eastAsia"/>
          <w:sz w:val="32"/>
        </w:rPr>
        <w:t>“三公”经费支出情况：</w:t>
      </w:r>
      <w:r>
        <w:rPr>
          <w:rFonts w:ascii="仿宋" w:eastAsia="仿宋" w:hAnsi="仿宋" w:hint="eastAsia"/>
          <w:sz w:val="32"/>
        </w:rPr>
        <w:t>2023</w:t>
      </w:r>
      <w:r>
        <w:rPr>
          <w:rFonts w:ascii="仿宋" w:eastAsia="仿宋" w:hAnsi="仿宋" w:hint="eastAsia"/>
          <w:sz w:val="32"/>
        </w:rPr>
        <w:t>年，“三公”经费完成</w:t>
      </w:r>
      <w:r>
        <w:rPr>
          <w:rFonts w:ascii="仿宋" w:eastAsia="仿宋" w:hAnsi="仿宋" w:hint="eastAsia"/>
          <w:sz w:val="32"/>
        </w:rPr>
        <w:t>48.91</w:t>
      </w:r>
      <w:r>
        <w:rPr>
          <w:rFonts w:ascii="仿宋" w:eastAsia="仿宋" w:hAnsi="仿宋" w:hint="eastAsia"/>
          <w:sz w:val="32"/>
        </w:rPr>
        <w:t>万元，比上年增加</w:t>
      </w:r>
      <w:r>
        <w:rPr>
          <w:rFonts w:ascii="仿宋" w:eastAsia="仿宋" w:hAnsi="仿宋" w:hint="eastAsia"/>
          <w:sz w:val="32"/>
        </w:rPr>
        <w:t>6.07</w:t>
      </w:r>
      <w:r>
        <w:rPr>
          <w:rFonts w:ascii="仿宋" w:eastAsia="仿宋" w:hAnsi="仿宋" w:hint="eastAsia"/>
          <w:sz w:val="32"/>
        </w:rPr>
        <w:t>元。</w:t>
      </w:r>
    </w:p>
    <w:p w:rsidR="00B163F5" w:rsidRDefault="00796530">
      <w:pPr>
        <w:widowControl/>
        <w:spacing w:line="576" w:lineRule="exact"/>
        <w:ind w:firstLineChars="200" w:firstLine="640"/>
        <w:jc w:val="left"/>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w:t>
      </w:r>
      <w:r>
        <w:rPr>
          <w:rFonts w:ascii="楷体_GB2312" w:eastAsia="楷体_GB2312" w:hAnsi="楷体_GB2312" w:cs="楷体_GB2312" w:hint="eastAsia"/>
          <w:color w:val="000000"/>
          <w:kern w:val="0"/>
          <w:sz w:val="32"/>
          <w:szCs w:val="32"/>
        </w:rPr>
        <w:t>二</w:t>
      </w:r>
      <w:r>
        <w:rPr>
          <w:rFonts w:ascii="楷体_GB2312" w:eastAsia="楷体_GB2312" w:hAnsi="楷体_GB2312" w:cs="楷体_GB2312" w:hint="eastAsia"/>
          <w:color w:val="000000"/>
          <w:kern w:val="0"/>
          <w:sz w:val="32"/>
          <w:szCs w:val="32"/>
        </w:rPr>
        <w:t>)</w:t>
      </w:r>
      <w:r>
        <w:rPr>
          <w:rFonts w:ascii="楷体_GB2312" w:eastAsia="楷体_GB2312" w:hAnsi="楷体_GB2312" w:cs="楷体_GB2312" w:hint="eastAsia"/>
          <w:color w:val="000000"/>
          <w:kern w:val="0"/>
          <w:sz w:val="32"/>
          <w:szCs w:val="32"/>
        </w:rPr>
        <w:t>项目支出情况</w:t>
      </w:r>
    </w:p>
    <w:p w:rsidR="00B163F5" w:rsidRDefault="00796530">
      <w:pPr>
        <w:autoSpaceDE w:val="0"/>
        <w:autoSpaceDN w:val="0"/>
        <w:spacing w:line="360" w:lineRule="auto"/>
        <w:ind w:firstLineChars="200" w:firstLine="640"/>
      </w:pPr>
      <w:r>
        <w:rPr>
          <w:rFonts w:ascii="仿宋" w:eastAsia="仿宋" w:hAnsi="仿宋" w:hint="eastAsia"/>
          <w:sz w:val="32"/>
        </w:rPr>
        <w:t>项目支出</w:t>
      </w:r>
      <w:r>
        <w:rPr>
          <w:rFonts w:ascii="仿宋" w:eastAsia="仿宋" w:hAnsi="仿宋" w:hint="eastAsia"/>
          <w:sz w:val="32"/>
        </w:rPr>
        <w:t>5697.35</w:t>
      </w:r>
      <w:r>
        <w:rPr>
          <w:rFonts w:ascii="仿宋" w:eastAsia="仿宋" w:hAnsi="仿宋" w:hint="eastAsia"/>
          <w:sz w:val="32"/>
        </w:rPr>
        <w:t>万元，包含：</w:t>
      </w:r>
      <w:r>
        <w:rPr>
          <w:rFonts w:ascii="仿宋_GB2312" w:eastAsia="仿宋_GB2312" w:hint="eastAsia"/>
          <w:sz w:val="32"/>
          <w:szCs w:val="32"/>
        </w:rPr>
        <w:t>业务工作</w:t>
      </w:r>
      <w:r>
        <w:rPr>
          <w:rFonts w:ascii="仿宋_GB2312" w:eastAsia="仿宋_GB2312" w:hint="eastAsia"/>
          <w:sz w:val="32"/>
          <w:szCs w:val="32"/>
        </w:rPr>
        <w:t>经费</w:t>
      </w:r>
      <w:r>
        <w:rPr>
          <w:rFonts w:ascii="仿宋_GB2312" w:eastAsia="仿宋_GB2312" w:hint="eastAsia"/>
          <w:sz w:val="32"/>
          <w:szCs w:val="32"/>
        </w:rPr>
        <w:t>以及运行维护经费、春运工作经费等。</w:t>
      </w:r>
    </w:p>
    <w:p w:rsidR="00B163F5" w:rsidRDefault="00796530">
      <w:pPr>
        <w:widowControl/>
        <w:numPr>
          <w:ilvl w:val="0"/>
          <w:numId w:val="1"/>
        </w:numPr>
        <w:spacing w:line="576" w:lineRule="exact"/>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政府性基金预算支出情况</w:t>
      </w:r>
    </w:p>
    <w:p w:rsidR="00B163F5" w:rsidRDefault="00796530">
      <w:pPr>
        <w:ind w:firstLineChars="200" w:firstLine="640"/>
        <w:rPr>
          <w:rFonts w:eastAsia="仿宋_GB2312"/>
        </w:rPr>
      </w:pPr>
      <w:r>
        <w:rPr>
          <w:color w:val="232323"/>
          <w:sz w:val="32"/>
          <w:szCs w:val="32"/>
          <w:shd w:val="clear" w:color="auto" w:fill="FFFFFF"/>
        </w:rPr>
        <w:t>2023</w:t>
      </w:r>
      <w:r>
        <w:rPr>
          <w:rFonts w:ascii="仿宋_GB2312" w:eastAsia="仿宋_GB2312" w:cs="仿宋_GB2312" w:hint="eastAsia"/>
          <w:color w:val="232323"/>
          <w:sz w:val="32"/>
          <w:szCs w:val="32"/>
          <w:shd w:val="clear" w:color="auto" w:fill="FFFFFF"/>
        </w:rPr>
        <w:t>年本部门政府性基金支出预算</w:t>
      </w:r>
      <w:r>
        <w:rPr>
          <w:rFonts w:eastAsia="仿宋_GB2312" w:hint="eastAsia"/>
          <w:color w:val="232323"/>
          <w:sz w:val="32"/>
          <w:szCs w:val="32"/>
          <w:shd w:val="clear" w:color="auto" w:fill="FFFFFF"/>
        </w:rPr>
        <w:t>0</w:t>
      </w:r>
      <w:r>
        <w:rPr>
          <w:rFonts w:ascii="仿宋_GB2312" w:eastAsia="仿宋_GB2312" w:cs="仿宋_GB2312" w:hint="eastAsia"/>
          <w:color w:val="232323"/>
          <w:sz w:val="32"/>
          <w:szCs w:val="32"/>
          <w:shd w:val="clear" w:color="auto" w:fill="FFFFFF"/>
        </w:rPr>
        <w:t>万元</w:t>
      </w:r>
      <w:r>
        <w:rPr>
          <w:rFonts w:ascii="仿宋_GB2312" w:eastAsia="仿宋_GB2312" w:hAnsi="宋体" w:cs="仿宋_GB2312" w:hint="eastAsia"/>
          <w:color w:val="232323"/>
          <w:sz w:val="32"/>
          <w:szCs w:val="32"/>
          <w:shd w:val="clear" w:color="auto" w:fill="FFFFFF"/>
        </w:rPr>
        <w:t>。</w:t>
      </w:r>
    </w:p>
    <w:p w:rsidR="00B163F5" w:rsidRDefault="00796530">
      <w:pPr>
        <w:widowControl/>
        <w:numPr>
          <w:ilvl w:val="0"/>
          <w:numId w:val="1"/>
        </w:numPr>
        <w:spacing w:line="576" w:lineRule="exact"/>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国有资本经营预算支出情况</w:t>
      </w:r>
    </w:p>
    <w:p w:rsidR="00B163F5" w:rsidRDefault="00796530">
      <w:pPr>
        <w:pStyle w:val="2"/>
        <w:ind w:leftChars="200" w:left="420" w:firstLineChars="0" w:firstLine="0"/>
        <w:rPr>
          <w:rFonts w:ascii="黑体" w:eastAsia="黑体" w:hAnsi="黑体" w:cs="宋体"/>
          <w:color w:val="000000"/>
          <w:kern w:val="0"/>
        </w:rPr>
      </w:pPr>
      <w:r>
        <w:rPr>
          <w:color w:val="232323"/>
          <w:shd w:val="clear" w:color="auto" w:fill="FFFFFF"/>
        </w:rPr>
        <w:t>2023</w:t>
      </w:r>
      <w:r>
        <w:rPr>
          <w:rFonts w:ascii="仿宋_GB2312" w:eastAsia="仿宋_GB2312" w:cs="仿宋_GB2312" w:hint="eastAsia"/>
          <w:color w:val="232323"/>
          <w:shd w:val="clear" w:color="auto" w:fill="FFFFFF"/>
        </w:rPr>
        <w:t>年</w:t>
      </w:r>
      <w:r>
        <w:rPr>
          <w:rFonts w:ascii="仿宋_GB2312" w:eastAsia="仿宋_GB2312" w:hAnsi="宋体" w:cs="仿宋_GB2312" w:hint="eastAsia"/>
          <w:color w:val="232323"/>
          <w:shd w:val="clear" w:color="auto" w:fill="FFFFFF"/>
        </w:rPr>
        <w:t>本部门无国有资本经营预算的支出。</w:t>
      </w:r>
    </w:p>
    <w:p w:rsidR="00B163F5" w:rsidRDefault="00796530">
      <w:pPr>
        <w:widowControl/>
        <w:numPr>
          <w:ilvl w:val="0"/>
          <w:numId w:val="1"/>
        </w:numPr>
        <w:spacing w:line="576" w:lineRule="exact"/>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社会保险基金预算支出情况</w:t>
      </w:r>
    </w:p>
    <w:p w:rsidR="00B163F5" w:rsidRDefault="00796530">
      <w:pPr>
        <w:pStyle w:val="2"/>
        <w:ind w:leftChars="200" w:left="420" w:firstLineChars="0" w:firstLine="0"/>
        <w:rPr>
          <w:rFonts w:ascii="黑体" w:eastAsia="黑体" w:hAnsi="黑体" w:cs="宋体"/>
          <w:color w:val="000000"/>
          <w:kern w:val="0"/>
        </w:rPr>
      </w:pPr>
      <w:r>
        <w:rPr>
          <w:color w:val="232323"/>
          <w:shd w:val="clear" w:color="auto" w:fill="FFFFFF"/>
        </w:rPr>
        <w:t>2023</w:t>
      </w:r>
      <w:r>
        <w:rPr>
          <w:rFonts w:ascii="仿宋_GB2312" w:eastAsia="仿宋_GB2312" w:cs="仿宋_GB2312" w:hint="eastAsia"/>
          <w:color w:val="232323"/>
          <w:shd w:val="clear" w:color="auto" w:fill="FFFFFF"/>
        </w:rPr>
        <w:t>年</w:t>
      </w:r>
      <w:r>
        <w:rPr>
          <w:rFonts w:ascii="仿宋_GB2312" w:eastAsia="仿宋_GB2312" w:hAnsi="宋体" w:cs="仿宋_GB2312" w:hint="eastAsia"/>
          <w:color w:val="232323"/>
          <w:shd w:val="clear" w:color="auto" w:fill="FFFFFF"/>
        </w:rPr>
        <w:t>本部门无社会保险基金预算的支出。</w:t>
      </w:r>
    </w:p>
    <w:p w:rsidR="00B163F5" w:rsidRDefault="00796530">
      <w:pPr>
        <w:widowControl/>
        <w:spacing w:line="576" w:lineRule="exact"/>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六、部门整体支出绩效情况</w:t>
      </w:r>
    </w:p>
    <w:p w:rsidR="00B163F5" w:rsidRDefault="00796530">
      <w:pPr>
        <w:pStyle w:val="1"/>
        <w:spacing w:line="560" w:lineRule="exact"/>
        <w:ind w:firstLineChars="200" w:firstLine="640"/>
        <w:rPr>
          <w:rFonts w:eastAsia="仿宋_GB2312"/>
          <w:sz w:val="32"/>
          <w:szCs w:val="32"/>
        </w:rPr>
      </w:pPr>
      <w:r>
        <w:rPr>
          <w:rFonts w:eastAsia="仿宋_GB2312" w:hint="eastAsia"/>
          <w:bCs/>
          <w:sz w:val="32"/>
          <w:szCs w:val="32"/>
        </w:rPr>
        <w:t>2023</w:t>
      </w:r>
      <w:r>
        <w:rPr>
          <w:rFonts w:eastAsia="仿宋_GB2312" w:hint="eastAsia"/>
          <w:bCs/>
          <w:sz w:val="32"/>
          <w:szCs w:val="32"/>
        </w:rPr>
        <w:t>年度支出总额</w:t>
      </w:r>
      <w:r>
        <w:rPr>
          <w:rFonts w:eastAsia="仿宋_GB2312" w:hint="eastAsia"/>
          <w:bCs/>
          <w:sz w:val="32"/>
          <w:szCs w:val="32"/>
        </w:rPr>
        <w:t>8641.28</w:t>
      </w:r>
      <w:r>
        <w:rPr>
          <w:rFonts w:eastAsia="仿宋_GB2312" w:hint="eastAsia"/>
          <w:bCs/>
          <w:sz w:val="32"/>
          <w:szCs w:val="32"/>
        </w:rPr>
        <w:t>万元，其中基本支出</w:t>
      </w:r>
      <w:r>
        <w:rPr>
          <w:rFonts w:eastAsia="仿宋_GB2312" w:hint="eastAsia"/>
          <w:bCs/>
          <w:sz w:val="32"/>
          <w:szCs w:val="32"/>
        </w:rPr>
        <w:t>2943.93</w:t>
      </w:r>
      <w:r>
        <w:rPr>
          <w:rFonts w:eastAsia="仿宋_GB2312" w:hint="eastAsia"/>
          <w:bCs/>
          <w:sz w:val="32"/>
          <w:szCs w:val="32"/>
        </w:rPr>
        <w:t>万元，基本支出保障了单位正常运转的日常支出，包括基本工资、津贴补贴等人员经费以及办公费、水电费、差旅费等日常公用经费；项目支出金额</w:t>
      </w:r>
      <w:r>
        <w:rPr>
          <w:rFonts w:ascii="仿宋" w:eastAsia="仿宋" w:hAnsi="仿宋" w:hint="eastAsia"/>
          <w:sz w:val="32"/>
        </w:rPr>
        <w:t>5697.35</w:t>
      </w:r>
      <w:r>
        <w:rPr>
          <w:rFonts w:eastAsia="仿宋_GB2312" w:hint="eastAsia"/>
          <w:bCs/>
          <w:sz w:val="32"/>
          <w:szCs w:val="32"/>
        </w:rPr>
        <w:t>万元。</w:t>
      </w:r>
      <w:r>
        <w:rPr>
          <w:rFonts w:eastAsia="仿宋_GB2312" w:hint="eastAsia"/>
          <w:sz w:val="32"/>
          <w:szCs w:val="32"/>
        </w:rPr>
        <w:t>我单位严格按照年初预算进行部门整体支出。在支出过程中，遵守各项规章制度，严格控制“三公经费”，专项资金支出专款专用，按工作实施计划情况进行资金拨付。落实省、市、区下达的全年工作目标任务和重点工作。实行了先有预算、后有执行、“用钱必问效、无效必问责”的常态。</w:t>
      </w:r>
    </w:p>
    <w:p w:rsidR="00B163F5" w:rsidRDefault="00796530">
      <w:pPr>
        <w:numPr>
          <w:ilvl w:val="0"/>
          <w:numId w:val="2"/>
        </w:num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color w:val="333333"/>
          <w:sz w:val="32"/>
          <w:szCs w:val="32"/>
          <w:shd w:val="clear" w:color="auto" w:fill="FFFFFF"/>
        </w:rPr>
        <w:t>运行成本</w:t>
      </w:r>
      <w:r>
        <w:rPr>
          <w:rFonts w:ascii="仿宋" w:eastAsia="仿宋" w:hAnsi="仿宋" w:cs="仿宋" w:hint="eastAsia"/>
          <w:color w:val="333333"/>
          <w:sz w:val="32"/>
          <w:szCs w:val="32"/>
          <w:shd w:val="clear" w:color="auto" w:fill="FFFFFF"/>
        </w:rPr>
        <w:t>方面</w:t>
      </w:r>
      <w:r>
        <w:rPr>
          <w:rFonts w:ascii="仿宋" w:eastAsia="仿宋" w:hAnsi="仿宋" w:cs="仿宋"/>
          <w:color w:val="333333"/>
          <w:sz w:val="32"/>
          <w:szCs w:val="32"/>
          <w:shd w:val="clear" w:color="auto" w:fill="FFFFFF"/>
        </w:rPr>
        <w:t>：本年预算配置控制较好，财政供养</w:t>
      </w:r>
      <w:r>
        <w:rPr>
          <w:rFonts w:ascii="仿宋" w:eastAsia="仿宋" w:hAnsi="仿宋" w:cs="仿宋"/>
          <w:color w:val="333333"/>
          <w:sz w:val="32"/>
          <w:szCs w:val="32"/>
          <w:shd w:val="clear" w:color="auto" w:fill="FFFFFF"/>
        </w:rPr>
        <w:lastRenderedPageBreak/>
        <w:t>人员控制在预算编制以内，编制内在职人员控制率</w:t>
      </w:r>
      <w:r>
        <w:rPr>
          <w:rFonts w:ascii="仿宋" w:eastAsia="仿宋" w:hAnsi="仿宋" w:cs="仿宋" w:hint="eastAsia"/>
          <w:color w:val="333333"/>
          <w:sz w:val="32"/>
          <w:szCs w:val="32"/>
          <w:shd w:val="clear" w:color="auto" w:fill="FFFFFF"/>
        </w:rPr>
        <w:t>100%</w:t>
      </w:r>
      <w:r>
        <w:rPr>
          <w:rFonts w:ascii="仿宋" w:eastAsia="仿宋" w:hAnsi="仿宋" w:cs="仿宋" w:hint="eastAsia"/>
          <w:color w:val="333333"/>
          <w:sz w:val="32"/>
          <w:szCs w:val="32"/>
          <w:shd w:val="clear" w:color="auto" w:fill="FFFFFF"/>
        </w:rPr>
        <w:t>；</w:t>
      </w:r>
      <w:r>
        <w:rPr>
          <w:rFonts w:ascii="仿宋" w:eastAsia="仿宋" w:hAnsi="仿宋" w:cs="仿宋"/>
          <w:color w:val="333333"/>
          <w:sz w:val="32"/>
          <w:szCs w:val="32"/>
          <w:shd w:val="clear" w:color="auto" w:fill="FFFFFF"/>
        </w:rPr>
        <w:t>贯彻落实上级有关精神，严格控制</w:t>
      </w:r>
      <w:r>
        <w:rPr>
          <w:rFonts w:ascii="仿宋" w:eastAsia="仿宋" w:hAnsi="仿宋" w:cs="仿宋"/>
          <w:color w:val="333333"/>
          <w:sz w:val="32"/>
          <w:szCs w:val="32"/>
          <w:shd w:val="clear" w:color="auto" w:fill="FFFFFF"/>
        </w:rPr>
        <w:t>“</w:t>
      </w:r>
      <w:r>
        <w:rPr>
          <w:rFonts w:ascii="仿宋" w:eastAsia="仿宋" w:hAnsi="仿宋" w:cs="仿宋"/>
          <w:color w:val="333333"/>
          <w:sz w:val="32"/>
          <w:szCs w:val="32"/>
          <w:shd w:val="clear" w:color="auto" w:fill="FFFFFF"/>
        </w:rPr>
        <w:t>三公经费</w:t>
      </w:r>
      <w:r>
        <w:rPr>
          <w:rFonts w:ascii="仿宋" w:eastAsia="仿宋" w:hAnsi="仿宋" w:cs="仿宋"/>
          <w:color w:val="333333"/>
          <w:sz w:val="32"/>
          <w:szCs w:val="32"/>
          <w:shd w:val="clear" w:color="auto" w:fill="FFFFFF"/>
        </w:rPr>
        <w:t>”</w:t>
      </w:r>
      <w:r>
        <w:rPr>
          <w:rFonts w:ascii="仿宋" w:eastAsia="仿宋" w:hAnsi="仿宋" w:cs="仿宋"/>
          <w:color w:val="333333"/>
          <w:sz w:val="32"/>
          <w:szCs w:val="32"/>
          <w:shd w:val="clear" w:color="auto" w:fill="FFFFFF"/>
        </w:rPr>
        <w:t>支出，</w:t>
      </w:r>
      <w:r>
        <w:rPr>
          <w:rFonts w:ascii="仿宋" w:eastAsia="仿宋" w:hAnsi="仿宋" w:cs="仿宋"/>
          <w:color w:val="333333"/>
          <w:sz w:val="32"/>
          <w:szCs w:val="32"/>
          <w:shd w:val="clear" w:color="auto" w:fill="FFFFFF"/>
        </w:rPr>
        <w:t>“</w:t>
      </w:r>
      <w:r>
        <w:rPr>
          <w:rFonts w:ascii="仿宋" w:eastAsia="仿宋" w:hAnsi="仿宋" w:cs="仿宋"/>
          <w:color w:val="333333"/>
          <w:sz w:val="32"/>
          <w:szCs w:val="32"/>
          <w:shd w:val="clear" w:color="auto" w:fill="FFFFFF"/>
        </w:rPr>
        <w:t>三公</w:t>
      </w:r>
      <w:r>
        <w:rPr>
          <w:rFonts w:ascii="仿宋" w:eastAsia="仿宋" w:hAnsi="仿宋" w:cs="仿宋"/>
          <w:color w:val="333333"/>
          <w:sz w:val="32"/>
          <w:szCs w:val="32"/>
          <w:shd w:val="clear" w:color="auto" w:fill="FFFFFF"/>
        </w:rPr>
        <w:t>”</w:t>
      </w:r>
      <w:r>
        <w:rPr>
          <w:rFonts w:ascii="仿宋" w:eastAsia="仿宋" w:hAnsi="仿宋" w:cs="仿宋"/>
          <w:color w:val="333333"/>
          <w:sz w:val="32"/>
          <w:szCs w:val="32"/>
          <w:shd w:val="clear" w:color="auto" w:fill="FFFFFF"/>
        </w:rPr>
        <w:t>经费支出总额较上年度</w:t>
      </w:r>
      <w:r>
        <w:rPr>
          <w:rFonts w:ascii="仿宋" w:eastAsia="仿宋" w:hAnsi="仿宋" w:cs="仿宋" w:hint="eastAsia"/>
          <w:color w:val="333333"/>
          <w:sz w:val="32"/>
          <w:szCs w:val="32"/>
          <w:shd w:val="clear" w:color="auto" w:fill="FFFFFF"/>
        </w:rPr>
        <w:t>增加</w:t>
      </w:r>
      <w:r>
        <w:rPr>
          <w:rFonts w:ascii="仿宋" w:eastAsia="仿宋" w:hAnsi="仿宋" w:cs="仿宋" w:hint="eastAsia"/>
          <w:color w:val="333333"/>
          <w:sz w:val="32"/>
          <w:szCs w:val="32"/>
          <w:shd w:val="clear" w:color="auto" w:fill="FFFFFF"/>
        </w:rPr>
        <w:t>6.07</w:t>
      </w:r>
      <w:r>
        <w:rPr>
          <w:rFonts w:ascii="仿宋" w:eastAsia="仿宋" w:hAnsi="仿宋" w:cs="仿宋" w:hint="eastAsia"/>
          <w:color w:val="333333"/>
          <w:sz w:val="32"/>
          <w:szCs w:val="32"/>
          <w:shd w:val="clear" w:color="auto" w:fill="FFFFFF"/>
        </w:rPr>
        <w:t>万元，原因在于</w:t>
      </w:r>
      <w:r>
        <w:rPr>
          <w:rFonts w:ascii="仿宋" w:eastAsia="仿宋" w:hAnsi="仿宋" w:cs="仿宋" w:hint="eastAsia"/>
          <w:color w:val="333333"/>
          <w:sz w:val="32"/>
          <w:szCs w:val="32"/>
          <w:shd w:val="clear" w:color="auto" w:fill="FFFFFF"/>
        </w:rPr>
        <w:t>2022</w:t>
      </w:r>
      <w:r>
        <w:rPr>
          <w:rFonts w:ascii="仿宋" w:eastAsia="仿宋" w:hAnsi="仿宋" w:cs="仿宋" w:hint="eastAsia"/>
          <w:color w:val="333333"/>
          <w:sz w:val="32"/>
          <w:szCs w:val="32"/>
          <w:shd w:val="clear" w:color="auto" w:fill="FFFFFF"/>
        </w:rPr>
        <w:t>年度新购执法车辆</w:t>
      </w: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台</w:t>
      </w:r>
      <w:r>
        <w:rPr>
          <w:rFonts w:ascii="仿宋" w:eastAsia="仿宋" w:hAnsi="仿宋" w:cs="仿宋" w:hint="eastAsia"/>
          <w:color w:val="333333"/>
          <w:sz w:val="32"/>
          <w:szCs w:val="32"/>
          <w:shd w:val="clear" w:color="auto" w:fill="FFFFFF"/>
        </w:rPr>
        <w:t>；导致运行维护费用增加。</w:t>
      </w:r>
      <w:r>
        <w:rPr>
          <w:rFonts w:ascii="仿宋" w:eastAsia="仿宋" w:hAnsi="仿宋" w:cs="仿宋"/>
          <w:color w:val="333333"/>
          <w:sz w:val="32"/>
          <w:szCs w:val="32"/>
          <w:shd w:val="clear" w:color="auto" w:fill="FFFFFF"/>
        </w:rPr>
        <w:t>我</w:t>
      </w:r>
      <w:r>
        <w:rPr>
          <w:rFonts w:ascii="仿宋" w:eastAsia="仿宋" w:hAnsi="仿宋" w:cs="仿宋" w:hint="eastAsia"/>
          <w:color w:val="333333"/>
          <w:sz w:val="32"/>
          <w:szCs w:val="32"/>
          <w:shd w:val="clear" w:color="auto" w:fill="FFFFFF"/>
        </w:rPr>
        <w:t>单位</w:t>
      </w:r>
      <w:r>
        <w:rPr>
          <w:rFonts w:ascii="仿宋" w:eastAsia="仿宋" w:hAnsi="仿宋" w:cs="仿宋"/>
          <w:color w:val="333333"/>
          <w:sz w:val="32"/>
          <w:szCs w:val="32"/>
          <w:shd w:val="clear" w:color="auto" w:fill="FFFFFF"/>
        </w:rPr>
        <w:t>加强资产管理，将管理制度落实到经费使用全过程，明确了具体责任人，严格报批、销审等手续，单位无任何资产流失现象。</w:t>
      </w:r>
    </w:p>
    <w:p w:rsidR="00B163F5" w:rsidRDefault="00796530">
      <w:pPr>
        <w:pStyle w:val="1"/>
        <w:spacing w:line="560" w:lineRule="exact"/>
        <w:ind w:firstLineChars="200" w:firstLine="640"/>
      </w:pP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管理效率方面：对于资金我单位根据文件积极与财政局对接工作，保证资金能按时到账，同时保存好文件和入账通知单备查；相关工程项目资金，财务股做到资金到账及时汇报领导、通知业务股室，对递交至财务股的原始凭证审慎检查、反复核对，保障票据真实、合法，程序合规后及时拨付项目资金，不滞留项目资金，保证工程项目资金链完整。</w:t>
      </w:r>
    </w:p>
    <w:p w:rsidR="00B163F5" w:rsidRDefault="00796530">
      <w:pPr>
        <w:spacing w:line="560" w:lineRule="exact"/>
        <w:ind w:firstLineChars="200" w:firstLine="640"/>
        <w:rPr>
          <w:rFonts w:eastAsia="仿宋_GB2312"/>
          <w:bCs/>
          <w:sz w:val="32"/>
          <w:szCs w:val="32"/>
        </w:rPr>
      </w:pP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、履职效能方面：建立科学合理的项目预算效果考核机制，依据</w:t>
      </w:r>
      <w:r>
        <w:rPr>
          <w:rFonts w:ascii="仿宋" w:eastAsia="仿宋" w:hAnsi="仿宋" w:cs="仿宋" w:hint="eastAsia"/>
          <w:color w:val="333333"/>
          <w:sz w:val="32"/>
          <w:szCs w:val="32"/>
          <w:shd w:val="clear" w:color="auto" w:fill="FFFFFF"/>
        </w:rPr>
        <w:t>预设的绩效数量、质量指标全面衡量预算实施效果，既重“绩”，更重“效”。不断增强绩效考评的客观性和科学性，</w:t>
      </w:r>
      <w:r>
        <w:rPr>
          <w:rFonts w:ascii="仿宋" w:eastAsia="仿宋" w:hAnsi="仿宋" w:cs="仿宋" w:hint="eastAsia"/>
          <w:color w:val="333333"/>
          <w:sz w:val="32"/>
          <w:szCs w:val="32"/>
          <w:shd w:val="clear" w:color="auto" w:fill="FFFFFF"/>
        </w:rPr>
        <w:t>切实促进财政资金科学管理和实际绩效水平不断提高。</w:t>
      </w:r>
    </w:p>
    <w:p w:rsidR="00B163F5" w:rsidRDefault="00796530">
      <w:pPr>
        <w:widowControl/>
        <w:spacing w:line="576" w:lineRule="exact"/>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七、存在的问题及原因分析</w:t>
      </w:r>
    </w:p>
    <w:p w:rsidR="00B163F5" w:rsidRDefault="00796530">
      <w:pPr>
        <w:pStyle w:val="1"/>
        <w:spacing w:line="560" w:lineRule="exact"/>
        <w:ind w:firstLineChars="200" w:firstLine="640"/>
        <w:rPr>
          <w:kern w:val="0"/>
          <w:szCs w:val="32"/>
        </w:rPr>
      </w:pPr>
      <w:r>
        <w:rPr>
          <w:rFonts w:ascii="仿宋_GB2312" w:eastAsia="仿宋_GB2312" w:hAnsi="仿宋"/>
          <w:sz w:val="32"/>
          <w:szCs w:val="32"/>
        </w:rPr>
        <w:t>部门预算的人员经费和公用经费不足。单位日常运转的刚性支出大，现</w:t>
      </w:r>
      <w:r>
        <w:rPr>
          <w:rFonts w:ascii="仿宋_GB2312" w:eastAsia="仿宋_GB2312" w:hAnsi="仿宋" w:hint="eastAsia"/>
          <w:sz w:val="32"/>
          <w:szCs w:val="32"/>
        </w:rPr>
        <w:t>有的部门预算资金不能满足日益增长的工作需要。</w:t>
      </w:r>
      <w:r>
        <w:rPr>
          <w:rFonts w:ascii="仿宋" w:eastAsia="仿宋" w:hAnsi="仿宋" w:cs="仿宋" w:hint="eastAsia"/>
          <w:color w:val="333333"/>
          <w:sz w:val="32"/>
          <w:szCs w:val="32"/>
          <w:shd w:val="clear" w:color="auto" w:fill="FFFFFF"/>
        </w:rPr>
        <w:t>对于追加的预算金额不能预计，导致年初项目支出预算与年终实际项目支出数存在差异；对于重点项目资金的拨付，各部门配合不够，导致项目资金拨付存在一定延迟。</w:t>
      </w:r>
    </w:p>
    <w:p w:rsidR="00B163F5" w:rsidRDefault="00796530">
      <w:pPr>
        <w:widowControl/>
        <w:numPr>
          <w:ilvl w:val="0"/>
          <w:numId w:val="3"/>
        </w:numPr>
        <w:spacing w:line="576" w:lineRule="exact"/>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下一步改进措施</w:t>
      </w:r>
    </w:p>
    <w:p w:rsidR="00B163F5" w:rsidRDefault="00796530">
      <w:pPr>
        <w:widowControl/>
        <w:ind w:firstLineChars="200" w:firstLine="640"/>
        <w:jc w:val="left"/>
        <w:rPr>
          <w:rFonts w:ascii="仿宋_GB2312" w:eastAsia="仿宋_GB2312" w:hAnsi="仿宋"/>
          <w:sz w:val="32"/>
          <w:szCs w:val="32"/>
        </w:rPr>
      </w:pPr>
      <w:r>
        <w:rPr>
          <w:rFonts w:ascii="仿宋_GB2312" w:eastAsia="仿宋_GB2312" w:hAnsi="仿宋"/>
          <w:sz w:val="32"/>
          <w:szCs w:val="32"/>
        </w:rPr>
        <w:lastRenderedPageBreak/>
        <w:t>对存在的问题提出切实可行的改进措施和有关建议等。</w:t>
      </w:r>
    </w:p>
    <w:p w:rsidR="00B163F5" w:rsidRDefault="00796530">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、加强财务管理，严格财务审核。</w:t>
      </w:r>
    </w:p>
    <w:p w:rsidR="00B163F5" w:rsidRDefault="00796530">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、对相关人员加强培训，切实提高</w:t>
      </w:r>
      <w:r>
        <w:rPr>
          <w:rFonts w:ascii="仿宋_GB2312" w:hAnsi="仿宋" w:hint="eastAsia"/>
          <w:sz w:val="32"/>
          <w:szCs w:val="32"/>
        </w:rPr>
        <w:t>财务</w:t>
      </w:r>
      <w:r>
        <w:rPr>
          <w:rFonts w:ascii="仿宋_GB2312" w:eastAsia="仿宋_GB2312" w:hAnsi="仿宋" w:hint="eastAsia"/>
          <w:sz w:val="32"/>
          <w:szCs w:val="32"/>
        </w:rPr>
        <w:t>人员业务水平。</w:t>
      </w:r>
    </w:p>
    <w:p w:rsidR="00B163F5" w:rsidRDefault="00796530">
      <w:pPr>
        <w:pStyle w:val="1"/>
        <w:spacing w:line="560" w:lineRule="exact"/>
        <w:ind w:firstLineChars="200" w:firstLine="640"/>
        <w:rPr>
          <w:rFonts w:ascii="仿宋" w:eastAsia="仿宋" w:hAnsi="仿宋" w:cs="仿宋"/>
          <w:color w:val="333333"/>
          <w:sz w:val="32"/>
          <w:szCs w:val="32"/>
          <w:shd w:val="clear" w:color="auto" w:fill="FFFFFF"/>
        </w:rPr>
      </w:pPr>
      <w:r>
        <w:rPr>
          <w:rFonts w:ascii="仿宋_GB2312" w:eastAsia="仿宋_GB2312" w:hAnsi="仿宋" w:hint="eastAsia"/>
          <w:sz w:val="32"/>
          <w:szCs w:val="32"/>
        </w:rPr>
        <w:t>3</w:t>
      </w:r>
      <w:r>
        <w:rPr>
          <w:rFonts w:ascii="仿宋_GB2312" w:eastAsia="仿宋_GB2312" w:hAnsi="仿宋" w:hint="eastAsia"/>
          <w:sz w:val="32"/>
          <w:szCs w:val="32"/>
        </w:rPr>
        <w:t>、</w:t>
      </w:r>
      <w:r>
        <w:rPr>
          <w:rFonts w:ascii="仿宋" w:eastAsia="仿宋" w:hAnsi="仿宋" w:cs="仿宋" w:hint="eastAsia"/>
          <w:color w:val="333333"/>
          <w:sz w:val="32"/>
          <w:szCs w:val="32"/>
          <w:shd w:val="clear" w:color="auto" w:fill="FFFFFF"/>
        </w:rPr>
        <w:t>在单位进行年初预算时，一定要根据实际情况科学全面的编制各项费用所需的预算支出，把单位重点绩效项目预算支出编制入年初预算，提高单位预算执行率，以提高执行效率。</w:t>
      </w:r>
    </w:p>
    <w:p w:rsidR="00B163F5" w:rsidRDefault="00796530">
      <w:pPr>
        <w:spacing w:line="560" w:lineRule="exact"/>
        <w:ind w:firstLineChars="200" w:firstLine="640"/>
      </w:pPr>
      <w:r>
        <w:rPr>
          <w:rFonts w:ascii="仿宋" w:eastAsia="仿宋" w:hAnsi="仿宋" w:cs="仿宋" w:hint="eastAsia"/>
          <w:color w:val="333333"/>
          <w:sz w:val="32"/>
          <w:szCs w:val="32"/>
          <w:shd w:val="clear" w:color="auto" w:fill="FFFFFF"/>
        </w:rPr>
        <w:t>应加强部门配合，推进项目进程，充分发挥各职能部门的积极性和自觉性，保证资金的及时拨付，合力共同推进工程建设。</w:t>
      </w:r>
    </w:p>
    <w:p w:rsidR="00B163F5" w:rsidRDefault="00B163F5">
      <w:pPr>
        <w:pStyle w:val="1"/>
      </w:pPr>
    </w:p>
    <w:p w:rsidR="00B163F5" w:rsidRDefault="00796530">
      <w:pPr>
        <w:widowControl/>
        <w:numPr>
          <w:ilvl w:val="0"/>
          <w:numId w:val="3"/>
        </w:numPr>
        <w:spacing w:line="576" w:lineRule="exact"/>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绩效自评结果拟应用和公开情况</w:t>
      </w:r>
    </w:p>
    <w:p w:rsidR="00B163F5" w:rsidRDefault="00796530" w:rsidP="00F732EC">
      <w:pPr>
        <w:pStyle w:val="a3"/>
        <w:ind w:leftChars="200" w:left="420"/>
      </w:pPr>
      <w:r>
        <w:rPr>
          <w:rFonts w:eastAsia="仿宋_GB2312" w:hint="eastAsia"/>
          <w:kern w:val="0"/>
          <w:sz w:val="32"/>
          <w:szCs w:val="32"/>
        </w:rPr>
        <w:t>暂未公开。</w:t>
      </w:r>
    </w:p>
    <w:p w:rsidR="00B163F5" w:rsidRDefault="00796530">
      <w:pPr>
        <w:numPr>
          <w:ilvl w:val="0"/>
          <w:numId w:val="3"/>
        </w:numPr>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其他需要说明的情况</w:t>
      </w:r>
    </w:p>
    <w:p w:rsidR="00B163F5" w:rsidRPr="00F732EC" w:rsidRDefault="00796530" w:rsidP="00B163F5">
      <w:pPr>
        <w:ind w:leftChars="200" w:left="420"/>
        <w:rPr>
          <w:rFonts w:eastAsiaTheme="minorEastAsia" w:hint="eastAsia"/>
        </w:rPr>
      </w:pPr>
      <w:r>
        <w:rPr>
          <w:rFonts w:eastAsia="仿宋_GB2312" w:hint="eastAsia"/>
          <w:kern w:val="0"/>
          <w:sz w:val="32"/>
          <w:szCs w:val="32"/>
        </w:rPr>
        <w:t>无。</w:t>
      </w:r>
    </w:p>
    <w:sectPr w:rsidR="00B163F5" w:rsidRPr="00F732EC" w:rsidSect="00B163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530" w:rsidRDefault="00796530" w:rsidP="00F732EC">
      <w:r>
        <w:separator/>
      </w:r>
    </w:p>
  </w:endnote>
  <w:endnote w:type="continuationSeparator" w:id="1">
    <w:p w:rsidR="00796530" w:rsidRDefault="00796530" w:rsidP="00F732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530" w:rsidRDefault="00796530" w:rsidP="00F732EC">
      <w:r>
        <w:separator/>
      </w:r>
    </w:p>
  </w:footnote>
  <w:footnote w:type="continuationSeparator" w:id="1">
    <w:p w:rsidR="00796530" w:rsidRDefault="00796530" w:rsidP="00F732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064D46"/>
    <w:multiLevelType w:val="singleLevel"/>
    <w:tmpl w:val="8F064D46"/>
    <w:lvl w:ilvl="0">
      <w:start w:val="1"/>
      <w:numFmt w:val="decimal"/>
      <w:suff w:val="nothing"/>
      <w:lvlText w:val="%1、"/>
      <w:lvlJc w:val="left"/>
    </w:lvl>
  </w:abstractNum>
  <w:abstractNum w:abstractNumId="1">
    <w:nsid w:val="0DF4109C"/>
    <w:multiLevelType w:val="singleLevel"/>
    <w:tmpl w:val="0DF4109C"/>
    <w:lvl w:ilvl="0">
      <w:start w:val="8"/>
      <w:numFmt w:val="chineseCounting"/>
      <w:suff w:val="nothing"/>
      <w:lvlText w:val="%1、"/>
      <w:lvlJc w:val="left"/>
      <w:rPr>
        <w:rFonts w:hint="eastAsia"/>
      </w:rPr>
    </w:lvl>
  </w:abstractNum>
  <w:abstractNum w:abstractNumId="2">
    <w:nsid w:val="7F4048D7"/>
    <w:multiLevelType w:val="singleLevel"/>
    <w:tmpl w:val="7F4048D7"/>
    <w:lvl w:ilvl="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I4YmQ5Y2MzMGVhMDY4NDkwNTBhM2FiMTI1OTFmZTEifQ=="/>
  </w:docVars>
  <w:rsids>
    <w:rsidRoot w:val="6D445020"/>
    <w:rsid w:val="00796530"/>
    <w:rsid w:val="00B163F5"/>
    <w:rsid w:val="00F732EC"/>
    <w:rsid w:val="029228E1"/>
    <w:rsid w:val="074B01AA"/>
    <w:rsid w:val="14FF1319"/>
    <w:rsid w:val="257D691C"/>
    <w:rsid w:val="33357B76"/>
    <w:rsid w:val="53246BC3"/>
    <w:rsid w:val="58057740"/>
    <w:rsid w:val="64B56C4A"/>
    <w:rsid w:val="6D445020"/>
    <w:rsid w:val="6D900583"/>
    <w:rsid w:val="720A57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unhideWhenUsed="1" w:qFormat="1"/>
    <w:lsdException w:name="toc 5" w:uiPriority="39" w:unhideWhenUsed="1" w:qFormat="1"/>
    <w:lsdException w:name="caption" w:semiHidden="1" w:unhideWhenUsed="1" w:qFormat="1"/>
    <w:lsdException w:name="Title" w:qFormat="1"/>
    <w:lsdException w:name="Default Paragraph Font" w:semiHidden="1" w:qFormat="1"/>
    <w:lsdException w:name="Body Text" w:uiPriority="99" w:unhideWhenUsed="1" w:qFormat="1"/>
    <w:lsdException w:name="Body Text Indent" w:uiPriority="99"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B163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99"/>
    <w:unhideWhenUsed/>
    <w:qFormat/>
    <w:rsid w:val="00B163F5"/>
  </w:style>
  <w:style w:type="paragraph" w:styleId="a3">
    <w:name w:val="Body Text"/>
    <w:basedOn w:val="a"/>
    <w:uiPriority w:val="99"/>
    <w:unhideWhenUsed/>
    <w:qFormat/>
    <w:rsid w:val="00B163F5"/>
  </w:style>
  <w:style w:type="paragraph" w:styleId="a4">
    <w:name w:val="Body Text Indent"/>
    <w:basedOn w:val="a"/>
    <w:uiPriority w:val="99"/>
    <w:qFormat/>
    <w:rsid w:val="00B163F5"/>
    <w:pPr>
      <w:ind w:firstLineChars="200" w:firstLine="640"/>
    </w:pPr>
    <w:rPr>
      <w:sz w:val="32"/>
      <w:szCs w:val="32"/>
    </w:rPr>
  </w:style>
  <w:style w:type="paragraph" w:styleId="5">
    <w:name w:val="toc 5"/>
    <w:basedOn w:val="a"/>
    <w:next w:val="a"/>
    <w:uiPriority w:val="39"/>
    <w:unhideWhenUsed/>
    <w:qFormat/>
    <w:rsid w:val="00B163F5"/>
    <w:pPr>
      <w:ind w:leftChars="800" w:left="1680"/>
    </w:pPr>
    <w:rPr>
      <w:rFonts w:ascii="等线" w:eastAsia="等线" w:hAnsi="等线"/>
      <w:szCs w:val="22"/>
    </w:rPr>
  </w:style>
  <w:style w:type="paragraph" w:styleId="a5">
    <w:name w:val="Normal (Web)"/>
    <w:basedOn w:val="a"/>
    <w:qFormat/>
    <w:rsid w:val="00B163F5"/>
    <w:pPr>
      <w:widowControl/>
      <w:spacing w:before="100" w:beforeAutospacing="1" w:after="100" w:afterAutospacing="1"/>
      <w:jc w:val="left"/>
    </w:pPr>
    <w:rPr>
      <w:rFonts w:ascii="宋体" w:hAnsi="宋体" w:cs="宋体"/>
      <w:kern w:val="0"/>
      <w:sz w:val="24"/>
    </w:rPr>
  </w:style>
  <w:style w:type="paragraph" w:styleId="2">
    <w:name w:val="Body Text First Indent 2"/>
    <w:basedOn w:val="a4"/>
    <w:uiPriority w:val="99"/>
    <w:qFormat/>
    <w:rsid w:val="00B163F5"/>
    <w:pPr>
      <w:ind w:firstLine="420"/>
    </w:pPr>
  </w:style>
  <w:style w:type="character" w:styleId="a6">
    <w:name w:val="Strong"/>
    <w:basedOn w:val="a0"/>
    <w:qFormat/>
    <w:rsid w:val="00B163F5"/>
    <w:rPr>
      <w:b/>
      <w:bCs/>
    </w:rPr>
  </w:style>
  <w:style w:type="paragraph" w:styleId="a7">
    <w:name w:val="header"/>
    <w:basedOn w:val="a"/>
    <w:link w:val="Char"/>
    <w:rsid w:val="00F732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F732EC"/>
    <w:rPr>
      <w:kern w:val="2"/>
      <w:sz w:val="18"/>
      <w:szCs w:val="18"/>
    </w:rPr>
  </w:style>
  <w:style w:type="paragraph" w:styleId="a8">
    <w:name w:val="footer"/>
    <w:basedOn w:val="a"/>
    <w:link w:val="Char0"/>
    <w:rsid w:val="00F732EC"/>
    <w:pPr>
      <w:tabs>
        <w:tab w:val="center" w:pos="4153"/>
        <w:tab w:val="right" w:pos="8306"/>
      </w:tabs>
      <w:snapToGrid w:val="0"/>
      <w:jc w:val="left"/>
    </w:pPr>
    <w:rPr>
      <w:sz w:val="18"/>
      <w:szCs w:val="18"/>
    </w:rPr>
  </w:style>
  <w:style w:type="character" w:customStyle="1" w:styleId="Char0">
    <w:name w:val="页脚 Char"/>
    <w:basedOn w:val="a0"/>
    <w:link w:val="a8"/>
    <w:rsid w:val="00F732E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340</Words>
  <Characters>1940</Characters>
  <Application>Microsoft Office Word</Application>
  <DocSecurity>0</DocSecurity>
  <Lines>16</Lines>
  <Paragraphs>4</Paragraphs>
  <ScaleCrop>false</ScaleCrop>
  <Company>Microsoft</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啊斌</dc:creator>
  <cp:lastModifiedBy>益阳市赫山区交通运输局</cp:lastModifiedBy>
  <cp:revision>2</cp:revision>
  <dcterms:created xsi:type="dcterms:W3CDTF">2024-06-17T10:01:00Z</dcterms:created>
  <dcterms:modified xsi:type="dcterms:W3CDTF">2024-08-30T03:27:00Z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A124EBA89251483D922D16BF926F6A1D_13</vt:lpwstr>
  </property>
</Properties>
</file>