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600" w:lineRule="exact"/>
        <w:jc w:val="center"/>
        <w:rPr>
          <w:rFonts w:hint="default"/>
          <w:color w:val="333333"/>
          <w:sz w:val="40"/>
          <w:szCs w:val="40"/>
        </w:rPr>
      </w:pPr>
      <w:bookmarkStart w:id="0" w:name="_GoBack"/>
      <w:r>
        <w:rPr>
          <w:color w:val="333333"/>
          <w:sz w:val="40"/>
          <w:szCs w:val="40"/>
        </w:rPr>
        <w:t>益阳市赫山区委组织部2023年部门整体支出绩效评价报告</w:t>
      </w:r>
    </w:p>
    <w:bookmarkEnd w:id="0"/>
    <w:p/>
    <w:p>
      <w:pPr>
        <w:pStyle w:val="12"/>
        <w:widowControl/>
        <w:spacing w:line="560" w:lineRule="exact"/>
        <w:ind w:left="640"/>
        <w:rPr>
          <w:sz w:val="32"/>
          <w:szCs w:val="32"/>
        </w:rPr>
      </w:pPr>
      <w:r>
        <w:rPr>
          <w:rFonts w:ascii="黑体" w:hAnsi="宋体" w:eastAsia="黑体" w:cs="黑体"/>
          <w:color w:val="333333"/>
          <w:sz w:val="32"/>
          <w:szCs w:val="32"/>
        </w:rPr>
        <w:t>一、</w:t>
      </w:r>
      <w:r>
        <w:rPr>
          <w:rFonts w:hint="eastAsia" w:ascii="黑体" w:hAnsi="宋体" w:eastAsia="黑体" w:cs="黑体"/>
          <w:color w:val="333333"/>
          <w:sz w:val="32"/>
          <w:szCs w:val="32"/>
        </w:rPr>
        <w:t>益阳市赫山区委组织部基本情况</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中共益阳市赫山区委组织部（以下简称区委组织部）是区委主管组织、干部和老干部工作的工作机关，为正科级，加挂中共益阳市赫山区直属机关委员会、中共益阳市赫山区委非公有制经济组织和社会组织工作委员会、益阳市赫山区公务员局、中共益阳市赫山区委老干部局牌子。内设科室有办公室、调研室、干部科（青干科）、人才科、绩效科、公务员管理科、工资福利科、干部监督科（干部教育科、举报中心）、干部信息科、基层办（党代表联络办）、组织指导科、党管科（党员教育中心）、区直机关工委办、区委两新工委办、区驻村工作队管理中心、区委离退休工委办公室、区关工委办公室、区老干部服务中心、区绩效评估事务中心等19个科室。区委组织部机关行政编制32名，全额拨款事业编制8名，2023年末实际在编在岗34人，退休人员20人。</w:t>
      </w:r>
    </w:p>
    <w:p>
      <w:pPr>
        <w:pStyle w:val="12"/>
        <w:widowControl/>
        <w:spacing w:line="560" w:lineRule="exact"/>
        <w:ind w:left="640"/>
        <w:rPr>
          <w:sz w:val="32"/>
          <w:szCs w:val="32"/>
        </w:rPr>
      </w:pPr>
      <w:r>
        <w:rPr>
          <w:rFonts w:hint="eastAsia" w:ascii="黑体" w:hAnsi="宋体" w:eastAsia="黑体" w:cs="黑体"/>
          <w:sz w:val="32"/>
          <w:szCs w:val="32"/>
        </w:rPr>
        <w:t>二、一般公共预算支出情况</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2023年我单位总收入1210.45万元，均为一般公共预算财政拨款。2023年我单位总支出1210.45万元，其中：基本支出856.44万元，项目支出354.01万元。</w:t>
      </w:r>
    </w:p>
    <w:p>
      <w:pPr>
        <w:pStyle w:val="12"/>
        <w:widowControl/>
        <w:spacing w:line="500" w:lineRule="atLeast"/>
        <w:ind w:left="640"/>
      </w:pPr>
      <w:r>
        <w:rPr>
          <w:rFonts w:hint="eastAsia" w:ascii="黑体" w:hAnsi="宋体" w:eastAsia="黑体" w:cs="黑体"/>
          <w:color w:val="333333"/>
          <w:sz w:val="32"/>
          <w:szCs w:val="32"/>
        </w:rPr>
        <w:t>（一）基本支出情况</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本单位2023年基本支出856.44万元，其中工资福利支出490.95万元，商品服务支出328.97万元，对个人和家庭的补助36.52元。</w:t>
      </w:r>
    </w:p>
    <w:p>
      <w:pPr>
        <w:pStyle w:val="12"/>
        <w:widowControl/>
        <w:spacing w:line="500" w:lineRule="atLeast"/>
        <w:ind w:left="640"/>
        <w:rPr>
          <w:sz w:val="32"/>
          <w:szCs w:val="32"/>
        </w:rPr>
      </w:pPr>
      <w:r>
        <w:rPr>
          <w:rFonts w:hint="eastAsia" w:ascii="黑体" w:hAnsi="宋体" w:eastAsia="黑体" w:cs="黑体"/>
          <w:color w:val="333333"/>
          <w:sz w:val="32"/>
          <w:szCs w:val="32"/>
        </w:rPr>
        <w:t>（二）项目支出情况</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本单位2023年项目支出354.01万元，其中任命10万元、档案5万元、区直机关工委10万、党代表活动经费11.7万元、党建8万元、大学生村官理费2万元、两新党建10万元、党建经费2万元、村社区班子成员培训8万元、基层党建迎检2万元、大组工网维护1万元、干部监督信息库2万元、公务员管理驻村帮扶党建指导14万元、人才工作5万元、慰问信0.5万元、关协7万元、特殊困难离退休干部帮扶10万元、离退休干部党工委经费5万元、县级实职退休离休干部活动经费12.2万元、老干所水电及业务补助2.1万元、离休干部县级退休特需费12.2万元、副科以上特殊费1.97万元、临时工3.6万元、老干活动中心15万元、建国初期参加革命工作人员生活及医疗补贴29.92、老年大学经费12万元、离休护理及配偶、遗孀补贴151.82万元。</w:t>
      </w:r>
    </w:p>
    <w:p>
      <w:pPr>
        <w:pStyle w:val="12"/>
        <w:widowControl/>
        <w:spacing w:line="560" w:lineRule="exact"/>
        <w:ind w:left="640"/>
        <w:rPr>
          <w:rFonts w:ascii="黑体" w:hAnsi="宋体" w:eastAsia="黑体" w:cs="黑体"/>
          <w:color w:val="333333"/>
          <w:sz w:val="32"/>
          <w:szCs w:val="32"/>
        </w:rPr>
      </w:pPr>
      <w:r>
        <w:rPr>
          <w:rFonts w:hint="eastAsia" w:ascii="黑体" w:hAnsi="宋体" w:eastAsia="黑体" w:cs="黑体"/>
          <w:color w:val="333333"/>
          <w:sz w:val="32"/>
          <w:szCs w:val="32"/>
        </w:rPr>
        <w:t>三、政府性基金预算支出情况</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本年度无政府性基金预算支出。</w:t>
      </w:r>
    </w:p>
    <w:p>
      <w:pPr>
        <w:pStyle w:val="12"/>
        <w:widowControl/>
        <w:spacing w:line="560" w:lineRule="exact"/>
        <w:ind w:left="640"/>
        <w:rPr>
          <w:rFonts w:ascii="黑体" w:hAnsi="宋体" w:eastAsia="黑体" w:cs="黑体"/>
          <w:color w:val="333333"/>
          <w:sz w:val="32"/>
          <w:szCs w:val="32"/>
        </w:rPr>
      </w:pPr>
      <w:r>
        <w:rPr>
          <w:rFonts w:hint="eastAsia" w:ascii="黑体" w:hAnsi="宋体" w:eastAsia="黑体" w:cs="黑体"/>
          <w:color w:val="333333"/>
          <w:sz w:val="32"/>
          <w:szCs w:val="32"/>
        </w:rPr>
        <w:t>四、国有资本经营预算支出情况</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本年度无国有资本经营预算支出。</w:t>
      </w:r>
    </w:p>
    <w:p>
      <w:pPr>
        <w:pStyle w:val="12"/>
        <w:widowControl/>
        <w:spacing w:line="560" w:lineRule="exact"/>
        <w:ind w:left="640"/>
        <w:rPr>
          <w:rFonts w:ascii="黑体" w:hAnsi="宋体" w:eastAsia="黑体" w:cs="黑体"/>
          <w:color w:val="333333"/>
          <w:sz w:val="32"/>
          <w:szCs w:val="32"/>
        </w:rPr>
      </w:pPr>
      <w:r>
        <w:rPr>
          <w:rFonts w:hint="eastAsia" w:ascii="黑体" w:hAnsi="宋体" w:eastAsia="黑体" w:cs="黑体"/>
          <w:color w:val="333333"/>
          <w:sz w:val="32"/>
          <w:szCs w:val="32"/>
        </w:rPr>
        <w:t>五、社会保险基金预算支出情况</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本年度无社会保险基金预算支出。</w:t>
      </w:r>
    </w:p>
    <w:p>
      <w:pPr>
        <w:pStyle w:val="12"/>
        <w:widowControl/>
        <w:spacing w:line="560" w:lineRule="exact"/>
        <w:ind w:left="640"/>
        <w:rPr>
          <w:rFonts w:ascii="黑体" w:hAnsi="宋体" w:eastAsia="黑体" w:cs="黑体"/>
          <w:color w:val="333333"/>
          <w:sz w:val="32"/>
          <w:szCs w:val="32"/>
        </w:rPr>
      </w:pPr>
      <w:r>
        <w:rPr>
          <w:rFonts w:hint="eastAsia" w:ascii="黑体" w:hAnsi="宋体" w:eastAsia="黑体" w:cs="黑体"/>
          <w:color w:val="333333"/>
          <w:sz w:val="32"/>
          <w:szCs w:val="32"/>
        </w:rPr>
        <w:t>六、部门整体支出绩效情况</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通过加强预算收支管理，不断建立健全内部资金管理制度，做到全年收支平衡的同时，完成了各类组织、干部工作，加强了领导班子的组织、思想、作风建设和干部队伍的建设。</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1、产出指标。（1）数量指标。组织工作实际完成率10分；（2）质量指标。组织工作质量达标率10分；（3）时效指标。组织工作完成及时率10分。</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2、效益指标（1）经济效益指标。组织部门履行职责对经济发展所带来的影响10分。（2）社会效益指标。组织部门履行职责对社会的影响10分。（3）生态效益指标。组织部门履行职责对生态环境所带来的影响10分。</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3、满意度指标。通过电话回访等形式了解到我们的各项工作均受到干部、群众一致好评，群众满意度均达90%以上,10分。</w:t>
      </w:r>
    </w:p>
    <w:p>
      <w:pPr>
        <w:pStyle w:val="12"/>
        <w:widowControl/>
        <w:spacing w:line="560" w:lineRule="exact"/>
        <w:ind w:firstLine="640" w:firstLineChars="200"/>
        <w:rPr>
          <w:rFonts w:hint="eastAsia" w:ascii="仿宋_GB2312" w:hAnsi="微软雅黑" w:eastAsia="仿宋_GB2312" w:cs="仿宋_GB2312"/>
          <w:color w:val="000000"/>
          <w:kern w:val="0"/>
          <w:sz w:val="32"/>
          <w:szCs w:val="32"/>
          <w:lang w:val="en-US" w:eastAsia="zh-CN" w:bidi="ar-SA"/>
        </w:rPr>
      </w:pPr>
      <w:r>
        <w:rPr>
          <w:rFonts w:hint="eastAsia" w:ascii="仿宋_GB2312" w:hAnsi="微软雅黑" w:eastAsia="仿宋_GB2312" w:cs="仿宋_GB2312"/>
          <w:color w:val="000000"/>
          <w:kern w:val="0"/>
          <w:sz w:val="32"/>
          <w:szCs w:val="32"/>
          <w:lang w:val="en-US" w:eastAsia="zh-CN" w:bidi="ar-SA"/>
        </w:rPr>
        <w:t>4、成本指标。（1）社会成本指标10分。（2）生态环境成本指标10分。</w:t>
      </w:r>
    </w:p>
    <w:p>
      <w:pPr>
        <w:pStyle w:val="12"/>
        <w:widowControl/>
        <w:spacing w:line="560" w:lineRule="exact"/>
        <w:ind w:firstLine="640" w:firstLineChars="200"/>
        <w:rPr>
          <w:rFonts w:ascii="黑体" w:hAnsi="宋体" w:eastAsia="黑体" w:cs="黑体"/>
          <w:color w:val="333333"/>
          <w:sz w:val="32"/>
          <w:szCs w:val="32"/>
        </w:rPr>
      </w:pPr>
      <w:r>
        <w:rPr>
          <w:rFonts w:hint="eastAsia" w:ascii="黑体" w:hAnsi="宋体" w:eastAsia="黑体" w:cs="黑体"/>
          <w:color w:val="333333"/>
          <w:sz w:val="32"/>
          <w:szCs w:val="32"/>
        </w:rPr>
        <w:t>七、存在的问题及原因分析</w:t>
      </w:r>
    </w:p>
    <w:p>
      <w:pPr>
        <w:widowControl/>
        <w:spacing w:line="600" w:lineRule="atLeast"/>
        <w:ind w:firstLine="64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因部分工作是年中或年末根据省市相关要求开展，未纳入年初预算，另外还有部分不可预见经费的追加，无法纳入预算，导致预算执行存在偏差，预算编制有待提高。</w:t>
      </w:r>
    </w:p>
    <w:p>
      <w:pPr>
        <w:pStyle w:val="12"/>
        <w:widowControl/>
        <w:spacing w:line="560" w:lineRule="exact"/>
        <w:ind w:left="640"/>
        <w:rPr>
          <w:rFonts w:ascii="黑体" w:hAnsi="宋体" w:eastAsia="黑体" w:cs="黑体"/>
          <w:color w:val="333333"/>
          <w:sz w:val="32"/>
          <w:szCs w:val="32"/>
        </w:rPr>
      </w:pPr>
      <w:r>
        <w:rPr>
          <w:rFonts w:hint="eastAsia" w:ascii="黑体" w:hAnsi="宋体" w:eastAsia="黑体" w:cs="黑体"/>
          <w:color w:val="333333"/>
          <w:sz w:val="32"/>
          <w:szCs w:val="32"/>
        </w:rPr>
        <w:t>八、下一步改进措施</w:t>
      </w:r>
    </w:p>
    <w:p>
      <w:pPr>
        <w:numPr>
          <w:ilvl w:val="0"/>
          <w:numId w:val="1"/>
        </w:numPr>
        <w:spacing w:line="550" w:lineRule="exact"/>
        <w:ind w:firstLine="48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提高认识，突出重点</w:t>
      </w:r>
    </w:p>
    <w:p>
      <w:pPr>
        <w:widowControl/>
        <w:spacing w:line="600" w:lineRule="atLeast"/>
        <w:ind w:firstLine="64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1．提高对预算绩效管理的认识，充分理解财政绩效评价指标体系，注重绩效目标、评价指标的关联性，依据部门职责和年度工作重点，更加科学合理地确定部门绩效目标和评价目标。</w:t>
      </w:r>
    </w:p>
    <w:p>
      <w:pPr>
        <w:widowControl/>
        <w:spacing w:line="600" w:lineRule="atLeast"/>
        <w:ind w:firstLine="64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2．强化全过程预算绩效管理理念，强化部门项目选择与部门职责的相关性。按财政管理要求进一步建立完善项目库和内部项目选择机制，完善项目管理制度，实施项目事加强领导重视，合理设定绩效目标，强化管理措施，科学编制预算,认真组织绩效考评。</w:t>
      </w:r>
    </w:p>
    <w:p>
      <w:pPr>
        <w:spacing w:line="550" w:lineRule="exact"/>
        <w:ind w:left="63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（二）强化管理，规范行为</w:t>
      </w:r>
    </w:p>
    <w:p>
      <w:pPr>
        <w:widowControl/>
        <w:spacing w:line="600" w:lineRule="atLeast"/>
        <w:ind w:firstLine="64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1．强化部门预算约束，细化预算编制，严格预算执行，合理制定项目方案和计划，减少预算执行中的项目预算调整和结余，平衡好预算执行进度，提高财政资金使用效率和效益。</w:t>
      </w:r>
    </w:p>
    <w:p>
      <w:pPr>
        <w:widowControl/>
        <w:spacing w:line="600" w:lineRule="atLeast"/>
        <w:ind w:firstLine="64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2．加强预算项目事前、事中、事后管控，做到事前有评估、事中有监控、事后有评价，并且按预期绩效目标完成程度考核项目实施效果。</w:t>
      </w:r>
    </w:p>
    <w:p>
      <w:pPr>
        <w:spacing w:line="550" w:lineRule="exact"/>
        <w:ind w:left="63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（三）科学考核，注重实效</w:t>
      </w:r>
    </w:p>
    <w:p>
      <w:pPr>
        <w:widowControl/>
        <w:spacing w:line="600" w:lineRule="atLeast"/>
        <w:ind w:firstLine="64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1．建立科学合理的项目预算效果考核机制，依据预设的绩效数量、质量指标全面衡量预算实施效果，既重“绩”，更重“效”。</w:t>
      </w:r>
    </w:p>
    <w:p>
      <w:pPr>
        <w:widowControl/>
        <w:spacing w:line="600" w:lineRule="atLeast"/>
        <w:ind w:firstLine="64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2．注重考核的全面性和客观性，对预设指标之外的项目效果同样纳入考核评价报告。</w:t>
      </w:r>
    </w:p>
    <w:p>
      <w:pPr>
        <w:spacing w:line="360" w:lineRule="auto"/>
        <w:ind w:firstLine="640" w:firstLineChars="200"/>
        <w:jc w:val="left"/>
        <w:rPr>
          <w:rFonts w:ascii="黑体" w:hAnsi="黑体" w:eastAsia="黑体"/>
          <w:sz w:val="32"/>
          <w:szCs w:val="32"/>
        </w:rPr>
      </w:pPr>
      <w:r>
        <w:rPr>
          <w:rFonts w:ascii="黑体" w:hAnsi="黑体" w:eastAsia="黑体"/>
          <w:sz w:val="32"/>
          <w:szCs w:val="32"/>
        </w:rPr>
        <w:t>九、部门整体支出绩效自评结果拟应用和公开情况</w:t>
      </w:r>
    </w:p>
    <w:p>
      <w:pPr>
        <w:widowControl/>
        <w:spacing w:line="600" w:lineRule="atLeast"/>
        <w:ind w:firstLine="64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 xml:space="preserve"> 总体看，我单位支出管理较为规范，财务管理制度较完善，部门整体绩效较好。部门整体支出绩效评价结果将作为今后本单位进行资金安排的重要依据，会按照相关要求及时将整体支出绩效自评报告和项目支出绩效自评表在财政预决算公开专栏公开，接受社会监督。</w:t>
      </w:r>
    </w:p>
    <w:p>
      <w:pPr>
        <w:adjustRightInd w:val="0"/>
        <w:snapToGrid w:val="0"/>
        <w:spacing w:line="600" w:lineRule="exact"/>
        <w:ind w:firstLine="640" w:firstLineChars="200"/>
        <w:jc w:val="left"/>
        <w:rPr>
          <w:rFonts w:ascii="仿宋_GB2312" w:hAnsi="微软雅黑" w:eastAsia="仿宋_GB2312" w:cs="仿宋_GB2312"/>
          <w:color w:val="000000"/>
          <w:kern w:val="0"/>
          <w:sz w:val="32"/>
          <w:szCs w:val="32"/>
        </w:rPr>
      </w:pPr>
      <w:r>
        <w:rPr>
          <w:rFonts w:hint="eastAsia" w:ascii="黑体" w:hAnsi="黑体" w:eastAsia="黑体"/>
          <w:sz w:val="32"/>
          <w:szCs w:val="32"/>
        </w:rPr>
        <w:t>十、</w:t>
      </w:r>
      <w:r>
        <w:rPr>
          <w:rFonts w:ascii="黑体" w:hAnsi="黑体" w:eastAsia="黑体"/>
          <w:sz w:val="32"/>
          <w:szCs w:val="32"/>
        </w:rPr>
        <w:t>其他需要说明的情况</w:t>
      </w:r>
      <w:r>
        <w:rPr>
          <w:rFonts w:hint="eastAsia" w:ascii="黑体" w:hAnsi="黑体" w:eastAsia="黑体"/>
          <w:sz w:val="32"/>
          <w:szCs w:val="32"/>
        </w:rPr>
        <w:t>：</w:t>
      </w:r>
      <w:r>
        <w:rPr>
          <w:rFonts w:hint="eastAsia" w:ascii="仿宋_GB2312" w:hAnsi="微软雅黑" w:eastAsia="仿宋_GB2312" w:cs="仿宋_GB2312"/>
          <w:color w:val="000000"/>
          <w:kern w:val="0"/>
          <w:sz w:val="32"/>
          <w:szCs w:val="32"/>
        </w:rPr>
        <w:t>无</w:t>
      </w:r>
    </w:p>
    <w:p>
      <w:pPr>
        <w:pStyle w:val="17"/>
        <w:spacing w:line="600" w:lineRule="exact"/>
        <w:ind w:firstLine="640" w:firstLineChars="200"/>
        <w:rPr>
          <w:rFonts w:ascii="Times New Roman" w:hAnsi="Times New Roman" w:eastAsia="仿宋_GB2312"/>
          <w:sz w:val="32"/>
          <w:szCs w:val="32"/>
        </w:rPr>
      </w:pPr>
    </w:p>
    <w:p>
      <w:pPr>
        <w:pStyle w:val="17"/>
        <w:jc w:val="center"/>
        <w:rPr>
          <w:sz w:val="72"/>
          <w:szCs w:val="72"/>
        </w:rPr>
      </w:pPr>
    </w:p>
    <w:p>
      <w:pPr>
        <w:pStyle w:val="17"/>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BEE90"/>
    <w:multiLevelType w:val="singleLevel"/>
    <w:tmpl w:val="62EBEE90"/>
    <w:lvl w:ilvl="0" w:tentative="0">
      <w:start w:val="1"/>
      <w:numFmt w:val="chineseCounting"/>
      <w:suff w:val="nothing"/>
      <w:lvlText w:val="（%1）"/>
      <w:lvlJc w:val="left"/>
      <w:pPr>
        <w:ind w:left="1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NTgwNmUzZjRmMDdlMDg3ZGJiMmZhOGFmMWZiM2EifQ=="/>
  </w:docVars>
  <w:rsids>
    <w:rsidRoot w:val="004506F9"/>
    <w:rsid w:val="0002229B"/>
    <w:rsid w:val="000273BD"/>
    <w:rsid w:val="00040CBC"/>
    <w:rsid w:val="000415B7"/>
    <w:rsid w:val="00041E3F"/>
    <w:rsid w:val="0004453E"/>
    <w:rsid w:val="00055DAA"/>
    <w:rsid w:val="00061F7B"/>
    <w:rsid w:val="000658A3"/>
    <w:rsid w:val="00073D69"/>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3F682E"/>
    <w:rsid w:val="00416E61"/>
    <w:rsid w:val="0042790C"/>
    <w:rsid w:val="004376D6"/>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53D2D"/>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B6C"/>
    <w:rsid w:val="00710FE7"/>
    <w:rsid w:val="00717621"/>
    <w:rsid w:val="00720FF1"/>
    <w:rsid w:val="00727A53"/>
    <w:rsid w:val="00736300"/>
    <w:rsid w:val="00787B42"/>
    <w:rsid w:val="007C4539"/>
    <w:rsid w:val="007F3657"/>
    <w:rsid w:val="00812ED5"/>
    <w:rsid w:val="008277D9"/>
    <w:rsid w:val="0084478C"/>
    <w:rsid w:val="0086638C"/>
    <w:rsid w:val="008A3E8D"/>
    <w:rsid w:val="008B1F26"/>
    <w:rsid w:val="008F7D56"/>
    <w:rsid w:val="009237C4"/>
    <w:rsid w:val="00944C48"/>
    <w:rsid w:val="00950252"/>
    <w:rsid w:val="00956FBD"/>
    <w:rsid w:val="00967F5D"/>
    <w:rsid w:val="009A0F95"/>
    <w:rsid w:val="009B3ADF"/>
    <w:rsid w:val="009C2022"/>
    <w:rsid w:val="009C3B52"/>
    <w:rsid w:val="009E6817"/>
    <w:rsid w:val="009E6E9A"/>
    <w:rsid w:val="00A01D2B"/>
    <w:rsid w:val="00A42218"/>
    <w:rsid w:val="00A70249"/>
    <w:rsid w:val="00A70B02"/>
    <w:rsid w:val="00A71D9F"/>
    <w:rsid w:val="00A92E9F"/>
    <w:rsid w:val="00AB18FF"/>
    <w:rsid w:val="00B33BEA"/>
    <w:rsid w:val="00B57C9F"/>
    <w:rsid w:val="00B63572"/>
    <w:rsid w:val="00B82625"/>
    <w:rsid w:val="00B845B3"/>
    <w:rsid w:val="00B85D8B"/>
    <w:rsid w:val="00BB4A40"/>
    <w:rsid w:val="00BD6C3E"/>
    <w:rsid w:val="00BE3674"/>
    <w:rsid w:val="00C10681"/>
    <w:rsid w:val="00C3049A"/>
    <w:rsid w:val="00C31B1E"/>
    <w:rsid w:val="00C41BC3"/>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C4E0E"/>
    <w:rsid w:val="00FE16FA"/>
    <w:rsid w:val="00FE328A"/>
    <w:rsid w:val="00FE6269"/>
    <w:rsid w:val="00FF5CD6"/>
    <w:rsid w:val="012C2953"/>
    <w:rsid w:val="01697D64"/>
    <w:rsid w:val="01C87349"/>
    <w:rsid w:val="063522A9"/>
    <w:rsid w:val="06A15AF6"/>
    <w:rsid w:val="075E313A"/>
    <w:rsid w:val="0898427F"/>
    <w:rsid w:val="09075A53"/>
    <w:rsid w:val="092979F5"/>
    <w:rsid w:val="09720BA8"/>
    <w:rsid w:val="098F597B"/>
    <w:rsid w:val="0D500B2D"/>
    <w:rsid w:val="0E763A4A"/>
    <w:rsid w:val="101E5795"/>
    <w:rsid w:val="1156640E"/>
    <w:rsid w:val="11E479B2"/>
    <w:rsid w:val="13E80751"/>
    <w:rsid w:val="15A07014"/>
    <w:rsid w:val="17467C1C"/>
    <w:rsid w:val="1763654B"/>
    <w:rsid w:val="17E0430D"/>
    <w:rsid w:val="189C688A"/>
    <w:rsid w:val="19235F91"/>
    <w:rsid w:val="19E662C9"/>
    <w:rsid w:val="1A0D2738"/>
    <w:rsid w:val="1A786B5F"/>
    <w:rsid w:val="1ACB7EC9"/>
    <w:rsid w:val="1B5F5433"/>
    <w:rsid w:val="1B8A679C"/>
    <w:rsid w:val="1D97DEFF"/>
    <w:rsid w:val="1DFF72E5"/>
    <w:rsid w:val="1EFC6F07"/>
    <w:rsid w:val="211E264E"/>
    <w:rsid w:val="213830CA"/>
    <w:rsid w:val="237167B6"/>
    <w:rsid w:val="23902210"/>
    <w:rsid w:val="23C44815"/>
    <w:rsid w:val="25634134"/>
    <w:rsid w:val="27AC7A9A"/>
    <w:rsid w:val="27BC5F2F"/>
    <w:rsid w:val="29B13146"/>
    <w:rsid w:val="29F21236"/>
    <w:rsid w:val="2BEE0681"/>
    <w:rsid w:val="2CFF7BBC"/>
    <w:rsid w:val="2DFA0C10"/>
    <w:rsid w:val="2F837332"/>
    <w:rsid w:val="2FDF85B8"/>
    <w:rsid w:val="2FFFEE04"/>
    <w:rsid w:val="30004E27"/>
    <w:rsid w:val="33694B23"/>
    <w:rsid w:val="34C60CFA"/>
    <w:rsid w:val="34DF85B0"/>
    <w:rsid w:val="36A858D0"/>
    <w:rsid w:val="3780216D"/>
    <w:rsid w:val="378B147A"/>
    <w:rsid w:val="387A4C95"/>
    <w:rsid w:val="3AB424E8"/>
    <w:rsid w:val="3B5A10F2"/>
    <w:rsid w:val="3B8F36BC"/>
    <w:rsid w:val="3BE96E33"/>
    <w:rsid w:val="3C1E28BD"/>
    <w:rsid w:val="3F601FBF"/>
    <w:rsid w:val="40A93B94"/>
    <w:rsid w:val="40D61F18"/>
    <w:rsid w:val="451D704F"/>
    <w:rsid w:val="464B45D7"/>
    <w:rsid w:val="46D67F43"/>
    <w:rsid w:val="491FF225"/>
    <w:rsid w:val="4F0A1BC7"/>
    <w:rsid w:val="4FFD214C"/>
    <w:rsid w:val="51DA038A"/>
    <w:rsid w:val="574D6CA1"/>
    <w:rsid w:val="5777D4F5"/>
    <w:rsid w:val="58975A79"/>
    <w:rsid w:val="59C73A3F"/>
    <w:rsid w:val="59DD8326"/>
    <w:rsid w:val="5DEF592A"/>
    <w:rsid w:val="5FC6BB1E"/>
    <w:rsid w:val="5FF720F1"/>
    <w:rsid w:val="62FE5F36"/>
    <w:rsid w:val="670D1D04"/>
    <w:rsid w:val="67FF5C0B"/>
    <w:rsid w:val="699B4C9D"/>
    <w:rsid w:val="69E5416A"/>
    <w:rsid w:val="6D347CB2"/>
    <w:rsid w:val="6D7E4524"/>
    <w:rsid w:val="6DFB0400"/>
    <w:rsid w:val="6EFC0924"/>
    <w:rsid w:val="6FB74722"/>
    <w:rsid w:val="6FEF8B7E"/>
    <w:rsid w:val="71A6591B"/>
    <w:rsid w:val="724957B7"/>
    <w:rsid w:val="737D59BA"/>
    <w:rsid w:val="743441C2"/>
    <w:rsid w:val="74C8040B"/>
    <w:rsid w:val="74DF0134"/>
    <w:rsid w:val="77B613C1"/>
    <w:rsid w:val="77C37683"/>
    <w:rsid w:val="77DF2C05"/>
    <w:rsid w:val="78AB286E"/>
    <w:rsid w:val="78DA3834"/>
    <w:rsid w:val="79FF515B"/>
    <w:rsid w:val="7A0B3D52"/>
    <w:rsid w:val="7A8760AF"/>
    <w:rsid w:val="7B34376B"/>
    <w:rsid w:val="7C372603"/>
    <w:rsid w:val="7E6808A2"/>
    <w:rsid w:val="7E9E1962"/>
    <w:rsid w:val="7E9F11B4"/>
    <w:rsid w:val="7EEA4E1C"/>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endnote text"/>
    <w:basedOn w:val="1"/>
    <w:next w:val="3"/>
    <w:qFormat/>
    <w:uiPriority w:val="0"/>
    <w:rPr>
      <w:rFonts w:ascii="Times New Roman" w:hAnsi="Times New Roman" w:eastAsia="宋体" w:cs="Times New Roman"/>
    </w:rPr>
  </w:style>
  <w:style w:type="paragraph" w:styleId="3">
    <w:name w:val="Body Text"/>
    <w:basedOn w:val="1"/>
    <w:next w:val="4"/>
    <w:qFormat/>
    <w:uiPriority w:val="0"/>
    <w:rPr>
      <w:sz w:val="31"/>
      <w:szCs w:val="22"/>
    </w:rPr>
  </w:style>
  <w:style w:type="paragraph" w:styleId="4">
    <w:name w:val="footer"/>
    <w:basedOn w:val="1"/>
    <w:next w:val="5"/>
    <w:link w:val="16"/>
    <w:unhideWhenUsed/>
    <w:qFormat/>
    <w:uiPriority w:val="99"/>
    <w:pPr>
      <w:tabs>
        <w:tab w:val="center" w:pos="4153"/>
        <w:tab w:val="right" w:pos="8306"/>
      </w:tabs>
      <w:snapToGrid w:val="0"/>
      <w:jc w:val="left"/>
    </w:pPr>
    <w:rPr>
      <w:sz w:val="18"/>
      <w:szCs w:val="18"/>
    </w:rPr>
  </w:style>
  <w:style w:type="paragraph" w:styleId="5">
    <w:name w:val="index 5"/>
    <w:basedOn w:val="1"/>
    <w:next w:val="1"/>
    <w:qFormat/>
    <w:uiPriority w:val="0"/>
    <w:pPr>
      <w:ind w:left="1680"/>
    </w:pPr>
    <w:rPr>
      <w:rFonts w:ascii="Times New Roman" w:hAnsi="Times New Roman" w:eastAsia="宋体"/>
    </w:rPr>
  </w:style>
  <w:style w:type="paragraph" w:styleId="7">
    <w:name w:val="Body Text Indent"/>
    <w:basedOn w:val="1"/>
    <w:next w:val="8"/>
    <w:unhideWhenUsed/>
    <w:qFormat/>
    <w:uiPriority w:val="99"/>
    <w:pPr>
      <w:widowControl/>
      <w:spacing w:after="120"/>
      <w:ind w:left="420" w:leftChars="200"/>
      <w:jc w:val="left"/>
    </w:pPr>
    <w:rPr>
      <w:rFonts w:ascii="宋体" w:hAnsi="宋体" w:eastAsia="宋体" w:cs="宋体"/>
      <w:kern w:val="0"/>
      <w:sz w:val="24"/>
    </w:rPr>
  </w:style>
  <w:style w:type="paragraph" w:styleId="8">
    <w:name w:val="Body Text First Indent 2"/>
    <w:basedOn w:val="7"/>
    <w:next w:val="1"/>
    <w:unhideWhenUsed/>
    <w:qFormat/>
    <w:uiPriority w:val="99"/>
    <w:pPr>
      <w:ind w:firstLine="420" w:firstLineChars="200"/>
    </w:pPr>
  </w:style>
  <w:style w:type="paragraph" w:styleId="9">
    <w:name w:val="Balloon Text"/>
    <w:basedOn w:val="1"/>
    <w:link w:val="19"/>
    <w:semiHidden/>
    <w:unhideWhenUsed/>
    <w:qFormat/>
    <w:uiPriority w:val="99"/>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8"/>
    <w:semiHidden/>
    <w:qFormat/>
    <w:uiPriority w:val="0"/>
    <w:pPr>
      <w:snapToGrid w:val="0"/>
      <w:jc w:val="left"/>
    </w:pPr>
    <w:rPr>
      <w:sz w:val="18"/>
      <w:szCs w:val="18"/>
    </w:rPr>
  </w:style>
  <w:style w:type="paragraph" w:styleId="12">
    <w:name w:val="Normal (Web)"/>
    <w:basedOn w:val="1"/>
    <w:qFormat/>
    <w:uiPriority w:val="0"/>
    <w:rPr>
      <w:sz w:val="24"/>
    </w:rPr>
  </w:style>
  <w:style w:type="character" w:customStyle="1" w:styleId="15">
    <w:name w:val="页眉 Char"/>
    <w:basedOn w:val="14"/>
    <w:link w:val="10"/>
    <w:qFormat/>
    <w:uiPriority w:val="99"/>
    <w:rPr>
      <w:sz w:val="18"/>
      <w:szCs w:val="18"/>
    </w:rPr>
  </w:style>
  <w:style w:type="character" w:customStyle="1" w:styleId="16">
    <w:name w:val="页脚 Char"/>
    <w:basedOn w:val="14"/>
    <w:link w:val="4"/>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9"/>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8576</Words>
  <Characters>10762</Characters>
  <Lines>87</Lines>
  <Paragraphs>24</Paragraphs>
  <TotalTime>4</TotalTime>
  <ScaleCrop>false</ScaleCrop>
  <LinksUpToDate>false</LinksUpToDate>
  <CharactersWithSpaces>11331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丫丫</cp:lastModifiedBy>
  <cp:lastPrinted>2024-08-08T10:20:00Z</cp:lastPrinted>
  <dcterms:modified xsi:type="dcterms:W3CDTF">2024-09-06T02:25:21Z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58CE031BB35E4149AF155D590BD86801</vt:lpwstr>
  </property>
</Properties>
</file>