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eastAsia" w:cs="宋体"/>
          <w:b/>
          <w:bCs/>
          <w:color w:val="666666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cs="宋体"/>
          <w:b/>
          <w:bCs/>
          <w:color w:val="666666"/>
          <w:sz w:val="44"/>
          <w:szCs w:val="44"/>
          <w:shd w:val="clear" w:color="auto" w:fill="FFFFFF"/>
          <w:lang w:val="en-US" w:eastAsia="zh-CN"/>
        </w:rPr>
        <w:t>2023年度</w:t>
      </w:r>
      <w:r>
        <w:rPr>
          <w:rFonts w:hint="eastAsia" w:cs="宋体"/>
          <w:b/>
          <w:bCs/>
          <w:color w:val="666666"/>
          <w:sz w:val="44"/>
          <w:szCs w:val="44"/>
          <w:shd w:val="clear" w:color="auto" w:fill="FFFFFF"/>
          <w:lang w:eastAsia="zh-CN"/>
        </w:rPr>
        <w:t>中国共产义主青年团益阳市赫山区委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eastAsia" w:cs="宋体"/>
          <w:b/>
          <w:bCs/>
          <w:color w:val="66666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color w:val="666666"/>
          <w:sz w:val="44"/>
          <w:szCs w:val="44"/>
          <w:shd w:val="clear" w:color="auto" w:fill="FFFFFF"/>
          <w:lang w:val="en-US" w:eastAsia="zh-CN"/>
        </w:rPr>
        <w:t>整体支出绩效自评报告</w:t>
      </w:r>
    </w:p>
    <w:p>
      <w:pPr>
        <w:pStyle w:val="9"/>
        <w:shd w:val="clear" w:color="auto" w:fill="FFFFFF"/>
        <w:spacing w:before="0" w:beforeAutospacing="0" w:after="0" w:afterAutospacing="0" w:line="480" w:lineRule="auto"/>
        <w:jc w:val="center"/>
        <w:rPr>
          <w:rFonts w:hint="eastAsia" w:ascii="宋体" w:hAnsi="宋体" w:eastAsia="宋体" w:cs="宋体"/>
          <w:b/>
          <w:bCs/>
          <w:color w:val="666666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益赫财绩【2024】2号</w:t>
      </w:r>
      <w:r>
        <w:rPr>
          <w:rFonts w:hint="eastAsia" w:ascii="仿宋_GB2312" w:eastAsia="仿宋_GB2312"/>
          <w:sz w:val="32"/>
          <w:szCs w:val="32"/>
        </w:rPr>
        <w:t>《益阳市赫山区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财政局关于做好2023年度预算绩效自评工作的通知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文件精神，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</w:t>
      </w:r>
      <w:r>
        <w:rPr>
          <w:rFonts w:hint="eastAsia" w:ascii="仿宋_GB2312" w:eastAsia="仿宋_GB2312"/>
          <w:sz w:val="32"/>
          <w:szCs w:val="32"/>
        </w:rPr>
        <w:t>从预算配置、预算执行、预算管理、职责履行、履职效益等五方面入手，对照《部门整体支出绩效评价指标表》，认真负责、客观公正地开展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年度部门整体支出绩效自评工作，现将相关情况报告如下：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bCs/>
          <w:sz w:val="32"/>
          <w:szCs w:val="32"/>
        </w:rPr>
        <w:t>一、部门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基本</w:t>
      </w:r>
      <w:r>
        <w:rPr>
          <w:rFonts w:hint="eastAsia" w:ascii="仿宋_GB2312" w:eastAsia="仿宋_GB2312"/>
          <w:b/>
          <w:bCs/>
          <w:sz w:val="32"/>
          <w:szCs w:val="32"/>
        </w:rPr>
        <w:t>情况</w:t>
      </w:r>
    </w:p>
    <w:p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）机构设置</w:t>
      </w:r>
    </w:p>
    <w:p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共青团赫山区委系行政独立预算单位，共有4个职能科室：办公室（组织宣传部）、青年发展部（社会联络部）、学校少年部（权益部）、益阳市赫山区青年志愿服务工作指导中心。</w:t>
      </w:r>
    </w:p>
    <w:p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人员编制情况：</w:t>
      </w:r>
    </w:p>
    <w:p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共青团赫山区委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核定行政编制数4名，事业编制数2名，2023年在编在岗行政人员4人，事业编制人员2名，无退休人员。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二、一般公共预算支出情况</w:t>
      </w:r>
    </w:p>
    <w:p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年一般公共预算财政拨款收入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120.63</w:t>
      </w:r>
      <w:r>
        <w:rPr>
          <w:rFonts w:hint="eastAsia" w:ascii="仿宋" w:hAnsi="仿宋" w:eastAsia="仿宋" w:cs="仿宋"/>
          <w:sz w:val="32"/>
          <w:szCs w:val="32"/>
        </w:rPr>
        <w:t>万元，具体安排情况如下：</w:t>
      </w:r>
    </w:p>
    <w:p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年年初预算数为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65.13</w:t>
      </w:r>
      <w:r>
        <w:rPr>
          <w:rFonts w:hint="eastAsia" w:ascii="仿宋" w:hAnsi="仿宋" w:eastAsia="仿宋" w:cs="仿宋"/>
          <w:sz w:val="32"/>
          <w:szCs w:val="32"/>
        </w:rPr>
        <w:t>万元，主要用于基本工资、津贴补贴等人员经费以及办公费、印刷费、水电费、办公设备购置等日常公用经费。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55.5</w:t>
      </w:r>
      <w:r>
        <w:rPr>
          <w:rFonts w:hint="eastAsia" w:ascii="仿宋" w:hAnsi="仿宋" w:eastAsia="仿宋" w:cs="仿宋"/>
          <w:sz w:val="32"/>
          <w:szCs w:val="32"/>
        </w:rPr>
        <w:t>万元，其中：五四活动经费2.5万元，主要用于开展五四活动等方面；预防青少年犯罪3万元，主要用于开展预防青少年犯罪宣讲教育等方面；青年文明号及岗位能手评选2万元，主要用于评选青年文明号及岗位能手支出及奖励等方面；少先队工作经费5万元，主要用于我区少先队工作的开展；青少年发展专项经费30万元，主要用于支持我区青少年事业发展；西部志愿者经费3万元，主要用于志愿者工作、生活补贴；党建经费2万元，主要用于本单开展党建活动；义工工作经费支出8万元，主要用于开展志愿服务（义工）活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三、政府性基金预算支出情况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年本单位无政府性基金预算支出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四、国有资本经营预算支出情况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年本单位无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国有资本经营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五、社会保险基金预算支出情况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年本单位无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经营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六、部门整体支出绩效情况</w:t>
      </w:r>
    </w:p>
    <w:p>
      <w:pPr>
        <w:widowControl/>
        <w:spacing w:line="600" w:lineRule="exact"/>
        <w:ind w:firstLine="6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预算绩效目标情况</w:t>
      </w:r>
    </w:p>
    <w:p>
      <w:pPr>
        <w:widowControl/>
        <w:spacing w:line="60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 xml:space="preserve">年共青团赫山区委整体支出绩效目标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120.63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65.13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55.5</w:t>
      </w:r>
      <w:r>
        <w:rPr>
          <w:rFonts w:hint="eastAsia" w:ascii="仿宋" w:hAnsi="仿宋" w:eastAsia="仿宋" w:cs="仿宋"/>
          <w:sz w:val="32"/>
          <w:szCs w:val="32"/>
        </w:rPr>
        <w:t>万元。全部实行整体绩效目标管理，涉及一般公共预算当年拨款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120.63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年共青团赫山区委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</w:t>
      </w: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青少年发展专项经费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绩效目标30万元，主要用于支持我区青少年事业发展主要实行整体绩效目标管理，涉及一般公共预算当年拨款30万元。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20" w:firstLineChars="10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（二）部门整体支出绩效目标完成情况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预决算公开：根据区财政局的统一部署及相关要求，我委已在赫山信息网站上进行了预（决）算公开。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存量资金管理：我委已实行国库集中支付管理。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资产管理：制定了《赫山共青团益阳市赫山区委固定资产管理制度》，建立了固定资产台帐，指定专人管理，及时登记，科学使用，实现了“一物一卡一条码”。固定资产的调出、处置、报废、报损严格执行国家有关规定的审批程序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“三公”经费控制：2023年，我委“三公”经费支出0.5万元，其中：无公务用车运行维护费，公务接待费0.5万元，无出国出境费。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内部控制制度建设：我委制定了《赫山共青团益阳市赫山区委机关管理制度》、《财务管理制度》、《赫山共青团益阳市赫山区委政府采购制度》、《赫山共青团益阳市赫山区委资产管理制度》等一系列内部控制制度，相关制度合法合规、完整，并得到有效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  <w:t>绩效目标完成情况：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、推动志愿服务融入基层社会治理，提升“345”联系服务群众工作实效。2、推动全国《中长期青年发展规划（2016—2025年）》试点建设纵深实施。3、聚焦青年人才振兴，助力国家乡村振兴示范创建工作。4、省级县域共青团基层组织改革试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20" w:firstLineChars="1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）部门整体支出实施情况分析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我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在部门整体支出中，严格按照年初预算安排，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坚持“无预算，不支出；有预算，严格按预算支出”的原则，以及“细化预算和提前编制预算”原则，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严格遵守资金管理制度，强化监督，专款专用，确保各项资金及时到位，无截留、挪用等现象。健全和完善管理制度，加强基本支出管理。严格审批程序，严格执行国家规定的开支范围及开支标准，量入为出，坚持联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制度。严格报账程序，实行国库集中支付制度，严格完善相关资料手续、审核审批程序，保证了各项资金使用的合理合规，充分发挥了各项资金的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效益。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pacing w:line="600" w:lineRule="exact"/>
        <w:ind w:firstLine="6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0" w:firstLineChars="3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绩效评价目的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本次绩效评价的目的是为了全面分析和综合评价我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本级财政预算资金的使用管理情况，为切实提高财政资金使用效益，强化预算支出的责任和效率提供参考依据。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绩效评价工作过程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前期准备。按照绩效自评工作要求，成立以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区团委书记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喻哲丹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为组长的绩效评价工作小组，对相关的国家法律法规进行了认真学习，掌握政策，根据部门整体收支情况制定了部门整体支出绩效评价实施方案。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组织实施。采用核查法核查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年同级财政预算批复执行及部门整体支出情况，着重核查了“三公”经费及资产管理、内部控制制度等情况。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分析评价。对评价过程中收集资料进行归纳，汇总分析，依据设定的部门整体支出绩效评价指标体系进行了评分，形成了综合性书面报告。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（五）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、主要绩效及评价结论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经济性分析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本年预算配置控制较好。财政供养人员控制在预算编制以内，编制内在职人员控制率为100%；“三公”经费支出总额小，低于年初预算。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预算执行方面。支出总额控制在预算总额以内，所有支出严格依照相关财务管理规定执行，特别重视量财办事、量力而行，严格控制标准、注重节约，少花钱办好事，各项支出都在合理范围内。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预算管理方面。我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制定了切实有效的内部管理制度和经费支出控制方案，有较强的内控风险管理意识、各项经费支出得到了有效控制。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效率性分析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2023年，团区委在区委、团市委的坚强领导下，坚持以习近平新时代中国特色社会主义思想为指导，深入学习党的二十大精神，深入贯彻习近平总书记关于青少年和共青团工作论述，团结引领广大青年在乡村振兴、基层治理、新质生产力发展等重点领域接续奋斗，助力青年友好型城市建设，深化县域共青团基层组织改革，全面建设“清廉共青团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效益性分析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2023年区委常委会等会议专题研究全区共青团、少先队工作3次；向区委、政府提交报告4份；区委书记、区长等区级领导专题批示5次；追加工作经费67万元；承办市级以上活动2场；与其他部门联合行文8件；建立以区委副书记为第一召集人，涵盖区直部门、乡镇（街道、园区）等36个成员单位的区级青年发展工作联席会议，从工作上大力支持、资源上优先投入、力量上重点保障，千方百计为共青团、少先队工作创造有利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00" w:firstLineChars="2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一是预算执行到位。严格执行《预算法》和各项财经纪律，机关管理制度健全，财务管理规范，预算编制合理;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二是资金监管到位。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仿宋" w:hAnsi="仿宋" w:eastAsia="仿宋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、存在的问题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/>
        </w:rPr>
        <w:t>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因部分工作不可预见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性，有些支出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无法纳入预算，导致预算执行存在偏差。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/>
        </w:rPr>
        <w:t>下一步改进措施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提高认识，突出重点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20" w:firstLineChars="1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1．提高对预算绩效管理的认识，充分理解财政绩效评价指标体系，注重绩效目标、评价指标的关联性，依据部门职责和年度工作重点，更加科学合理地确定部门绩效目标和评价目标。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2．强化全过程预算绩效管理理念，强化部门项目选择与部门职责的相关性。按财政管理要求进一步建立完善项目库和内部项目选择机制，完善项目管理制度，实施项目事加强领导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重视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合理设定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绩效目标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管理措施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科学编制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预算,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认真组织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绩效考评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（二）强化管理，规范行为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1．强化部门预算约束，细化预算编制，严格预算执行，合理制定项目方案和计划，减少预算执行中的项目预算调整和结余，平衡好预算执行进度，提高财政资金使用效率和效益。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2．加强预算项目事前、事中、事后管控，做到事前有评估、事中有监控、事后有评价，并且按预期绩效目标完成程度考核项目实施效果。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（三）科学考核，注重实效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1．建立科学合理的项目预算效果考核机制，依据预设的绩效数量、质量指标全面衡量预算实施效果，既重“绩”，更重“效”。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2．注重服务对象满意度调查工作，根据部门职责明确服务对象、确定调查范围，采取适当方式全面收集服务对象满意度资料，反映部门服务效果。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3．注重考核的全面性和客观性，对预设指标之外的项目效果同样纳入考核评价报告。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总之，部门整体绩效考评是一项系统性、全局性的工作，需要领导重视，全员参与，科学考核，注重实效。只有这样，才能不断增强绩效考评的客观性和科学性，切实促进财政资金科学管理和实际绩效水平不断提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/>
        </w:rPr>
        <w:t>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科学合理编制预算，严格执行预算。要按照《预算法》及其实施条例的相关规定，参考上一年的预算执行情况和年度的收支预测、部门重点工作等科学编制预算，避免年中大幅追加以及超预算。同时严格预算执行，提高资金使用效率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default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6C891"/>
    <w:multiLevelType w:val="singleLevel"/>
    <w:tmpl w:val="E336C89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EBEE90"/>
    <w:multiLevelType w:val="singleLevel"/>
    <w:tmpl w:val="62EBEE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2ZjMWE5MWYxYjAxMmE3ZjU4ZTJhY2JiNzE1ZTQifQ=="/>
  </w:docVars>
  <w:rsids>
    <w:rsidRoot w:val="00172A27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46F5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AF06D7"/>
    <w:rsid w:val="0509241F"/>
    <w:rsid w:val="0A980755"/>
    <w:rsid w:val="0CEA36C2"/>
    <w:rsid w:val="17CF3382"/>
    <w:rsid w:val="18C70EB1"/>
    <w:rsid w:val="1BAA7DFD"/>
    <w:rsid w:val="1DFB74DD"/>
    <w:rsid w:val="224522F9"/>
    <w:rsid w:val="24491954"/>
    <w:rsid w:val="32566A72"/>
    <w:rsid w:val="3285584A"/>
    <w:rsid w:val="3A522D3D"/>
    <w:rsid w:val="3BA24FE4"/>
    <w:rsid w:val="4A09192E"/>
    <w:rsid w:val="4C2D4456"/>
    <w:rsid w:val="4E6C3761"/>
    <w:rsid w:val="51FF0DA4"/>
    <w:rsid w:val="524E2132"/>
    <w:rsid w:val="530D1306"/>
    <w:rsid w:val="53D53594"/>
    <w:rsid w:val="543739B0"/>
    <w:rsid w:val="54B90772"/>
    <w:rsid w:val="5777D4F5"/>
    <w:rsid w:val="59C961B8"/>
    <w:rsid w:val="5C2F11CB"/>
    <w:rsid w:val="5F8B5C0B"/>
    <w:rsid w:val="5FC6BB1E"/>
    <w:rsid w:val="5FF720F1"/>
    <w:rsid w:val="64F37D52"/>
    <w:rsid w:val="64F62937"/>
    <w:rsid w:val="6BC75A84"/>
    <w:rsid w:val="737D59BA"/>
    <w:rsid w:val="77C37683"/>
    <w:rsid w:val="79FF515B"/>
    <w:rsid w:val="7E8E3472"/>
    <w:rsid w:val="7E9F11B4"/>
    <w:rsid w:val="7FC69637"/>
    <w:rsid w:val="7FF37189"/>
    <w:rsid w:val="7FFDB408"/>
    <w:rsid w:val="CBFF70E0"/>
    <w:rsid w:val="EEABED75"/>
    <w:rsid w:val="FB36E1A6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/>
    </w:rPr>
  </w:style>
  <w:style w:type="paragraph" w:styleId="3">
    <w:name w:val="Body Text"/>
    <w:basedOn w:val="1"/>
    <w:next w:val="4"/>
    <w:qFormat/>
    <w:uiPriority w:val="0"/>
    <w:rPr>
      <w:sz w:val="31"/>
      <w:szCs w:val="22"/>
    </w:rPr>
  </w:style>
  <w:style w:type="paragraph" w:styleId="4">
    <w:name w:val="footer"/>
    <w:basedOn w:val="1"/>
    <w:next w:val="2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endnote text"/>
    <w:basedOn w:val="1"/>
    <w:next w:val="3"/>
    <w:qFormat/>
    <w:uiPriority w:val="0"/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4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11554</Words>
  <Characters>13901</Characters>
  <Lines>63</Lines>
  <Paragraphs>18</Paragraphs>
  <TotalTime>2</TotalTime>
  <ScaleCrop>false</ScaleCrop>
  <LinksUpToDate>false</LinksUpToDate>
  <CharactersWithSpaces>14117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2020-07-04T18:32:00Z</dcterms:created>
  <dc:creator>李航 null</dc:creator>
  <cp:lastModifiedBy>丫丫</cp:lastModifiedBy>
  <cp:lastPrinted>2023-08-15T09:28:00Z</cp:lastPrinted>
  <dcterms:modified xsi:type="dcterms:W3CDTF">2024-09-06T03:07:26Z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49F402ADF26A46DCA0AEB4EA96938A17</vt:lpwstr>
  </property>
</Properties>
</file>