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jc w:val="center"/>
        <w:rPr>
          <w:rFonts w:hint="default"/>
          <w:color w:val="333333"/>
          <w:sz w:val="45"/>
          <w:szCs w:val="45"/>
        </w:rPr>
      </w:pPr>
      <w:bookmarkStart w:id="0" w:name="_GoBack"/>
      <w:r>
        <w:rPr>
          <w:color w:val="333333"/>
          <w:sz w:val="45"/>
          <w:szCs w:val="45"/>
        </w:rPr>
        <w:t>赫山区工商联2023年度部门整体支出</w:t>
      </w:r>
    </w:p>
    <w:p>
      <w:pPr>
        <w:pStyle w:val="2"/>
        <w:widowControl/>
        <w:spacing w:beforeAutospacing="0" w:afterAutospacing="0"/>
        <w:jc w:val="center"/>
        <w:rPr>
          <w:rFonts w:hint="default"/>
          <w:color w:val="333333"/>
          <w:sz w:val="45"/>
          <w:szCs w:val="45"/>
        </w:rPr>
      </w:pPr>
      <w:r>
        <w:rPr>
          <w:color w:val="333333"/>
          <w:sz w:val="45"/>
          <w:szCs w:val="45"/>
        </w:rPr>
        <w:t>绩效评价报告</w:t>
      </w:r>
    </w:p>
    <w:bookmarkEnd w:id="0"/>
    <w:p/>
    <w:p>
      <w:pPr>
        <w:pStyle w:val="14"/>
        <w:numPr>
          <w:ilvl w:val="0"/>
          <w:numId w:val="1"/>
        </w:numPr>
        <w:spacing w:line="560" w:lineRule="exact"/>
        <w:ind w:firstLineChars="0"/>
        <w:jc w:val="left"/>
        <w:rPr>
          <w:rFonts w:ascii="仿宋" w:hAnsi="仿宋" w:eastAsia="仿宋" w:cs="华文仿宋"/>
          <w:sz w:val="32"/>
          <w:szCs w:val="32"/>
        </w:rPr>
      </w:pPr>
      <w:r>
        <w:rPr>
          <w:rFonts w:hint="eastAsia" w:ascii="仿宋" w:hAnsi="仿宋" w:eastAsia="仿宋" w:cs="华文仿宋"/>
          <w:sz w:val="32"/>
          <w:szCs w:val="32"/>
        </w:rPr>
        <w:t>为切实做好2023年度预算绩效自评工作，提高财政资金使用效益，根据《益阳市赫山区财政局关于开展2023年度区级预算部门绩效自评和部门评价工作的通知》（益赫财绩〔2024〕2号）文件精神，并结合实际，现将我单位整体支出绩效自评结果报告如下：</w:t>
      </w:r>
    </w:p>
    <w:p>
      <w:pPr>
        <w:pStyle w:val="8"/>
        <w:widowControl/>
        <w:numPr>
          <w:ilvl w:val="0"/>
          <w:numId w:val="1"/>
        </w:numPr>
        <w:shd w:val="clear" w:color="auto" w:fill="FFFFFF"/>
        <w:spacing w:beforeAutospacing="0" w:afterAutospacing="0" w:line="540" w:lineRule="atLeast"/>
        <w:ind w:firstLine="640" w:firstLineChars="200"/>
        <w:jc w:val="both"/>
        <w:rPr>
          <w:rFonts w:ascii="仿宋" w:hAnsi="仿宋" w:eastAsia="仿宋" w:cs="华文仿宋"/>
          <w:bCs/>
          <w:sz w:val="32"/>
          <w:szCs w:val="32"/>
        </w:rPr>
      </w:pPr>
      <w:r>
        <w:rPr>
          <w:rFonts w:hint="eastAsia" w:ascii="仿宋" w:hAnsi="仿宋" w:eastAsia="仿宋" w:cs="华文仿宋"/>
          <w:bCs/>
          <w:sz w:val="32"/>
          <w:szCs w:val="32"/>
        </w:rPr>
        <w:t>部门基本情况</w:t>
      </w:r>
    </w:p>
    <w:p>
      <w:pPr>
        <w:pStyle w:val="8"/>
        <w:widowControl/>
        <w:shd w:val="clear" w:color="auto" w:fill="FFFFFF"/>
        <w:spacing w:beforeAutospacing="0" w:afterAutospacing="0" w:line="54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1.内设机构</w:t>
      </w:r>
    </w:p>
    <w:p>
      <w:pPr>
        <w:pStyle w:val="8"/>
        <w:widowControl/>
        <w:shd w:val="clear" w:color="auto" w:fill="FFFFFF"/>
        <w:spacing w:beforeAutospacing="0" w:afterAutospacing="0" w:line="54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赫山区工商联为机关行政单位，核定全额拨款</w:t>
      </w: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color w:val="000000"/>
          <w:sz w:val="32"/>
          <w:szCs w:val="32"/>
          <w:shd w:val="clear" w:color="auto" w:fill="FFFFFF"/>
        </w:rPr>
        <w:t>名,其中行政编制5名、事业编制</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名，设主席1名、副主席2名、主任科员1名；内设办公室、非公企业服务中心（股级二级机构）。</w:t>
      </w:r>
    </w:p>
    <w:p>
      <w:pPr>
        <w:pStyle w:val="8"/>
        <w:widowControl/>
        <w:shd w:val="clear" w:color="auto" w:fill="FFFFFF"/>
        <w:spacing w:beforeAutospacing="0" w:afterAutospacing="0" w:line="540" w:lineRule="atLeas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2.主要职责</w:t>
      </w:r>
    </w:p>
    <w:p>
      <w:pPr>
        <w:pStyle w:val="8"/>
        <w:widowControl/>
        <w:shd w:val="clear" w:color="auto" w:fill="FFFFFF"/>
        <w:spacing w:beforeAutospacing="0" w:afterAutospacing="0" w:line="540" w:lineRule="atLeast"/>
        <w:ind w:firstLine="48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（一）做工商界代表人士政治安排的推荐工作。</w:t>
      </w:r>
    </w:p>
    <w:p>
      <w:pPr>
        <w:pStyle w:val="8"/>
        <w:widowControl/>
        <w:shd w:val="clear" w:color="auto" w:fill="FFFFFF"/>
        <w:spacing w:beforeAutospacing="0" w:afterAutospacing="0" w:line="540" w:lineRule="atLeast"/>
        <w:ind w:firstLine="48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（二）提倡爱国、敬业、诚信、守法，提高会员素质，培养积极分子队伍。</w:t>
      </w:r>
    </w:p>
    <w:p>
      <w:pPr>
        <w:pStyle w:val="8"/>
        <w:widowControl/>
        <w:shd w:val="clear" w:color="auto" w:fill="FFFFFF"/>
        <w:spacing w:beforeAutospacing="0" w:afterAutospacing="0" w:line="540" w:lineRule="atLeast"/>
        <w:ind w:firstLine="624"/>
        <w:rPr>
          <w:rFonts w:ascii="仿宋" w:hAnsi="仿宋" w:eastAsia="仿宋" w:cs="仿宋"/>
          <w:color w:val="333333"/>
          <w:sz w:val="32"/>
          <w:szCs w:val="32"/>
        </w:rPr>
      </w:pPr>
      <w:r>
        <w:rPr>
          <w:rFonts w:hint="eastAsia" w:ascii="仿宋" w:hAnsi="仿宋" w:eastAsia="仿宋" w:cs="仿宋"/>
          <w:color w:val="333333"/>
          <w:spacing w:val="-4"/>
          <w:sz w:val="32"/>
          <w:szCs w:val="32"/>
          <w:shd w:val="clear" w:color="auto" w:fill="FFFFFF"/>
        </w:rPr>
        <w:t>（三）代表并维护会员的合法权益，反映会员的意见、要求和建议。</w:t>
      </w:r>
    </w:p>
    <w:p>
      <w:pPr>
        <w:pStyle w:val="8"/>
        <w:widowControl/>
        <w:shd w:val="clear" w:color="auto" w:fill="FFFFFF"/>
        <w:spacing w:beforeAutospacing="0" w:afterAutospacing="0" w:line="540" w:lineRule="atLeast"/>
        <w:ind w:firstLine="624"/>
        <w:rPr>
          <w:rFonts w:ascii="仿宋" w:hAnsi="仿宋" w:eastAsia="仿宋" w:cs="仿宋"/>
          <w:color w:val="333333"/>
          <w:sz w:val="32"/>
          <w:szCs w:val="32"/>
        </w:rPr>
      </w:pPr>
      <w:r>
        <w:rPr>
          <w:rFonts w:hint="eastAsia" w:ascii="仿宋" w:hAnsi="仿宋" w:eastAsia="仿宋" w:cs="仿宋"/>
          <w:color w:val="333333"/>
          <w:spacing w:val="-4"/>
          <w:sz w:val="32"/>
          <w:szCs w:val="32"/>
          <w:shd w:val="clear" w:color="auto" w:fill="FFFFFF"/>
        </w:rPr>
        <w:t>（四）引导会员弘扬中华民族传统美德，先富帮后富，走共同富裕的道路，热心社会公益事业。</w:t>
      </w:r>
    </w:p>
    <w:p>
      <w:pPr>
        <w:pStyle w:val="8"/>
        <w:widowControl/>
        <w:shd w:val="clear" w:color="auto" w:fill="FFFFFF"/>
        <w:spacing w:beforeAutospacing="0" w:afterAutospacing="0" w:line="540" w:lineRule="atLeast"/>
        <w:ind w:firstLine="624"/>
        <w:rPr>
          <w:rFonts w:ascii="仿宋" w:hAnsi="仿宋" w:eastAsia="仿宋" w:cs="仿宋"/>
          <w:color w:val="333333"/>
          <w:sz w:val="32"/>
          <w:szCs w:val="32"/>
        </w:rPr>
      </w:pPr>
      <w:r>
        <w:rPr>
          <w:rFonts w:hint="eastAsia" w:ascii="仿宋" w:hAnsi="仿宋" w:eastAsia="仿宋" w:cs="仿宋"/>
          <w:color w:val="333333"/>
          <w:spacing w:val="-4"/>
          <w:sz w:val="32"/>
          <w:szCs w:val="32"/>
          <w:shd w:val="clear" w:color="auto" w:fill="FFFFFF"/>
        </w:rPr>
        <w:t> (五）为会员提供信息和科技、管理、法律、会计、审计、融资、咨询等服务。</w:t>
      </w:r>
    </w:p>
    <w:p>
      <w:pPr>
        <w:pStyle w:val="8"/>
        <w:widowControl/>
        <w:shd w:val="clear" w:color="auto" w:fill="FFFFFF"/>
        <w:spacing w:beforeAutospacing="0" w:afterAutospacing="0" w:line="540" w:lineRule="atLeast"/>
        <w:ind w:firstLine="624"/>
        <w:rPr>
          <w:rFonts w:ascii="仿宋" w:hAnsi="仿宋" w:eastAsia="仿宋" w:cs="仿宋"/>
          <w:color w:val="333333"/>
          <w:sz w:val="32"/>
          <w:szCs w:val="32"/>
        </w:rPr>
      </w:pPr>
      <w:r>
        <w:rPr>
          <w:rFonts w:hint="eastAsia" w:ascii="仿宋" w:hAnsi="仿宋" w:eastAsia="仿宋" w:cs="仿宋"/>
          <w:color w:val="333333"/>
          <w:spacing w:val="-4"/>
          <w:sz w:val="32"/>
          <w:szCs w:val="32"/>
          <w:shd w:val="clear" w:color="auto" w:fill="FFFFFF"/>
        </w:rPr>
        <w:t>（六）开展专业培训，帮助会员改进经营、完善管理、照章纳税，提高生产技术和产品质量。</w:t>
      </w:r>
    </w:p>
    <w:p>
      <w:pPr>
        <w:pStyle w:val="8"/>
        <w:widowControl/>
        <w:shd w:val="clear" w:color="auto" w:fill="FFFFFF"/>
        <w:spacing w:beforeAutospacing="0" w:afterAutospacing="0" w:line="540" w:lineRule="atLeast"/>
        <w:ind w:firstLine="624"/>
        <w:rPr>
          <w:rFonts w:ascii="仿宋" w:hAnsi="仿宋" w:eastAsia="仿宋" w:cs="仿宋"/>
          <w:color w:val="333333"/>
          <w:sz w:val="32"/>
          <w:szCs w:val="32"/>
        </w:rPr>
      </w:pPr>
      <w:r>
        <w:rPr>
          <w:rFonts w:hint="eastAsia" w:ascii="仿宋" w:hAnsi="仿宋" w:eastAsia="仿宋" w:cs="仿宋"/>
          <w:color w:val="333333"/>
          <w:spacing w:val="-4"/>
          <w:sz w:val="32"/>
          <w:szCs w:val="32"/>
          <w:shd w:val="clear" w:color="auto" w:fill="FFFFFF"/>
        </w:rPr>
        <w:t>（七）组织会员举办和参加展销会、交易会，组织会员出国、出境考察访问。</w:t>
      </w:r>
    </w:p>
    <w:p>
      <w:pPr>
        <w:pStyle w:val="8"/>
        <w:widowControl/>
        <w:shd w:val="clear" w:color="auto" w:fill="FFFFFF"/>
        <w:spacing w:beforeAutospacing="0" w:afterAutospacing="0" w:line="540" w:lineRule="atLeast"/>
        <w:ind w:firstLine="624"/>
        <w:rPr>
          <w:rFonts w:ascii="仿宋" w:hAnsi="仿宋" w:eastAsia="仿宋" w:cs="仿宋"/>
          <w:color w:val="333333"/>
          <w:sz w:val="32"/>
          <w:szCs w:val="32"/>
        </w:rPr>
      </w:pPr>
      <w:r>
        <w:rPr>
          <w:rFonts w:hint="eastAsia" w:ascii="仿宋" w:hAnsi="仿宋" w:eastAsia="仿宋" w:cs="仿宋"/>
          <w:color w:val="333333"/>
          <w:spacing w:val="-4"/>
          <w:sz w:val="32"/>
          <w:szCs w:val="32"/>
          <w:shd w:val="clear" w:color="auto" w:fill="FFFFFF"/>
        </w:rPr>
        <w:t>（八）增进与各工商社团及工商经济界人士的联系和友谊，促进经济、技术和贸易合作，协助引进资金、技术、人才。</w:t>
      </w:r>
    </w:p>
    <w:p>
      <w:pPr>
        <w:pStyle w:val="8"/>
        <w:widowControl/>
        <w:shd w:val="clear" w:color="auto" w:fill="FFFFFF"/>
        <w:spacing w:beforeAutospacing="0" w:afterAutospacing="0" w:line="540" w:lineRule="atLeast"/>
        <w:ind w:firstLine="624"/>
        <w:rPr>
          <w:rFonts w:ascii="仿宋" w:hAnsi="仿宋" w:eastAsia="仿宋" w:cs="仿宋"/>
          <w:color w:val="333333"/>
          <w:sz w:val="32"/>
          <w:szCs w:val="32"/>
        </w:rPr>
      </w:pPr>
      <w:r>
        <w:rPr>
          <w:rFonts w:hint="eastAsia" w:ascii="仿宋" w:hAnsi="仿宋" w:eastAsia="仿宋" w:cs="仿宋"/>
          <w:color w:val="333333"/>
          <w:spacing w:val="-4"/>
          <w:sz w:val="32"/>
          <w:szCs w:val="32"/>
          <w:shd w:val="clear" w:color="auto" w:fill="FFFFFF"/>
        </w:rPr>
        <w:t>（九）为会员提供有关证明，协调关系，调整经济纠纷。</w:t>
      </w:r>
    </w:p>
    <w:p>
      <w:pPr>
        <w:pStyle w:val="8"/>
        <w:widowControl/>
        <w:shd w:val="clear" w:color="auto" w:fill="FFFFFF"/>
        <w:spacing w:beforeAutospacing="0" w:afterAutospacing="0" w:line="540" w:lineRule="atLeast"/>
        <w:ind w:firstLine="624"/>
        <w:rPr>
          <w:rFonts w:ascii="仿宋" w:hAnsi="仿宋" w:eastAsia="仿宋" w:cs="仿宋"/>
          <w:color w:val="333333"/>
          <w:sz w:val="32"/>
          <w:szCs w:val="32"/>
        </w:rPr>
      </w:pPr>
      <w:r>
        <w:rPr>
          <w:rFonts w:hint="eastAsia" w:ascii="仿宋" w:hAnsi="仿宋" w:eastAsia="仿宋" w:cs="仿宋"/>
          <w:color w:val="333333"/>
          <w:spacing w:val="-4"/>
          <w:sz w:val="32"/>
          <w:szCs w:val="32"/>
          <w:shd w:val="clear" w:color="auto" w:fill="FFFFFF"/>
        </w:rPr>
        <w:t>（十）办好会办企业、事业。</w:t>
      </w:r>
    </w:p>
    <w:p>
      <w:pPr>
        <w:pStyle w:val="8"/>
        <w:widowControl/>
        <w:shd w:val="clear" w:color="auto" w:fill="FFFFFF"/>
        <w:spacing w:beforeAutospacing="0" w:afterAutospacing="0" w:line="540" w:lineRule="atLeast"/>
        <w:ind w:firstLine="624"/>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（十一）承办区委、区政府及有关部门委托事项。</w:t>
      </w:r>
    </w:p>
    <w:p>
      <w:pPr>
        <w:ind w:firstLine="640" w:firstLineChars="200"/>
        <w:rPr>
          <w:rFonts w:ascii="仿宋" w:hAnsi="仿宋" w:eastAsia="仿宋" w:cs="仿宋"/>
          <w:bCs/>
          <w:sz w:val="32"/>
          <w:szCs w:val="32"/>
        </w:rPr>
      </w:pPr>
      <w:r>
        <w:rPr>
          <w:rFonts w:hint="eastAsia" w:ascii="仿宋" w:hAnsi="仿宋" w:eastAsia="仿宋" w:cs="仿宋"/>
          <w:bCs/>
          <w:sz w:val="32"/>
          <w:szCs w:val="32"/>
        </w:rPr>
        <w:t>二、一般公共预算支出情况</w:t>
      </w:r>
    </w:p>
    <w:p>
      <w:pPr>
        <w:ind w:firstLine="624" w:firstLineChars="200"/>
        <w:rPr>
          <w:rFonts w:hint="eastAsia" w:ascii="仿宋" w:hAnsi="仿宋" w:eastAsia="仿宋" w:cs="华文仿宋"/>
          <w:sz w:val="32"/>
          <w:szCs w:val="32"/>
        </w:rPr>
      </w:pPr>
      <w:r>
        <w:rPr>
          <w:rFonts w:hint="eastAsia" w:ascii="仿宋" w:hAnsi="仿宋" w:eastAsia="仿宋" w:cs="仿宋"/>
          <w:color w:val="333333"/>
          <w:spacing w:val="-4"/>
          <w:kern w:val="0"/>
          <w:sz w:val="32"/>
          <w:szCs w:val="32"/>
          <w:shd w:val="clear" w:color="auto" w:fill="FFFFFF"/>
        </w:rPr>
        <w:t>（一）部门整体收支情况。</w:t>
      </w:r>
      <w:r>
        <w:rPr>
          <w:rFonts w:hint="eastAsia" w:ascii="仿宋" w:hAnsi="仿宋" w:eastAsia="仿宋" w:cs="华文仿宋"/>
          <w:sz w:val="32"/>
          <w:szCs w:val="32"/>
        </w:rPr>
        <w:t>2023年度收入合计138.85万元，其中：财政拨款收入133.34万元,其他收入5.51万元，上年无结转。 总支出138.85万元。</w:t>
      </w:r>
    </w:p>
    <w:p>
      <w:pPr>
        <w:ind w:firstLine="640" w:firstLineChars="200"/>
        <w:rPr>
          <w:rFonts w:ascii="仿宋" w:hAnsi="仿宋" w:eastAsia="仿宋" w:cs="仿宋"/>
          <w:sz w:val="32"/>
          <w:szCs w:val="32"/>
        </w:rPr>
      </w:pPr>
      <w:r>
        <w:rPr>
          <w:rFonts w:hint="eastAsia" w:ascii="仿宋" w:hAnsi="仿宋" w:eastAsia="仿宋" w:cs="仿宋"/>
          <w:sz w:val="32"/>
          <w:szCs w:val="32"/>
        </w:rPr>
        <w:t>（二）部门整体支出资金使用情况</w:t>
      </w:r>
    </w:p>
    <w:p>
      <w:pPr>
        <w:ind w:firstLine="624" w:firstLineChars="200"/>
        <w:rPr>
          <w:rFonts w:ascii="仿宋" w:hAnsi="仿宋" w:eastAsia="仿宋" w:cs="仿宋"/>
          <w:color w:val="333333"/>
          <w:spacing w:val="-4"/>
          <w:kern w:val="0"/>
          <w:sz w:val="32"/>
          <w:szCs w:val="32"/>
          <w:shd w:val="clear" w:color="auto" w:fill="FFFFFF"/>
        </w:rPr>
      </w:pPr>
      <w:r>
        <w:rPr>
          <w:rFonts w:hint="eastAsia" w:ascii="仿宋" w:hAnsi="仿宋" w:eastAsia="仿宋" w:cs="仿宋"/>
          <w:color w:val="333333"/>
          <w:spacing w:val="-4"/>
          <w:kern w:val="0"/>
          <w:sz w:val="32"/>
          <w:szCs w:val="32"/>
          <w:shd w:val="clear" w:color="auto" w:fill="FFFFFF"/>
        </w:rPr>
        <w:t>2023年我单位实际完成支出138.85万元，其中，工资福利支出96.66万元，商品和服务支出35.76万元，对个人和家庭的补助支出3.02万元。2023年“三公经费”公共预算财政拨款支出2.2万元，实际支出0元。</w:t>
      </w:r>
    </w:p>
    <w:p>
      <w:pPr>
        <w:pStyle w:val="14"/>
        <w:numPr>
          <w:ilvl w:val="0"/>
          <w:numId w:val="2"/>
        </w:numPr>
        <w:ind w:firstLineChars="0"/>
        <w:rPr>
          <w:rFonts w:ascii="仿宋" w:hAnsi="仿宋" w:eastAsia="仿宋" w:cs="仿宋"/>
          <w:sz w:val="32"/>
          <w:szCs w:val="32"/>
        </w:rPr>
      </w:pPr>
      <w:r>
        <w:rPr>
          <w:rFonts w:hint="eastAsia" w:ascii="仿宋" w:hAnsi="仿宋" w:eastAsia="仿宋" w:cs="仿宋"/>
          <w:sz w:val="32"/>
          <w:szCs w:val="32"/>
        </w:rPr>
        <w:t>政府性基金预算支出情况</w:t>
      </w:r>
    </w:p>
    <w:p>
      <w:pPr>
        <w:pStyle w:val="14"/>
        <w:ind w:left="720" w:firstLine="0" w:firstLineChars="0"/>
        <w:rPr>
          <w:rFonts w:ascii="仿宋" w:hAnsi="仿宋" w:eastAsia="仿宋" w:cs="仿宋"/>
          <w:sz w:val="32"/>
          <w:szCs w:val="32"/>
        </w:rPr>
      </w:pPr>
      <w:r>
        <w:rPr>
          <w:rFonts w:hint="eastAsia" w:ascii="仿宋" w:hAnsi="仿宋" w:eastAsia="仿宋" w:cs="仿宋"/>
          <w:sz w:val="32"/>
          <w:szCs w:val="32"/>
        </w:rPr>
        <w:t>无</w:t>
      </w:r>
    </w:p>
    <w:p>
      <w:pPr>
        <w:pStyle w:val="14"/>
        <w:numPr>
          <w:ilvl w:val="0"/>
          <w:numId w:val="2"/>
        </w:numPr>
        <w:ind w:firstLineChars="0"/>
        <w:rPr>
          <w:rFonts w:ascii="仿宋" w:hAnsi="仿宋" w:eastAsia="仿宋" w:cs="仿宋"/>
          <w:sz w:val="32"/>
          <w:szCs w:val="32"/>
        </w:rPr>
      </w:pPr>
      <w:r>
        <w:rPr>
          <w:rFonts w:hint="eastAsia" w:ascii="仿宋" w:hAnsi="仿宋" w:eastAsia="仿宋" w:cs="仿宋"/>
          <w:sz w:val="32"/>
          <w:szCs w:val="32"/>
        </w:rPr>
        <w:t>国有资本经营预算支出情况</w:t>
      </w:r>
    </w:p>
    <w:p>
      <w:pPr>
        <w:pStyle w:val="14"/>
        <w:ind w:left="720" w:firstLine="0" w:firstLineChars="0"/>
        <w:rPr>
          <w:rFonts w:ascii="仿宋" w:hAnsi="仿宋" w:eastAsia="仿宋" w:cs="仿宋"/>
          <w:sz w:val="32"/>
          <w:szCs w:val="32"/>
        </w:rPr>
      </w:pPr>
      <w:r>
        <w:rPr>
          <w:rFonts w:hint="eastAsia" w:ascii="仿宋" w:hAnsi="仿宋" w:eastAsia="仿宋" w:cs="仿宋"/>
          <w:sz w:val="32"/>
          <w:szCs w:val="32"/>
        </w:rPr>
        <w:t>无</w:t>
      </w:r>
    </w:p>
    <w:p>
      <w:pPr>
        <w:pStyle w:val="14"/>
        <w:ind w:left="720" w:firstLine="0" w:firstLineChars="0"/>
        <w:rPr>
          <w:rFonts w:ascii="仿宋" w:hAnsi="仿宋" w:eastAsia="仿宋" w:cs="仿宋"/>
          <w:sz w:val="32"/>
          <w:szCs w:val="32"/>
        </w:rPr>
      </w:pPr>
      <w:r>
        <w:rPr>
          <w:rFonts w:hint="eastAsia" w:ascii="仿宋" w:hAnsi="仿宋" w:eastAsia="仿宋" w:cs="仿宋"/>
          <w:sz w:val="32"/>
          <w:szCs w:val="32"/>
        </w:rPr>
        <w:t>五、社会保险基金预算支出情况</w:t>
      </w:r>
    </w:p>
    <w:p>
      <w:pPr>
        <w:pStyle w:val="14"/>
        <w:ind w:left="720" w:firstLine="0" w:firstLineChars="0"/>
        <w:rPr>
          <w:rFonts w:ascii="仿宋" w:hAnsi="仿宋" w:eastAsia="仿宋" w:cs="仿宋"/>
          <w:sz w:val="32"/>
          <w:szCs w:val="32"/>
        </w:rPr>
      </w:pPr>
      <w:r>
        <w:rPr>
          <w:rFonts w:hint="eastAsia" w:ascii="仿宋" w:hAnsi="仿宋" w:eastAsia="仿宋" w:cs="仿宋"/>
          <w:sz w:val="32"/>
          <w:szCs w:val="32"/>
        </w:rPr>
        <w:t>无</w:t>
      </w:r>
    </w:p>
    <w:p>
      <w:pPr>
        <w:ind w:firstLine="640" w:firstLineChars="200"/>
        <w:rPr>
          <w:rFonts w:ascii="仿宋" w:hAnsi="仿宋" w:eastAsia="仿宋" w:cs="仿宋"/>
          <w:bCs/>
          <w:sz w:val="32"/>
          <w:szCs w:val="32"/>
        </w:rPr>
      </w:pPr>
      <w:r>
        <w:rPr>
          <w:rFonts w:hint="eastAsia" w:ascii="仿宋" w:hAnsi="仿宋" w:eastAsia="仿宋" w:cs="仿宋"/>
          <w:bCs/>
          <w:sz w:val="32"/>
          <w:szCs w:val="32"/>
        </w:rPr>
        <w:t>六、部门整体支出绩效评价情况</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通过加强预算收支的管理，不断建立健全内部管理制度，理顺内部管理流程，部门整体支出管理情况得到了提升。部门整体支出绩效情况如下：</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（一）经济性评价</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 1、本年预算安排控制较好，财政供养人员控制率100%，编制内在职人员控制率100%，控制在预算编制以内；“三公”经费预算总额未突破上年。</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2、预算执行方面，支出总额控制在预算总额以内；本年无转移资金支付，不存在截留或滞留专项资金情况。</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（二）行政效能评价</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为强化部门整体支出，加强国有资产管理，提高资金使用效益，提升财务管理，建立节约型机关，2023年我单位在强化业务管理、财务管理和厉行节约方面开展了大量工作，行政效能显著。</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1、在原有相对健全的财务管理制度基础上，适时地、针对性地进行了相关制度的增补，制度的建立更为完善。</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2、重视制度的学习和宣讲工作，并已逐步形成了崇尚厉行节约反对浪费的机关文化。</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根据中央、湖南省人民政府下发的《党政机关厉行节约反对浪费条例》《湖南省党政机关国内公务接待管理办法》《关于厉行节约反对浪费的实施意见》《关于党政机关停止新建楼堂馆所和清理办公用房的实施意见》等一系列文件精神，及时组织机关人员学习，将厉行节约反对浪费教育作为机关作风建设的重要内容，极大强化了机关厉行节约管理意识。</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3、建立了经费支出定期汇报和公示机制，经费支出的公开透明性得到提高。</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除按照财政要求对部门预算、“三公”经费进行例行公示外，根据经费支出情况，定期进行经费支出财务统计和分析，并及时向分管领导和绩效评价领导小组进行汇报，对经费支出的管理状况提出建设性的意见；使各项经费管理和监督发挥了较好的作用。</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4、严格执行了国库集中支付、公务卡结算制度、政府采购等有关规定，政府采购目录内的货物与服务全部按要求实施了政府采购，确保了支出管理流程、审批手续的完整。</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5、加强了会计核算工作。根据印发的《行政单位会计制度》，进行了全面系统的学习，按照新制度的要求，对财务管理软件进行优化升级，对相关科目的设置进行了补充和调整，提高了财务核算质量。</w:t>
      </w:r>
    </w:p>
    <w:p>
      <w:pPr>
        <w:pStyle w:val="8"/>
        <w:shd w:val="clear" w:color="auto" w:fill="FFFFFF"/>
        <w:spacing w:beforeAutospacing="0" w:afterAutospacing="0" w:line="480" w:lineRule="auto"/>
        <w:ind w:firstLine="640" w:firstLineChars="200"/>
        <w:jc w:val="both"/>
        <w:rPr>
          <w:rFonts w:ascii="仿宋" w:hAnsi="仿宋" w:eastAsia="仿宋" w:cs="仿宋"/>
          <w:bCs/>
          <w:sz w:val="32"/>
          <w:szCs w:val="32"/>
        </w:rPr>
      </w:pPr>
      <w:r>
        <w:rPr>
          <w:rFonts w:hint="eastAsia" w:ascii="仿宋" w:hAnsi="仿宋" w:eastAsia="仿宋" w:cs="仿宋"/>
          <w:color w:val="333333"/>
          <w:sz w:val="32"/>
          <w:szCs w:val="32"/>
        </w:rPr>
        <w:t>七、</w:t>
      </w:r>
      <w:r>
        <w:rPr>
          <w:rFonts w:hint="eastAsia" w:ascii="仿宋" w:hAnsi="仿宋" w:eastAsia="仿宋" w:cs="仿宋"/>
          <w:bCs/>
          <w:sz w:val="32"/>
          <w:szCs w:val="32"/>
        </w:rPr>
        <w:t>存在的问题及原因分析</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1、财务工作人员专业化程度不高。因现行会计制度的改革，财务系统进行更新，会计出纳均不是专业的财务人员，对新业务不熟悉，加上其他工作的冲突，各项财务工作还有待进一步规范。</w:t>
      </w:r>
    </w:p>
    <w:p>
      <w:pPr>
        <w:pStyle w:val="8"/>
        <w:widowControl/>
        <w:shd w:val="clear" w:color="auto" w:fill="FFFFFF"/>
        <w:spacing w:beforeAutospacing="0" w:afterAutospacing="0" w:line="540" w:lineRule="atLeast"/>
        <w:ind w:firstLine="624" w:firstLineChars="200"/>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t>2、资产管理方面存在不完善的方面。由于时间久远等原因，接手人员对之前的情况不了解，其固定资产台账未及时更新、修改、登记，导致我单位2023年末资产台账与账面资产金额存在差异，固定资产管理有待加强。</w:t>
      </w:r>
    </w:p>
    <w:p>
      <w:pPr>
        <w:pStyle w:val="14"/>
        <w:ind w:left="720" w:firstLine="0" w:firstLineChars="0"/>
        <w:rPr>
          <w:rFonts w:ascii="仿宋" w:hAnsi="仿宋" w:eastAsia="仿宋" w:cs="仿宋"/>
          <w:bCs/>
          <w:sz w:val="32"/>
          <w:szCs w:val="32"/>
        </w:rPr>
      </w:pPr>
      <w:r>
        <w:rPr>
          <w:rFonts w:hint="eastAsia" w:ascii="仿宋" w:hAnsi="仿宋" w:eastAsia="仿宋" w:cs="仿宋"/>
          <w:bCs/>
          <w:sz w:val="32"/>
          <w:szCs w:val="32"/>
        </w:rPr>
        <w:t>八、下一步改进措施</w:t>
      </w:r>
    </w:p>
    <w:p>
      <w:pPr>
        <w:pStyle w:val="8"/>
        <w:widowControl/>
        <w:shd w:val="clear" w:color="auto" w:fill="FFFFFF"/>
        <w:spacing w:beforeAutospacing="0" w:afterAutospacing="0" w:line="540" w:lineRule="atLeast"/>
        <w:ind w:firstLine="640"/>
        <w:rPr>
          <w:rFonts w:ascii="仿宋" w:hAnsi="仿宋" w:eastAsia="仿宋" w:cs="仿宋"/>
          <w:color w:val="333333"/>
          <w:sz w:val="32"/>
          <w:szCs w:val="32"/>
        </w:rPr>
      </w:pPr>
      <w:r>
        <w:rPr>
          <w:rFonts w:hint="eastAsia" w:ascii="仿宋" w:hAnsi="仿宋" w:eastAsia="仿宋" w:cs="仿宋"/>
          <w:color w:val="010101"/>
          <w:sz w:val="32"/>
          <w:szCs w:val="32"/>
          <w:shd w:val="clear" w:color="auto" w:fill="FFFFFF"/>
        </w:rPr>
        <w:t>1、加强财务人员的培养培训力度，特别是对新的财务制度以及系统加强学习。</w:t>
      </w:r>
    </w:p>
    <w:p>
      <w:pPr>
        <w:pStyle w:val="8"/>
        <w:widowControl/>
        <w:shd w:val="clear" w:color="auto" w:fill="FFFFFF"/>
        <w:spacing w:beforeAutospacing="0" w:afterAutospacing="0" w:line="540" w:lineRule="atLeast"/>
        <w:ind w:firstLine="640"/>
        <w:rPr>
          <w:rFonts w:ascii="仿宋" w:hAnsi="仿宋" w:eastAsia="仿宋" w:cs="仿宋"/>
          <w:color w:val="333333"/>
          <w:sz w:val="32"/>
          <w:szCs w:val="32"/>
        </w:rPr>
      </w:pPr>
      <w:r>
        <w:rPr>
          <w:rFonts w:hint="eastAsia" w:ascii="仿宋" w:hAnsi="仿宋" w:eastAsia="仿宋" w:cs="仿宋"/>
          <w:color w:val="010101"/>
          <w:sz w:val="32"/>
          <w:szCs w:val="32"/>
          <w:shd w:val="clear" w:color="auto" w:fill="FFFFFF"/>
        </w:rPr>
        <w:t>2、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w:t>
      </w:r>
    </w:p>
    <w:p>
      <w:pPr>
        <w:pStyle w:val="8"/>
        <w:widowControl/>
        <w:shd w:val="clear" w:color="auto" w:fill="FFFFFF"/>
        <w:spacing w:beforeAutospacing="0" w:afterAutospacing="0" w:line="540" w:lineRule="atLeast"/>
        <w:rPr>
          <w:rFonts w:ascii="仿宋" w:hAnsi="仿宋" w:eastAsia="仿宋" w:cs="仿宋"/>
          <w:color w:val="333333"/>
          <w:sz w:val="32"/>
          <w:szCs w:val="32"/>
        </w:rPr>
      </w:pPr>
      <w:r>
        <w:rPr>
          <w:rFonts w:hint="eastAsia" w:ascii="仿宋" w:hAnsi="仿宋" w:eastAsia="仿宋" w:cs="仿宋"/>
          <w:color w:val="010101"/>
          <w:sz w:val="32"/>
          <w:szCs w:val="32"/>
          <w:shd w:val="clear" w:color="auto" w:fill="FFFFFF"/>
        </w:rPr>
        <w:t>　　 3、在日常预算管理过程中，进一步加强预算支出的审核、跟踪及预算执行情况分析。</w:t>
      </w:r>
    </w:p>
    <w:p>
      <w:pPr>
        <w:pStyle w:val="8"/>
        <w:widowControl/>
        <w:shd w:val="clear" w:color="auto" w:fill="FFFFFF"/>
        <w:spacing w:beforeAutospacing="0" w:afterAutospacing="0" w:line="540" w:lineRule="atLeast"/>
        <w:rPr>
          <w:rFonts w:ascii="仿宋" w:hAnsi="仿宋" w:eastAsia="仿宋" w:cs="仿宋"/>
          <w:color w:val="333333"/>
          <w:sz w:val="32"/>
          <w:szCs w:val="32"/>
        </w:rPr>
      </w:pPr>
      <w:r>
        <w:rPr>
          <w:rFonts w:hint="eastAsia" w:ascii="仿宋" w:hAnsi="仿宋" w:eastAsia="仿宋" w:cs="仿宋"/>
          <w:color w:val="010101"/>
          <w:sz w:val="32"/>
          <w:szCs w:val="32"/>
          <w:shd w:val="clear" w:color="auto" w:fill="FFFFFF"/>
        </w:rPr>
        <w:t>     4、完善管理制度，进一步加强资产管理 。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rPr>
          <w:rFonts w:ascii="仿宋" w:hAnsi="仿宋" w:eastAsia="仿宋" w:cs="仿宋"/>
          <w:color w:val="333333"/>
          <w:spacing w:val="-4"/>
          <w:sz w:val="32"/>
          <w:szCs w:val="32"/>
          <w:shd w:val="clear" w:color="auto" w:fill="FFFFFF"/>
        </w:rPr>
      </w:pPr>
      <w:r>
        <w:rPr>
          <w:rFonts w:hint="eastAsia" w:ascii="仿宋" w:hAnsi="仿宋" w:eastAsia="仿宋" w:cs="仿宋"/>
          <w:color w:val="333333"/>
          <w:spacing w:val="-4"/>
          <w:sz w:val="32"/>
          <w:szCs w:val="32"/>
          <w:shd w:val="clear" w:color="auto" w:fill="FFFFFF"/>
        </w:rPr>
        <w:br w:type="page"/>
      </w:r>
    </w:p>
    <w:p>
      <w:pPr>
        <w:spacing w:beforeLines="50" w:afterLines="50"/>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2023年度部门整体支出绩效自评指标计分表</w:t>
      </w:r>
    </w:p>
    <w:tbl>
      <w:tblPr>
        <w:tblStyle w:val="9"/>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1"/>
        <w:gridCol w:w="710"/>
        <w:gridCol w:w="946"/>
        <w:gridCol w:w="710"/>
        <w:gridCol w:w="298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bottom w:w="0" w:type="dxa"/>
              <w:right w:w="10" w:type="dxa"/>
            </w:tcMar>
            <w:vAlign w:val="center"/>
          </w:tcPr>
          <w:p>
            <w:pPr>
              <w:spacing w:line="240" w:lineRule="exact"/>
              <w:jc w:val="center"/>
              <w:rPr>
                <w:rFonts w:ascii="宋体" w:hAnsi="宋体" w:cs="宋体"/>
                <w:b/>
                <w:bCs/>
              </w:rPr>
            </w:pPr>
            <w:r>
              <w:rPr>
                <w:rFonts w:hint="eastAsia" w:ascii="宋体" w:hAnsi="宋体" w:cs="宋体"/>
                <w:b/>
                <w:bCs/>
              </w:rPr>
              <w:t>一级</w:t>
            </w:r>
          </w:p>
          <w:p>
            <w:pPr>
              <w:spacing w:line="240" w:lineRule="exact"/>
              <w:jc w:val="center"/>
              <w:rPr>
                <w:rFonts w:ascii="宋体" w:cs="宋体"/>
                <w:b/>
                <w:bCs/>
              </w:rPr>
            </w:pPr>
            <w:r>
              <w:rPr>
                <w:rFonts w:hint="eastAsia" w:ascii="宋体" w:hAnsi="宋体" w:cs="宋体"/>
                <w:b/>
                <w:bCs/>
              </w:rPr>
              <w:t>指标</w:t>
            </w:r>
          </w:p>
        </w:tc>
        <w:tc>
          <w:tcPr>
            <w:tcW w:w="375" w:type="pct"/>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500"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6"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7"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投入（</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目标</w:t>
            </w:r>
          </w:p>
          <w:p>
            <w:pPr>
              <w:spacing w:line="240" w:lineRule="exact"/>
              <w:jc w:val="center"/>
              <w:rPr>
                <w:rFonts w:ascii="宋体" w:cs="宋体"/>
              </w:rPr>
            </w:pPr>
            <w:r>
              <w:rPr>
                <w:rFonts w:hint="eastAsia" w:ascii="宋体" w:hAnsi="宋体" w:cs="宋体"/>
              </w:rPr>
              <w:t>设定（</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jc w:val="center"/>
              <w:rPr>
                <w:rFonts w:ascii="宋体" w:cs="宋体"/>
              </w:rPr>
            </w:pPr>
          </w:p>
          <w:p>
            <w:pPr>
              <w:tabs>
                <w:tab w:val="left" w:pos="2604"/>
              </w:tabs>
              <w:spacing w:line="240" w:lineRule="exact"/>
              <w:ind w:left="105" w:leftChars="50" w:right="105" w:rightChars="50" w:firstLine="96" w:firstLineChars="46"/>
              <w:jc w:val="center"/>
              <w:rPr>
                <w:rFonts w:ascii="宋体" w:cs="宋体"/>
              </w:rPr>
            </w:pPr>
          </w:p>
          <w:p>
            <w:pPr>
              <w:tabs>
                <w:tab w:val="left" w:pos="2604"/>
              </w:tabs>
              <w:spacing w:line="240" w:lineRule="exact"/>
              <w:ind w:left="105" w:leftChars="50" w:right="105" w:rightChars="50" w:firstLine="96" w:firstLineChars="46"/>
              <w:jc w:val="center"/>
              <w:rPr>
                <w:rFonts w:ascii="宋体" w:cs="宋体"/>
              </w:rPr>
            </w:pPr>
          </w:p>
          <w:p>
            <w:pPr>
              <w:tabs>
                <w:tab w:val="left" w:pos="2604"/>
              </w:tabs>
              <w:spacing w:line="240" w:lineRule="exact"/>
              <w:ind w:left="105" w:leftChars="50" w:right="105" w:rightChars="50" w:firstLine="96" w:firstLineChars="46"/>
              <w:jc w:val="center"/>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①是否符合国家法律法规、国民经济和社会发展总体规划；</w:t>
            </w:r>
          </w:p>
          <w:p>
            <w:pPr>
              <w:spacing w:line="240" w:lineRule="exact"/>
              <w:ind w:left="105" w:leftChars="50" w:right="105" w:rightChars="50"/>
              <w:rPr>
                <w:rFonts w:ascii="宋体" w:hAnsi="宋体" w:cs="宋体"/>
              </w:rPr>
            </w:pPr>
            <w:r>
              <w:rPr>
                <w:rFonts w:hint="eastAsia" w:ascii="宋体" w:hAnsi="宋体" w:cs="宋体"/>
              </w:rPr>
              <w:t>②是否符合部门“三定”方案确定的职责；</w:t>
            </w:r>
          </w:p>
          <w:p>
            <w:pPr>
              <w:spacing w:line="240" w:lineRule="exact"/>
              <w:ind w:left="105" w:leftChars="50" w:right="105" w:rightChars="50"/>
              <w:rPr>
                <w:rFonts w:ascii="宋体" w:cs="宋体"/>
              </w:rPr>
            </w:pP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3</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①是否将部门整体的绩效目标细化分解为具体的工作任务；</w:t>
            </w:r>
          </w:p>
          <w:p>
            <w:pPr>
              <w:spacing w:line="240" w:lineRule="exact"/>
              <w:ind w:left="105" w:leftChars="50" w:right="105" w:rightChars="50"/>
              <w:rPr>
                <w:rFonts w:ascii="宋体" w:hAnsi="宋体" w:cs="宋体"/>
              </w:rPr>
            </w:pPr>
            <w:r>
              <w:rPr>
                <w:rFonts w:hint="eastAsia" w:ascii="宋体" w:hAnsi="宋体" w:cs="宋体"/>
              </w:rPr>
              <w:t>②是否通过清晰、可衡量的指标值予以体现。③是否与部门年度的任务数或计划数相对应；</w:t>
            </w:r>
          </w:p>
          <w:p>
            <w:pPr>
              <w:spacing w:line="240" w:lineRule="exact"/>
              <w:ind w:left="105" w:leftChars="50" w:right="105" w:rightChars="50"/>
              <w:rPr>
                <w:rFonts w:ascii="宋体" w:cs="宋体"/>
              </w:rPr>
            </w:pP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vAlign w:val="center"/>
          </w:tcPr>
          <w:p>
            <w:pPr>
              <w:spacing w:line="240" w:lineRule="exact"/>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配置（</w:t>
            </w:r>
            <w:r>
              <w:rPr>
                <w:rFonts w:ascii="宋体" w:hAnsi="宋体" w:cs="宋体"/>
              </w:rPr>
              <w:t>15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在职人员数：部门实际在职人数，以财政部确定的部门决算编制口径为准。</w:t>
            </w:r>
          </w:p>
          <w:p>
            <w:pPr>
              <w:spacing w:line="240" w:lineRule="exact"/>
              <w:ind w:left="105" w:leftChars="50" w:right="105" w:rightChars="50"/>
              <w:rPr>
                <w:rFonts w:ascii="宋体" w:cs="宋体"/>
              </w:rPr>
            </w:pP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重点预算支出：部门年度预算安排的，与本部门履职和发展密切相关、具有明显社会和经济影响、党委政府关心或社会比较关注的预算支出支出总额。</w:t>
            </w:r>
          </w:p>
          <w:p>
            <w:pPr>
              <w:spacing w:line="240" w:lineRule="exact"/>
              <w:ind w:left="105" w:leftChars="50" w:right="105" w:rightChars="50"/>
              <w:rPr>
                <w:rFonts w:ascii="宋体" w:cs="宋体"/>
              </w:rPr>
            </w:pP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预算执行数：部门本年度实际完成的预算数。</w:t>
            </w:r>
          </w:p>
          <w:p>
            <w:pPr>
              <w:spacing w:line="240" w:lineRule="exact"/>
              <w:ind w:left="105" w:leftChars="50" w:right="105" w:rightChars="50"/>
              <w:rPr>
                <w:rFonts w:ascii="宋体" w:cs="宋体"/>
              </w:rPr>
            </w:pP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right="105" w:rightChars="50" w:firstLine="210" w:firstLineChars="100"/>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实际支付进度：部门在某一时点的支出预算执行总数与年度支出预算数的比率。</w:t>
            </w:r>
          </w:p>
          <w:p>
            <w:pPr>
              <w:spacing w:line="240" w:lineRule="exact"/>
              <w:ind w:left="105" w:leftChars="50" w:right="105" w:rightChars="50"/>
              <w:rPr>
                <w:rFonts w:ascii="宋体" w:cs="宋体"/>
              </w:rPr>
            </w:pP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continue"/>
            <w:tcMar>
              <w:top w:w="10" w:type="dxa"/>
              <w:left w:w="10" w:type="dxa"/>
              <w:bottom w:w="0" w:type="dxa"/>
              <w:right w:w="10" w:type="dxa"/>
            </w:tcMar>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①是否已制定或具有预算资金管理办法、内部财务管理制度、会计核算制度等管理制度；</w:t>
            </w:r>
          </w:p>
          <w:p>
            <w:pPr>
              <w:spacing w:line="240" w:lineRule="exact"/>
              <w:ind w:left="105" w:leftChars="50" w:right="105" w:rightChars="50"/>
              <w:rPr>
                <w:rFonts w:ascii="宋体" w:hAnsi="宋体" w:cs="宋体"/>
              </w:rPr>
            </w:pPr>
            <w:r>
              <w:rPr>
                <w:rFonts w:hint="eastAsia" w:ascii="宋体" w:hAnsi="宋体" w:cs="宋体"/>
              </w:rPr>
              <w:t>②相关管理制度是否合法、合规、完整；</w:t>
            </w:r>
          </w:p>
          <w:p>
            <w:pPr>
              <w:spacing w:line="240" w:lineRule="exact"/>
              <w:ind w:left="105" w:leftChars="50" w:right="105" w:rightChars="50"/>
              <w:rPr>
                <w:rFonts w:ascii="宋体" w:cs="宋体"/>
              </w:rPr>
            </w:pP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①是否符合国家财经法规和财务管理制度规定以及有关预算支出管理办法的规定；</w:t>
            </w:r>
          </w:p>
          <w:p>
            <w:pPr>
              <w:spacing w:line="240" w:lineRule="exact"/>
              <w:ind w:left="105" w:leftChars="50" w:right="105" w:rightChars="50"/>
              <w:rPr>
                <w:rFonts w:ascii="宋体" w:hAnsi="宋体" w:cs="宋体"/>
              </w:rPr>
            </w:pPr>
            <w:r>
              <w:rPr>
                <w:rFonts w:hint="eastAsia" w:ascii="宋体" w:hAnsi="宋体" w:cs="宋体"/>
              </w:rPr>
              <w:t>②资金的拨付是否有完整的审批程序和手续；</w:t>
            </w:r>
          </w:p>
          <w:p>
            <w:pPr>
              <w:spacing w:line="240" w:lineRule="exact"/>
              <w:ind w:left="105" w:leftChars="50" w:right="105" w:rightChars="50"/>
              <w:rPr>
                <w:rFonts w:ascii="宋体" w:hAnsi="宋体" w:cs="宋体"/>
              </w:rPr>
            </w:pPr>
            <w:r>
              <w:rPr>
                <w:rFonts w:hint="eastAsia" w:ascii="宋体" w:hAnsi="宋体" w:cs="宋体"/>
              </w:rPr>
              <w:t>③预算支出的重大开支是否经过评估论证；</w:t>
            </w:r>
          </w:p>
          <w:p>
            <w:pPr>
              <w:spacing w:line="240" w:lineRule="exact"/>
              <w:ind w:left="105" w:leftChars="50" w:right="105" w:rightChars="50"/>
              <w:rPr>
                <w:rFonts w:ascii="宋体" w:hAnsi="宋体" w:cs="宋体"/>
              </w:rPr>
            </w:pPr>
            <w:r>
              <w:rPr>
                <w:rFonts w:hint="eastAsia" w:ascii="宋体" w:hAnsi="宋体" w:cs="宋体"/>
              </w:rPr>
              <w:t>④是否符合部门预算批复的用途；</w:t>
            </w:r>
          </w:p>
          <w:p>
            <w:pPr>
              <w:spacing w:line="240" w:lineRule="exact"/>
              <w:ind w:left="105" w:leftChars="50" w:right="105" w:rightChars="50"/>
              <w:rPr>
                <w:rFonts w:ascii="宋体" w:cs="宋体"/>
              </w:rPr>
            </w:pP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①是否按规定内容公开预决算信息；</w:t>
            </w:r>
          </w:p>
          <w:p>
            <w:pPr>
              <w:spacing w:line="240" w:lineRule="exact"/>
              <w:ind w:left="105" w:leftChars="50" w:right="105" w:rightChars="50"/>
              <w:rPr>
                <w:rFonts w:ascii="宋体" w:hAnsi="宋体" w:cs="宋体"/>
              </w:rPr>
            </w:pPr>
            <w:r>
              <w:rPr>
                <w:rFonts w:hint="eastAsia" w:ascii="宋体" w:hAnsi="宋体" w:cs="宋体"/>
              </w:rPr>
              <w:t>②是否按规定时限公开预决算信息。</w:t>
            </w:r>
          </w:p>
          <w:p>
            <w:pPr>
              <w:spacing w:line="240" w:lineRule="exact"/>
              <w:ind w:left="105" w:leftChars="50" w:right="105" w:rightChars="50"/>
              <w:rPr>
                <w:rFonts w:ascii="宋体" w:cs="宋体"/>
              </w:rPr>
            </w:pP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right="105" w:rightChars="50"/>
              <w:rPr>
                <w:rFonts w:ascii="宋体" w:cs="宋体"/>
              </w:rPr>
            </w:pPr>
          </w:p>
          <w:p>
            <w:pPr>
              <w:tabs>
                <w:tab w:val="left" w:pos="2604"/>
              </w:tabs>
              <w:spacing w:line="240" w:lineRule="exact"/>
              <w:ind w:right="105" w:rightChars="50"/>
              <w:rPr>
                <w:rFonts w:ascii="宋体" w:cs="宋体"/>
              </w:rPr>
            </w:pPr>
          </w:p>
          <w:p>
            <w:pPr>
              <w:tabs>
                <w:tab w:val="left" w:pos="2604"/>
              </w:tabs>
              <w:spacing w:line="240" w:lineRule="exact"/>
              <w:ind w:right="105" w:rightChars="50"/>
              <w:jc w:val="center"/>
              <w:rPr>
                <w:rFonts w:ascii="宋体" w:cs="宋体"/>
              </w:rPr>
            </w:pPr>
          </w:p>
          <w:p>
            <w:pPr>
              <w:tabs>
                <w:tab w:val="left" w:pos="2604"/>
              </w:tabs>
              <w:spacing w:line="240" w:lineRule="exact"/>
              <w:ind w:right="105" w:rightChars="50"/>
              <w:jc w:val="center"/>
              <w:rPr>
                <w:rFonts w:ascii="宋体" w:cs="宋体"/>
              </w:rPr>
            </w:pPr>
            <w:r>
              <w:rPr>
                <w:rFonts w:hint="eastAsia" w:ascii="宋体" w:cs="宋体"/>
              </w:rPr>
              <w:t>1</w:t>
            </w:r>
          </w:p>
          <w:p>
            <w:pPr>
              <w:tabs>
                <w:tab w:val="left" w:pos="2604"/>
              </w:tabs>
              <w:spacing w:line="240" w:lineRule="exact"/>
              <w:ind w:right="105" w:rightChars="50"/>
              <w:rPr>
                <w:rFonts w:ascii="宋体" w:cs="宋体"/>
              </w:rPr>
            </w:pP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①基础数据信息和会计信息资料是否真实；</w:t>
            </w:r>
          </w:p>
          <w:p>
            <w:pPr>
              <w:spacing w:line="240" w:lineRule="exact"/>
              <w:ind w:left="105" w:leftChars="50" w:right="105" w:rightChars="50"/>
              <w:rPr>
                <w:rFonts w:ascii="宋体" w:hAnsi="宋体" w:cs="宋体"/>
              </w:rPr>
            </w:pPr>
            <w:r>
              <w:rPr>
                <w:rFonts w:hint="eastAsia" w:ascii="宋体" w:hAnsi="宋体" w:cs="宋体"/>
              </w:rPr>
              <w:t>②基础数据信息和会计信息资料是否完整；</w:t>
            </w:r>
          </w:p>
          <w:p>
            <w:pPr>
              <w:spacing w:line="240" w:lineRule="exact"/>
              <w:ind w:left="105" w:leftChars="50" w:right="105" w:rightChars="50"/>
              <w:rPr>
                <w:rFonts w:ascii="宋体" w:cs="宋体"/>
              </w:rPr>
            </w:pP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资产</w:t>
            </w:r>
          </w:p>
          <w:p>
            <w:pPr>
              <w:spacing w:line="240" w:lineRule="exact"/>
              <w:jc w:val="center"/>
              <w:rPr>
                <w:rFonts w:ascii="宋体" w:cs="宋体"/>
              </w:rPr>
            </w:pPr>
            <w:r>
              <w:rPr>
                <w:rFonts w:hint="eastAsia" w:ascii="宋体" w:hAnsi="宋体" w:cs="宋体"/>
              </w:rPr>
              <w:t>管理（</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①是否已制定或具有资产管理制度；②相关资金管理制度是否合法、合规、完整；</w:t>
            </w:r>
          </w:p>
          <w:p>
            <w:pPr>
              <w:spacing w:line="240" w:lineRule="exact"/>
              <w:ind w:left="105" w:leftChars="50" w:right="105" w:rightChars="50"/>
              <w:rPr>
                <w:rFonts w:ascii="宋体" w:cs="宋体"/>
              </w:rPr>
            </w:pP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761"/>
                <w:tab w:val="left" w:pos="2604"/>
              </w:tabs>
              <w:spacing w:line="240" w:lineRule="exact"/>
              <w:ind w:left="105" w:leftChars="50" w:right="105" w:rightChars="50" w:firstLine="96" w:firstLineChars="46"/>
              <w:rPr>
                <w:rFonts w:ascii="宋体" w:cs="宋体"/>
              </w:rPr>
            </w:pPr>
          </w:p>
          <w:p>
            <w:pPr>
              <w:tabs>
                <w:tab w:val="left" w:pos="761"/>
                <w:tab w:val="left" w:pos="2604"/>
              </w:tabs>
              <w:spacing w:line="240" w:lineRule="exact"/>
              <w:ind w:left="105" w:leftChars="50" w:right="105" w:rightChars="50" w:firstLine="96" w:firstLineChars="46"/>
              <w:rPr>
                <w:rFonts w:ascii="宋体" w:cs="宋体"/>
              </w:rPr>
            </w:pPr>
          </w:p>
          <w:p>
            <w:pPr>
              <w:tabs>
                <w:tab w:val="left" w:pos="761"/>
                <w:tab w:val="left" w:pos="2604"/>
              </w:tabs>
              <w:spacing w:line="240" w:lineRule="exact"/>
              <w:ind w:left="105" w:leftChars="50" w:right="105" w:rightChars="50" w:firstLine="96" w:firstLineChars="46"/>
              <w:rPr>
                <w:rFonts w:ascii="宋体" w:cs="宋体"/>
              </w:rPr>
            </w:pPr>
          </w:p>
          <w:p>
            <w:pPr>
              <w:tabs>
                <w:tab w:val="left" w:pos="761"/>
                <w:tab w:val="left" w:pos="2604"/>
              </w:tabs>
              <w:spacing w:line="240" w:lineRule="exact"/>
              <w:ind w:right="105" w:rightChars="50"/>
              <w:jc w:val="center"/>
              <w:rPr>
                <w:rFonts w:ascii="宋体" w:cs="宋体"/>
              </w:rPr>
            </w:pPr>
            <w:r>
              <w:rPr>
                <w:rFonts w:hint="eastAsia" w:ascii="宋体" w:cs="宋体"/>
              </w:rPr>
              <w:t>1</w:t>
            </w:r>
          </w:p>
        </w:tc>
        <w:tc>
          <w:tcPr>
            <w:tcW w:w="1576"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①资产保存是否完整；</w:t>
            </w:r>
          </w:p>
          <w:p>
            <w:pPr>
              <w:spacing w:line="240" w:lineRule="exact"/>
              <w:ind w:left="105" w:leftChars="50" w:right="105" w:rightChars="50"/>
              <w:rPr>
                <w:rFonts w:ascii="宋体" w:hAnsi="宋体" w:cs="宋体"/>
              </w:rPr>
            </w:pPr>
            <w:r>
              <w:rPr>
                <w:rFonts w:hint="eastAsia" w:ascii="宋体" w:hAnsi="宋体" w:cs="宋体"/>
              </w:rPr>
              <w:t>②资产配置是否合理；</w:t>
            </w:r>
          </w:p>
          <w:p>
            <w:pPr>
              <w:spacing w:line="240" w:lineRule="exact"/>
              <w:ind w:left="105" w:leftChars="50" w:right="105" w:rightChars="50"/>
              <w:rPr>
                <w:rFonts w:ascii="宋体" w:hAnsi="宋体" w:cs="宋体"/>
              </w:rPr>
            </w:pPr>
            <w:r>
              <w:rPr>
                <w:rFonts w:hint="eastAsia" w:ascii="宋体" w:hAnsi="宋体" w:cs="宋体"/>
              </w:rPr>
              <w:t>③资产处置是否规范；</w:t>
            </w:r>
          </w:p>
          <w:p>
            <w:pPr>
              <w:spacing w:line="240" w:lineRule="exact"/>
              <w:ind w:left="105" w:leftChars="50" w:right="105" w:rightChars="50"/>
              <w:rPr>
                <w:rFonts w:ascii="宋体" w:hAnsi="宋体" w:cs="宋体"/>
              </w:rPr>
            </w:pPr>
            <w:r>
              <w:rPr>
                <w:rFonts w:hint="eastAsia" w:ascii="宋体" w:hAnsi="宋体" w:cs="宋体"/>
              </w:rPr>
              <w:t>④资产账务管理是否合规，是否帐实相符；</w:t>
            </w:r>
          </w:p>
          <w:p>
            <w:pPr>
              <w:spacing w:line="240" w:lineRule="exact"/>
              <w:ind w:left="105" w:leftChars="50" w:right="105" w:rightChars="50"/>
              <w:rPr>
                <w:rFonts w:ascii="宋体" w:cs="宋体"/>
              </w:rPr>
            </w:pP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产出（</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职责</w:t>
            </w:r>
          </w:p>
          <w:p>
            <w:pPr>
              <w:spacing w:line="240" w:lineRule="exact"/>
              <w:jc w:val="center"/>
              <w:rPr>
                <w:rFonts w:ascii="宋体" w:cs="宋体"/>
              </w:rPr>
            </w:pPr>
            <w:r>
              <w:rPr>
                <w:rFonts w:hint="eastAsia" w:ascii="宋体" w:hAnsi="宋体" w:cs="宋体"/>
              </w:rPr>
              <w:t>履行（</w:t>
            </w:r>
            <w:r>
              <w:rPr>
                <w:rFonts w:ascii="宋体" w:hAnsi="宋体" w:cs="宋体"/>
              </w:rPr>
              <w:t>30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hAnsi="宋体" w:cs="宋体"/>
              </w:rPr>
            </w:pPr>
            <w:r>
              <w:rPr>
                <w:rFonts w:hint="eastAsia" w:ascii="宋体" w:hAnsi="宋体" w:cs="宋体"/>
              </w:rPr>
              <w:t>完成率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7</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实际完成工作数：一定时期（年度或规划期）内部门实际完成工作任务的数量。</w:t>
            </w:r>
          </w:p>
          <w:p>
            <w:pPr>
              <w:spacing w:line="240" w:lineRule="exact"/>
              <w:ind w:left="105" w:leftChars="50" w:right="105" w:rightChars="50"/>
              <w:rPr>
                <w:rFonts w:ascii="宋体" w:cs="宋体"/>
              </w:rPr>
            </w:pP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pPr>
              <w:spacing w:line="240" w:lineRule="exact"/>
              <w:ind w:left="113"/>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hAnsi="宋体" w:cs="宋体"/>
              </w:rPr>
            </w:pPr>
            <w:r>
              <w:rPr>
                <w:rFonts w:hint="eastAsia" w:ascii="宋体" w:hAnsi="宋体" w:cs="宋体"/>
              </w:rPr>
              <w:t>及时率</w:t>
            </w:r>
          </w:p>
          <w:p>
            <w:pPr>
              <w:spacing w:line="240" w:lineRule="exact"/>
              <w:jc w:val="center"/>
              <w:rPr>
                <w:rFonts w:ascii="宋体" w:cs="宋体"/>
              </w:rPr>
            </w:pPr>
            <w:r>
              <w:rPr>
                <w:rFonts w:hint="eastAsia" w:ascii="宋体" w:hAnsi="宋体" w:cs="宋体"/>
              </w:rPr>
              <w:t>（</w:t>
            </w:r>
            <w:r>
              <w:rPr>
                <w:rFonts w:ascii="宋体" w:hAnsi="宋体" w:cs="宋体"/>
              </w:rPr>
              <w:t>4</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hAnsi="宋体" w:cs="宋体"/>
              </w:rPr>
            </w:pPr>
            <w:r>
              <w:rPr>
                <w:rFonts w:hint="eastAsia" w:ascii="宋体" w:hAnsi="宋体" w:cs="宋体"/>
              </w:rPr>
              <w:t>达标率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7</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10</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效果（</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履职</w:t>
            </w:r>
          </w:p>
          <w:p>
            <w:pPr>
              <w:spacing w:line="240" w:lineRule="exact"/>
              <w:jc w:val="center"/>
              <w:rPr>
                <w:rFonts w:ascii="宋体" w:cs="宋体"/>
              </w:rPr>
            </w:pPr>
            <w:r>
              <w:rPr>
                <w:rFonts w:hint="eastAsia" w:ascii="宋体" w:hAnsi="宋体" w:cs="宋体"/>
              </w:rPr>
              <w:t>效益（</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pPr>
              <w:spacing w:line="240" w:lineRule="exact"/>
              <w:rPr>
                <w:rFonts w:ascii="宋体" w:cs="宋体"/>
              </w:rPr>
            </w:pPr>
            <w:r>
              <w:rPr>
                <w:rFonts w:hint="eastAsia" w:ascii="宋体" w:hAnsi="宋体" w:cs="宋体"/>
              </w:rPr>
              <w:t>总分</w:t>
            </w:r>
          </w:p>
        </w:tc>
        <w:tc>
          <w:tcPr>
            <w:tcW w:w="375" w:type="pct"/>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97</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Pr>
        <w:pStyle w:val="8"/>
        <w:widowControl/>
        <w:shd w:val="clear" w:color="auto" w:fill="FFFFFF"/>
        <w:spacing w:beforeAutospacing="0" w:afterAutospacing="0" w:line="540" w:lineRule="atLeast"/>
        <w:rPr>
          <w:rFonts w:ascii="仿宋" w:hAnsi="仿宋" w:eastAsia="仿宋" w:cs="仿宋"/>
          <w:color w:val="333333"/>
          <w:spacing w:val="-4"/>
          <w:sz w:val="32"/>
          <w:szCs w:val="32"/>
          <w:shd w:val="clear" w:color="auto" w:fill="FFFFFF"/>
        </w:rPr>
      </w:pPr>
    </w:p>
    <w:p>
      <w:pPr>
        <w:pageBreakBefore w:val="0"/>
        <w:kinsoku/>
        <w:wordWrap/>
        <w:overflowPunct/>
        <w:topLinePunct w:val="0"/>
        <w:bidi w:val="0"/>
        <w:snapToGrid/>
        <w:spacing w:line="600" w:lineRule="exact"/>
        <w:ind w:firstLine="600" w:firstLineChars="200"/>
        <w:jc w:val="center"/>
        <w:textAlignment w:val="auto"/>
        <w:rPr>
          <w:rFonts w:hint="default" w:ascii="仿宋" w:hAnsi="仿宋" w:eastAsia="仿宋" w:cs="仿宋"/>
          <w:sz w:val="30"/>
          <w:szCs w:val="30"/>
          <w:lang w:val="en-US"/>
        </w:rPr>
      </w:pPr>
    </w:p>
    <w:sectPr>
      <w:pgSz w:w="11906" w:h="16838"/>
      <w:pgMar w:top="1134"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2E533732-C139-42AD-AD7A-160765D3D313}"/>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AAB8A1C5-2C09-4EE5-A9EE-018D611545C3}"/>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E0000" w:usb2="00000000" w:usb3="00000000" w:csb0="00040000" w:csb1="00000000"/>
    <w:embedRegular r:id="rId3" w:fontKey="{6295729F-7CA5-4D91-9844-1712E46F0C2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84E7F"/>
    <w:multiLevelType w:val="multilevel"/>
    <w:tmpl w:val="05E84E7F"/>
    <w:lvl w:ilvl="0" w:tentative="0">
      <w:start w:val="3"/>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5C9A9A78"/>
    <w:multiLevelType w:val="singleLevel"/>
    <w:tmpl w:val="5C9A9A7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A2MDNmMTRmNzRiMDA4NWY3OWNjZjBlYzQ2ZT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43BF5"/>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A3FDF"/>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270821"/>
    <w:rsid w:val="04553F6E"/>
    <w:rsid w:val="071916D6"/>
    <w:rsid w:val="0B697AD8"/>
    <w:rsid w:val="0B967106"/>
    <w:rsid w:val="0BF527AB"/>
    <w:rsid w:val="0C194A5A"/>
    <w:rsid w:val="0F277BF2"/>
    <w:rsid w:val="104C2951"/>
    <w:rsid w:val="11CB1D14"/>
    <w:rsid w:val="12107727"/>
    <w:rsid w:val="133D0DDE"/>
    <w:rsid w:val="153425B3"/>
    <w:rsid w:val="15C30CA1"/>
    <w:rsid w:val="189A525C"/>
    <w:rsid w:val="1A656DD1"/>
    <w:rsid w:val="1AD56DC2"/>
    <w:rsid w:val="1B6B20DE"/>
    <w:rsid w:val="1E155965"/>
    <w:rsid w:val="1F417171"/>
    <w:rsid w:val="2154235D"/>
    <w:rsid w:val="21630AD9"/>
    <w:rsid w:val="224408B1"/>
    <w:rsid w:val="26963F14"/>
    <w:rsid w:val="28921A39"/>
    <w:rsid w:val="292B2153"/>
    <w:rsid w:val="2ABC1A57"/>
    <w:rsid w:val="2FC8743B"/>
    <w:rsid w:val="31201A1E"/>
    <w:rsid w:val="312508F6"/>
    <w:rsid w:val="32224348"/>
    <w:rsid w:val="32A60720"/>
    <w:rsid w:val="35E0707D"/>
    <w:rsid w:val="35E509EC"/>
    <w:rsid w:val="36D13A8F"/>
    <w:rsid w:val="387B2ECD"/>
    <w:rsid w:val="39F727BE"/>
    <w:rsid w:val="3C243C4B"/>
    <w:rsid w:val="3E5C21B7"/>
    <w:rsid w:val="3E7D521D"/>
    <w:rsid w:val="3FFF47B3"/>
    <w:rsid w:val="42215AD8"/>
    <w:rsid w:val="451D596C"/>
    <w:rsid w:val="477901EF"/>
    <w:rsid w:val="4A08126B"/>
    <w:rsid w:val="4AA037A5"/>
    <w:rsid w:val="4D634893"/>
    <w:rsid w:val="4DB827C0"/>
    <w:rsid w:val="4DD16FFA"/>
    <w:rsid w:val="4ED24C6B"/>
    <w:rsid w:val="4F755E28"/>
    <w:rsid w:val="50886614"/>
    <w:rsid w:val="51107F72"/>
    <w:rsid w:val="53560584"/>
    <w:rsid w:val="540F68E3"/>
    <w:rsid w:val="55792CAD"/>
    <w:rsid w:val="59B83147"/>
    <w:rsid w:val="5A85738C"/>
    <w:rsid w:val="5C285C28"/>
    <w:rsid w:val="5CB77B83"/>
    <w:rsid w:val="5FA16C8F"/>
    <w:rsid w:val="5FC50C55"/>
    <w:rsid w:val="604817EF"/>
    <w:rsid w:val="635A4F4C"/>
    <w:rsid w:val="66A64423"/>
    <w:rsid w:val="68F361EA"/>
    <w:rsid w:val="69D4612E"/>
    <w:rsid w:val="6BBE3D22"/>
    <w:rsid w:val="6D7422CC"/>
    <w:rsid w:val="6F677E76"/>
    <w:rsid w:val="724B66A3"/>
    <w:rsid w:val="73BE3A62"/>
    <w:rsid w:val="742E22AA"/>
    <w:rsid w:val="77AC6F6D"/>
    <w:rsid w:val="78634363"/>
    <w:rsid w:val="7A8A5C1C"/>
    <w:rsid w:val="7BFF12C3"/>
    <w:rsid w:val="7CA97E50"/>
    <w:rsid w:val="7D513695"/>
    <w:rsid w:val="7FCD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opLinePunct/>
    </w:pPr>
    <w:rPr>
      <w:rFonts w:hint="eastAsia"/>
      <w:szCs w:val="24"/>
    </w:rPr>
  </w:style>
  <w:style w:type="paragraph" w:styleId="8">
    <w:name w:val="Normal (Web)"/>
    <w:basedOn w:val="1"/>
    <w:unhideWhenUsed/>
    <w:qFormat/>
    <w:uiPriority w:val="99"/>
    <w:pPr>
      <w:spacing w:before="100" w:beforeAutospacing="1" w:after="100" w:afterAutospacing="1"/>
      <w:jc w:val="left"/>
    </w:pPr>
    <w:rPr>
      <w:rFonts w:hint="default"/>
      <w:kern w:val="0"/>
      <w:sz w:val="24"/>
      <w:szCs w:val="24"/>
      <w:lang w:val="en-US" w:eastAsia="zh-CN"/>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13356</Words>
  <Characters>15611</Characters>
  <Lines>69</Lines>
  <Paragraphs>19</Paragraphs>
  <TotalTime>15</TotalTime>
  <ScaleCrop>false</ScaleCrop>
  <LinksUpToDate>false</LinksUpToDate>
  <CharactersWithSpaces>16132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丫丫</cp:lastModifiedBy>
  <cp:lastPrinted>2022-07-27T12:55:00Z</cp:lastPrinted>
  <dcterms:modified xsi:type="dcterms:W3CDTF">2024-09-06T06:39:37Z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C8A89598E8794EC8B3B3F09B2FA41915</vt:lpwstr>
  </property>
</Properties>
</file>