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6A82D">
      <w:pPr>
        <w:spacing w:line="560" w:lineRule="exact"/>
        <w:rPr>
          <w:rFonts w:hint="default" w:ascii="仿宋_GB2312" w:eastAsia="仿宋_GB2312"/>
          <w:sz w:val="32"/>
          <w:szCs w:val="32"/>
          <w:highlight w:val="white"/>
        </w:rPr>
      </w:pPr>
    </w:p>
    <w:p w14:paraId="341D090A">
      <w:pPr>
        <w:spacing w:line="560" w:lineRule="exact"/>
        <w:jc w:val="center"/>
        <w:rPr>
          <w:rFonts w:hint="default" w:ascii="方正小标宋简体" w:eastAsia="方正小标宋简体"/>
          <w:sz w:val="42"/>
          <w:szCs w:val="42"/>
          <w:highlight w:val="white"/>
        </w:rPr>
      </w:pPr>
      <w:bookmarkStart w:id="0" w:name="_GoBack"/>
      <w:r>
        <w:rPr>
          <w:rFonts w:ascii="方正小标宋简体" w:eastAsia="方正小标宋简体"/>
          <w:sz w:val="42"/>
          <w:szCs w:val="42"/>
          <w:highlight w:val="white"/>
        </w:rPr>
        <w:t>2020年度益阳市衡龙桥镇人民政府部门决算</w:t>
      </w:r>
    </w:p>
    <w:bookmarkEnd w:id="0"/>
    <w:p w14:paraId="6599B2D1">
      <w:pPr>
        <w:spacing w:line="560" w:lineRule="exact"/>
        <w:rPr>
          <w:rFonts w:hint="default" w:ascii="仿宋_GB2312" w:eastAsia="仿宋_GB2312"/>
          <w:sz w:val="32"/>
          <w:szCs w:val="32"/>
          <w:highlight w:val="white"/>
        </w:rPr>
      </w:pPr>
    </w:p>
    <w:p w14:paraId="6ED94627">
      <w:pPr>
        <w:spacing w:line="560" w:lineRule="exact"/>
        <w:jc w:val="center"/>
        <w:rPr>
          <w:rFonts w:hint="default" w:ascii="黑体" w:hAnsi="黑体" w:eastAsia="黑体"/>
          <w:sz w:val="32"/>
          <w:szCs w:val="32"/>
          <w:highlight w:val="white"/>
        </w:rPr>
      </w:pPr>
      <w:r>
        <w:rPr>
          <w:rFonts w:ascii="黑体" w:hAnsi="黑体" w:eastAsia="黑体"/>
          <w:sz w:val="32"/>
          <w:szCs w:val="32"/>
          <w:highlight w:val="white"/>
        </w:rPr>
        <w:t>目  录</w:t>
      </w:r>
    </w:p>
    <w:p w14:paraId="0C930D0C">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第一部分  益阳市衡龙桥镇人民政府概况</w:t>
      </w:r>
    </w:p>
    <w:p w14:paraId="7D83FDC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一、部门职责</w:t>
      </w:r>
    </w:p>
    <w:p w14:paraId="7B45365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二、机构设置</w:t>
      </w:r>
    </w:p>
    <w:p w14:paraId="6FCFE700">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第二部分  益阳市衡龙桥镇人民政府2020年度部门决算表</w:t>
      </w:r>
    </w:p>
    <w:p w14:paraId="6B529DA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一、收入支出决算总表</w:t>
      </w:r>
    </w:p>
    <w:p w14:paraId="1EAF3B9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二、收入决算表</w:t>
      </w:r>
    </w:p>
    <w:p w14:paraId="63A617B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三、支出决算表</w:t>
      </w:r>
    </w:p>
    <w:p w14:paraId="7B3959F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四、财政拨款收入支出决算总表</w:t>
      </w:r>
    </w:p>
    <w:p w14:paraId="3A296EB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五、一般公共预算财政拨款支出决算表</w:t>
      </w:r>
    </w:p>
    <w:p w14:paraId="6932CAA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六、一般公共预算财政拨款基本支出决算表</w:t>
      </w:r>
    </w:p>
    <w:p w14:paraId="7BDFE29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七、一般公共预算财政拨款“三公”经费支出决算表</w:t>
      </w:r>
    </w:p>
    <w:p w14:paraId="323C6B2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八、政府性基金预算财政拨款收入支出决算表</w:t>
      </w:r>
    </w:p>
    <w:p w14:paraId="4B8C475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九、国有资本经营预算财政拨款支出决算表</w:t>
      </w:r>
    </w:p>
    <w:p w14:paraId="77EC71C2">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第三部分 益阳市衡龙桥镇人民政府2020年度部门决算情况说明</w:t>
      </w:r>
    </w:p>
    <w:p w14:paraId="530B6FA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一、收入支出决算总体情况说明</w:t>
      </w:r>
    </w:p>
    <w:p w14:paraId="1D3DF5B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二、收入决算情况说明</w:t>
      </w:r>
    </w:p>
    <w:p w14:paraId="2655938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三、支出决算情况说明</w:t>
      </w:r>
    </w:p>
    <w:p w14:paraId="0F135EC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四、财政拨款收入支出决算总体情况说明</w:t>
      </w:r>
    </w:p>
    <w:p w14:paraId="3942070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五、一般公共预算财政拨款支出决算情况说明</w:t>
      </w:r>
    </w:p>
    <w:p w14:paraId="630A8D8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六、一般公共预算财政拨款基本支出决算情况说明</w:t>
      </w:r>
    </w:p>
    <w:p w14:paraId="0B7C326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七、一般公共预算财政拨款三公经费支出决算情况说明</w:t>
      </w:r>
    </w:p>
    <w:p w14:paraId="165000A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八、政府性基金预算收入支出决算情况</w:t>
      </w:r>
    </w:p>
    <w:p w14:paraId="129DE9C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九、国有资本经营预算财政拨款支出决算情况</w:t>
      </w:r>
    </w:p>
    <w:p w14:paraId="681FAD3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十、关于机关运行经费支出说明</w:t>
      </w:r>
    </w:p>
    <w:p w14:paraId="2FE9BAA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十一、一般性支出情况</w:t>
      </w:r>
    </w:p>
    <w:p w14:paraId="08E6D11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十二、关于政府采购支出说明</w:t>
      </w:r>
    </w:p>
    <w:p w14:paraId="196AEE6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十三、关于国有资产占用情况说明</w:t>
      </w:r>
    </w:p>
    <w:p w14:paraId="4E0E550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十四、关于2020年度预算绩效情况的说明</w:t>
      </w:r>
    </w:p>
    <w:p w14:paraId="79D5C0DE">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第四部分  名词解释</w:t>
      </w:r>
    </w:p>
    <w:p w14:paraId="5F8D32D2">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第五部分  附件</w:t>
      </w:r>
    </w:p>
    <w:p w14:paraId="32C01B20">
      <w:pPr>
        <w:spacing w:line="560" w:lineRule="exact"/>
        <w:ind w:firstLine="640" w:firstLineChars="200"/>
        <w:rPr>
          <w:rFonts w:hint="default" w:ascii="仿宋_GB2312" w:eastAsia="仿宋_GB2312"/>
          <w:sz w:val="32"/>
          <w:szCs w:val="32"/>
          <w:highlight w:val="white"/>
        </w:rPr>
      </w:pPr>
    </w:p>
    <w:p w14:paraId="79A80184">
      <w:pPr>
        <w:widowControl/>
        <w:jc w:val="left"/>
        <w:rPr>
          <w:rFonts w:hint="default" w:ascii="黑体" w:hAnsi="黑体" w:eastAsia="黑体"/>
          <w:sz w:val="32"/>
          <w:szCs w:val="32"/>
          <w:highlight w:val="white"/>
        </w:rPr>
      </w:pPr>
      <w:r>
        <w:rPr>
          <w:rFonts w:hint="default" w:ascii="黑体" w:hAnsi="黑体" w:eastAsia="黑体"/>
          <w:sz w:val="32"/>
          <w:szCs w:val="32"/>
          <w:highlight w:val="white"/>
        </w:rPr>
        <w:br w:type="page"/>
      </w:r>
    </w:p>
    <w:p w14:paraId="0B9E5C7C">
      <w:pPr>
        <w:spacing w:line="560" w:lineRule="exact"/>
        <w:rPr>
          <w:rFonts w:hint="default" w:ascii="黑体" w:hAnsi="黑体" w:eastAsia="黑体"/>
          <w:sz w:val="32"/>
          <w:szCs w:val="32"/>
          <w:highlight w:val="white"/>
        </w:rPr>
      </w:pPr>
      <w:r>
        <w:rPr>
          <w:rFonts w:ascii="黑体" w:hAnsi="黑体" w:eastAsia="黑体"/>
          <w:sz w:val="32"/>
          <w:szCs w:val="32"/>
          <w:highlight w:val="white"/>
        </w:rPr>
        <w:t>第一部分：</w:t>
      </w:r>
    </w:p>
    <w:p w14:paraId="33D83D86">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益阳市衡龙桥镇人民政府概况</w:t>
      </w:r>
    </w:p>
    <w:p w14:paraId="4C56BEE2">
      <w:pPr>
        <w:spacing w:line="560" w:lineRule="exact"/>
        <w:ind w:firstLine="640" w:firstLineChars="200"/>
        <w:rPr>
          <w:rFonts w:hint="default" w:ascii="仿宋_GB2312" w:eastAsia="仿宋_GB2312"/>
          <w:sz w:val="32"/>
          <w:szCs w:val="32"/>
          <w:highlight w:val="white"/>
        </w:rPr>
      </w:pPr>
    </w:p>
    <w:p w14:paraId="040115E6">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一、部门职责</w:t>
      </w:r>
    </w:p>
    <w:p w14:paraId="6C657674">
      <w:pPr>
        <w:spacing w:line="560" w:lineRule="exact"/>
        <w:ind w:firstLine="640" w:firstLineChars="200"/>
        <w:rPr>
          <w:rFonts w:hint="default" w:ascii="仿宋_GB2312" w:eastAsia="仿宋_GB2312"/>
          <w:sz w:val="32"/>
          <w:szCs w:val="32"/>
        </w:rPr>
      </w:pPr>
      <w:r>
        <w:rPr>
          <w:rFonts w:ascii="仿宋_GB2312" w:eastAsia="仿宋_GB2312"/>
          <w:sz w:val="32"/>
          <w:szCs w:val="32"/>
        </w:rPr>
        <w:t>益阳市衡龙桥镇人民政府系正科级行政机关。单位办公地址为衡龙桥镇衡龙桥村。根据赫山区机构编制委会办公室《关于印发&lt;赫山区乡镇机关职能配置、内设机构和人员编制〉规定的通知》文件精神，其职能职责为：</w:t>
      </w:r>
    </w:p>
    <w:p w14:paraId="1BE0287D">
      <w:pPr>
        <w:spacing w:line="560" w:lineRule="exact"/>
        <w:ind w:firstLine="640" w:firstLineChars="200"/>
        <w:rPr>
          <w:rFonts w:hint="default" w:ascii="仿宋_GB2312" w:eastAsia="仿宋_GB2312"/>
          <w:sz w:val="32"/>
          <w:szCs w:val="32"/>
        </w:rPr>
      </w:pPr>
      <w:r>
        <w:rPr>
          <w:rFonts w:ascii="仿宋_GB2312" w:eastAsia="仿宋_GB2312"/>
          <w:sz w:val="32"/>
          <w:szCs w:val="32"/>
        </w:rPr>
        <w:t>（一）执行本级人民代表大会决议和上级国家行政机关的决定和命令，发布决定和命令;落实国家政策，严格依法行政；处理乡镇党委、人大、政府日常事务和政协委员联络事务。</w:t>
      </w:r>
    </w:p>
    <w:p w14:paraId="3B09DA28">
      <w:pPr>
        <w:spacing w:line="560" w:lineRule="exact"/>
        <w:ind w:firstLine="640" w:firstLineChars="200"/>
        <w:rPr>
          <w:rFonts w:hint="default" w:ascii="仿宋_GB2312" w:eastAsia="仿宋_GB2312"/>
          <w:sz w:val="32"/>
          <w:szCs w:val="32"/>
        </w:rPr>
      </w:pPr>
      <w:r>
        <w:rPr>
          <w:rFonts w:ascii="仿宋_GB2312" w:eastAsia="仿宋_GB2312"/>
          <w:sz w:val="32"/>
          <w:szCs w:val="32"/>
        </w:rPr>
        <w:t>（二）负责基层党组织建设和党员队伍建设工作；负责机关纪检监察工作；负责干部人事、宣传、统战、武装、机构编制工作；负责离退休干部管理服务工作；负责工会、共青团、妇联等群团组织的日常工作。</w:t>
      </w:r>
    </w:p>
    <w:p w14:paraId="3B79DBE1">
      <w:pPr>
        <w:spacing w:line="560" w:lineRule="exact"/>
        <w:ind w:firstLine="640" w:firstLineChars="200"/>
        <w:rPr>
          <w:rFonts w:hint="default" w:ascii="仿宋_GB2312" w:eastAsia="仿宋_GB2312"/>
          <w:sz w:val="32"/>
          <w:szCs w:val="32"/>
        </w:rPr>
      </w:pPr>
      <w:r>
        <w:rPr>
          <w:rFonts w:ascii="仿宋_GB2312" w:eastAsia="仿宋_GB2312"/>
          <w:sz w:val="32"/>
          <w:szCs w:val="32"/>
        </w:rPr>
        <w:t>（三）负责编制经济社会发展规划和年度计划，负责协调推进工业经济、乡村振兴、农业产业发展、农村集体经济与农民专业合作社发展、乡村人居环境整治等工作；负责招商引资工作；负责交通公路、农业、水利、移民、扶贫等重点项目建设管理工作；负责经济社会调查统计工作；负责脱贫攻坚、农业农村、农业机械、畜牧兽医水产渔政、水利、移民开发、农民负担监督等方面的综合行政管理工作。</w:t>
      </w:r>
    </w:p>
    <w:p w14:paraId="53AAF2DA">
      <w:pPr>
        <w:spacing w:line="560" w:lineRule="exact"/>
        <w:ind w:firstLine="640" w:firstLineChars="200"/>
        <w:rPr>
          <w:rFonts w:hint="default" w:ascii="仿宋_GB2312" w:eastAsia="仿宋_GB2312"/>
          <w:sz w:val="32"/>
          <w:szCs w:val="32"/>
        </w:rPr>
      </w:pPr>
      <w:r>
        <w:rPr>
          <w:rFonts w:ascii="仿宋_GB2312" w:eastAsia="仿宋_GB2312"/>
          <w:sz w:val="32"/>
          <w:szCs w:val="32"/>
        </w:rPr>
        <w:t>（四）负责科技、教育、人力资源与社会保障、民政、社会救助、社区建设、医疗保障、卫生健康与计划生育、文化旅游广电体育、民族宗教、侨务、退役军人事务等方面的综合行政管理工作。</w:t>
      </w:r>
    </w:p>
    <w:p w14:paraId="4B036121">
      <w:pPr>
        <w:spacing w:line="560" w:lineRule="exact"/>
        <w:ind w:firstLine="640" w:firstLineChars="200"/>
        <w:rPr>
          <w:rFonts w:hint="default" w:ascii="仿宋_GB2312" w:eastAsia="仿宋_GB2312"/>
          <w:sz w:val="32"/>
          <w:szCs w:val="32"/>
        </w:rPr>
      </w:pPr>
      <w:r>
        <w:rPr>
          <w:rFonts w:ascii="仿宋_GB2312" w:eastAsia="仿宋_GB2312"/>
          <w:sz w:val="32"/>
          <w:szCs w:val="32"/>
        </w:rPr>
        <w:t>（五）负责自然资源（含林政资源）、生态环境保护、村镇规划、村镇建设、城市（村镇）管理等方面的综合行政管理工作，负责生态环境、地质灾害隐患排查，突发环境污染事件的应急管理与处置。</w:t>
      </w:r>
    </w:p>
    <w:p w14:paraId="1574AD43">
      <w:pPr>
        <w:spacing w:line="560" w:lineRule="exact"/>
        <w:ind w:firstLine="640" w:firstLineChars="200"/>
        <w:rPr>
          <w:rFonts w:hint="default" w:ascii="仿宋_GB2312" w:eastAsia="仿宋_GB2312"/>
          <w:sz w:val="32"/>
          <w:szCs w:val="32"/>
        </w:rPr>
      </w:pPr>
      <w:r>
        <w:rPr>
          <w:rFonts w:ascii="仿宋_GB2312" w:eastAsia="仿宋_GB2312"/>
          <w:sz w:val="32"/>
          <w:szCs w:val="32"/>
        </w:rPr>
        <w:t>（六）负责社会治安综合治理、维护稳定、信访、防范邪教、平安建设等工作；负责综治中心平台建设管理；协调公安派出所、公安交警中队、司法所、基层法庭工作。负责突发公共事件（含防汛抗旱、地质灾害、森林防火、消防安全、抗震救灾、防灾减灾、社会安全等）应急管理与处置、安全生产监督管理工作。</w:t>
      </w:r>
    </w:p>
    <w:p w14:paraId="442BD05D">
      <w:pPr>
        <w:spacing w:line="560" w:lineRule="exact"/>
        <w:ind w:firstLine="640" w:firstLineChars="200"/>
        <w:rPr>
          <w:rFonts w:hint="default" w:ascii="仿宋_GB2312" w:eastAsia="仿宋_GB2312"/>
          <w:sz w:val="32"/>
          <w:szCs w:val="32"/>
        </w:rPr>
      </w:pPr>
      <w:r>
        <w:rPr>
          <w:rFonts w:ascii="仿宋_GB2312" w:eastAsia="仿宋_GB2312"/>
          <w:sz w:val="32"/>
          <w:szCs w:val="32"/>
        </w:rPr>
        <w:t>（七）负责财政预算编制、居民补贴资金发放、财政性资金监督管理、国有资产管理、债权债务管理；组织协调收入征收；负责机关和直属单位财务管理和政府采购等工作；负责村级财务监督，推行村级账务政府购买服务。</w:t>
      </w:r>
    </w:p>
    <w:p w14:paraId="1CA92761">
      <w:pPr>
        <w:spacing w:line="560" w:lineRule="exact"/>
        <w:ind w:firstLine="640" w:firstLineChars="200"/>
        <w:rPr>
          <w:rFonts w:hint="default" w:ascii="仿宋_GB2312" w:eastAsia="仿宋_GB2312"/>
          <w:sz w:val="32"/>
          <w:szCs w:val="32"/>
        </w:rPr>
      </w:pPr>
      <w:r>
        <w:rPr>
          <w:rFonts w:ascii="仿宋_GB2312" w:eastAsia="仿宋_GB2312"/>
          <w:sz w:val="32"/>
          <w:szCs w:val="32"/>
        </w:rPr>
        <w:t>（八）办理上级人民政府交办的其他事项。</w:t>
      </w:r>
    </w:p>
    <w:p w14:paraId="5B72E069">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二、机构设置</w:t>
      </w:r>
    </w:p>
    <w:p w14:paraId="7B973CD3">
      <w:pPr>
        <w:spacing w:line="560" w:lineRule="exact"/>
        <w:ind w:firstLine="640" w:firstLineChars="200"/>
        <w:rPr>
          <w:rFonts w:hint="default" w:ascii="仿宋_GB2312" w:eastAsia="仿宋_GB2312"/>
          <w:sz w:val="32"/>
          <w:szCs w:val="32"/>
        </w:rPr>
      </w:pPr>
      <w:r>
        <w:rPr>
          <w:rFonts w:ascii="仿宋_GB2312" w:eastAsia="仿宋_GB2312"/>
          <w:sz w:val="32"/>
          <w:szCs w:val="32"/>
        </w:rPr>
        <w:t>（一）内设机构设置</w:t>
      </w:r>
    </w:p>
    <w:p w14:paraId="4799A0DF">
      <w:pPr>
        <w:spacing w:line="560" w:lineRule="exact"/>
        <w:ind w:firstLine="640" w:firstLineChars="200"/>
        <w:rPr>
          <w:rFonts w:hint="default" w:ascii="仿宋_GB2312" w:eastAsia="仿宋_GB2312"/>
          <w:sz w:val="32"/>
          <w:szCs w:val="32"/>
        </w:rPr>
      </w:pPr>
      <w:r>
        <w:rPr>
          <w:rFonts w:ascii="仿宋_GB2312" w:eastAsia="仿宋_GB2312"/>
          <w:sz w:val="32"/>
          <w:szCs w:val="32"/>
        </w:rPr>
        <w:t>本单位内设机构12个，分别为：党政办公室、党建办公室、经济发展办公室、社会事务办公室、自然资源和生态环境办公室、社会治安和应急管理办公室、财政财务管理办公室、社会事务综合服务中心、农业综合服务中心、党群和政务服务中心、退役军人服务站、综合行政执法大队。</w:t>
      </w:r>
    </w:p>
    <w:p w14:paraId="353DE02B">
      <w:pPr>
        <w:spacing w:line="560" w:lineRule="exact"/>
        <w:ind w:firstLine="640" w:firstLineChars="200"/>
        <w:rPr>
          <w:rFonts w:hint="default" w:ascii="仿宋_GB2312" w:eastAsia="仿宋_GB2312"/>
          <w:sz w:val="32"/>
          <w:szCs w:val="32"/>
        </w:rPr>
      </w:pPr>
      <w:r>
        <w:rPr>
          <w:rFonts w:ascii="仿宋_GB2312" w:eastAsia="仿宋_GB2312"/>
          <w:sz w:val="32"/>
          <w:szCs w:val="32"/>
        </w:rPr>
        <w:t>（二）决算单位构成</w:t>
      </w:r>
    </w:p>
    <w:p w14:paraId="1334C26E">
      <w:pPr>
        <w:spacing w:line="560" w:lineRule="exact"/>
        <w:ind w:firstLine="640" w:firstLineChars="200"/>
        <w:rPr>
          <w:rFonts w:hint="default" w:ascii="仿宋_GB2312" w:eastAsia="仿宋_GB2312"/>
          <w:sz w:val="32"/>
          <w:szCs w:val="32"/>
        </w:rPr>
      </w:pPr>
      <w:r>
        <w:rPr>
          <w:rFonts w:ascii="仿宋_GB2312" w:eastAsia="仿宋_GB2312"/>
          <w:sz w:val="32"/>
          <w:szCs w:val="32"/>
        </w:rPr>
        <w:t>益阳市赫山区衡龙桥镇人民政府只有本级，有其他二级预算单位，因此，纳入2021年部门预算编制范围的只有益阳市赫山区衡龙桥镇人民政府部门本级。</w:t>
      </w:r>
    </w:p>
    <w:p w14:paraId="70D1A197">
      <w:pPr>
        <w:spacing w:line="560" w:lineRule="exact"/>
        <w:ind w:firstLine="640" w:firstLineChars="200"/>
        <w:rPr>
          <w:rFonts w:hint="default" w:ascii="仿宋_GB2312" w:eastAsia="仿宋_GB2312"/>
          <w:sz w:val="32"/>
          <w:szCs w:val="32"/>
        </w:rPr>
      </w:pPr>
    </w:p>
    <w:p w14:paraId="373CA535">
      <w:pPr>
        <w:spacing w:line="560" w:lineRule="exact"/>
        <w:rPr>
          <w:rFonts w:hint="default" w:ascii="黑体" w:hAnsi="黑体" w:eastAsia="黑体"/>
          <w:sz w:val="32"/>
          <w:szCs w:val="32"/>
          <w:highlight w:val="white"/>
        </w:rPr>
      </w:pPr>
      <w:r>
        <w:rPr>
          <w:rFonts w:ascii="黑体" w:hAnsi="黑体" w:eastAsia="黑体"/>
          <w:sz w:val="32"/>
          <w:szCs w:val="32"/>
          <w:highlight w:val="white"/>
        </w:rPr>
        <w:t>第二部分：</w:t>
      </w:r>
    </w:p>
    <w:p w14:paraId="01BD2012">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益阳市衡龙桥镇人民政府</w:t>
      </w:r>
    </w:p>
    <w:p w14:paraId="3E6B51B7">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2020年度部门决算表（见附表）</w:t>
      </w:r>
    </w:p>
    <w:p w14:paraId="36977EEA">
      <w:pPr>
        <w:spacing w:line="560" w:lineRule="exact"/>
        <w:ind w:firstLine="640" w:firstLineChars="200"/>
        <w:rPr>
          <w:rFonts w:hint="default" w:ascii="仿宋_GB2312" w:eastAsia="仿宋_GB2312"/>
          <w:sz w:val="32"/>
          <w:szCs w:val="32"/>
          <w:highlight w:val="white"/>
        </w:rPr>
      </w:pPr>
    </w:p>
    <w:p w14:paraId="37A4EEC9">
      <w:pPr>
        <w:spacing w:line="560" w:lineRule="exact"/>
        <w:rPr>
          <w:rFonts w:hint="default" w:ascii="黑体" w:hAnsi="黑体" w:eastAsia="黑体"/>
          <w:sz w:val="32"/>
          <w:szCs w:val="32"/>
          <w:highlight w:val="white"/>
        </w:rPr>
      </w:pPr>
      <w:r>
        <w:rPr>
          <w:rFonts w:ascii="黑体" w:hAnsi="黑体" w:eastAsia="黑体"/>
          <w:sz w:val="32"/>
          <w:szCs w:val="32"/>
          <w:highlight w:val="white"/>
        </w:rPr>
        <w:t>第三部分：</w:t>
      </w:r>
    </w:p>
    <w:p w14:paraId="4FDF4CB3">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益阳市衡龙桥镇人民政府</w:t>
      </w:r>
    </w:p>
    <w:p w14:paraId="4D5DB46D">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2020年度部门决算情况说明</w:t>
      </w:r>
    </w:p>
    <w:p w14:paraId="68A8C7E7">
      <w:pPr>
        <w:spacing w:line="560" w:lineRule="exact"/>
        <w:ind w:firstLine="640" w:firstLineChars="200"/>
        <w:rPr>
          <w:rFonts w:hint="default" w:ascii="黑体" w:hAnsi="黑体" w:eastAsia="黑体"/>
          <w:sz w:val="32"/>
          <w:szCs w:val="32"/>
          <w:highlight w:val="white"/>
        </w:rPr>
      </w:pPr>
    </w:p>
    <w:p w14:paraId="09C9E72D">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一、收入支出决算总体情况说明</w:t>
      </w:r>
    </w:p>
    <w:p w14:paraId="4C0551F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2020年度收入2803.82万元，年初结转和结余438.13万元，总计3241.95万元，与2019年收入（3016.56万元）相比，减少212.74万元，下降7.05%。主要原因是：人员减少，经费减少。</w:t>
      </w:r>
    </w:p>
    <w:p w14:paraId="0FC18A0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2020年度支出2912.81万元，年末结转和结余329.14万元，总计3241.95万元，与2019年支出（3195.78万元）相比，减少282.97万元，下降8.85%。主要原因是：人员经费拨款及支出减少。</w:t>
      </w:r>
    </w:p>
    <w:p w14:paraId="22EADED9">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二、收入决算情况说明</w:t>
      </w:r>
    </w:p>
    <w:p w14:paraId="0F8F7A0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本年收入合计2803.82万元，其中：一般公共预算财政拨款收入2592.82万元，占92.47%；政府性基金预算财政拨款收入211万元，占7.53%。</w:t>
      </w:r>
    </w:p>
    <w:p w14:paraId="3639D4C4">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三、支出决算情况说明</w:t>
      </w:r>
    </w:p>
    <w:p w14:paraId="7392585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本年支出合计2912.81万元，其中：基本支出1651.90万元，占56.71%；项目支出1260.91万元，占43.29%。</w:t>
      </w:r>
    </w:p>
    <w:p w14:paraId="223916C1">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四、财政拨款收入支出决算总体情况说明</w:t>
      </w:r>
    </w:p>
    <w:p w14:paraId="4DB2BFD2">
      <w:pPr>
        <w:spacing w:line="560" w:lineRule="exact"/>
        <w:ind w:firstLine="640" w:firstLineChars="200"/>
        <w:rPr>
          <w:rFonts w:hint="default" w:ascii="仿宋_GB2312" w:eastAsia="仿宋_GB2312"/>
          <w:sz w:val="32"/>
          <w:szCs w:val="32"/>
        </w:rPr>
      </w:pPr>
      <w:r>
        <w:rPr>
          <w:rFonts w:ascii="仿宋_GB2312" w:eastAsia="仿宋_GB2312"/>
          <w:sz w:val="32"/>
          <w:szCs w:val="32"/>
        </w:rPr>
        <w:t>2020年度财政拨款收入2803.82万元，年初财政拨款结转和结余438.12万元，总计3241.95万元，与2019年度财政拨款收入（3016.56万元）相比，减少212.74万元，下降7.05%。主要原因是：</w:t>
      </w:r>
      <w:r>
        <w:rPr>
          <w:rFonts w:ascii="仿宋_GB2312" w:eastAsia="仿宋_GB2312"/>
          <w:sz w:val="32"/>
          <w:szCs w:val="32"/>
          <w:highlight w:val="white"/>
        </w:rPr>
        <w:t>人员减少，经费减少。</w:t>
      </w:r>
    </w:p>
    <w:p w14:paraId="6A34DD12">
      <w:pPr>
        <w:spacing w:line="560" w:lineRule="exact"/>
        <w:ind w:firstLine="640" w:firstLineChars="200"/>
        <w:rPr>
          <w:rFonts w:hint="default" w:ascii="仿宋_GB2312" w:eastAsia="仿宋_GB2312"/>
          <w:sz w:val="32"/>
          <w:szCs w:val="32"/>
        </w:rPr>
      </w:pPr>
      <w:r>
        <w:rPr>
          <w:rFonts w:ascii="仿宋_GB2312" w:eastAsia="仿宋_GB2312"/>
          <w:sz w:val="32"/>
          <w:szCs w:val="32"/>
        </w:rPr>
        <w:t>2020年度财政拨款支出2912.81万元，年末财政拨款结转和结余329.14万元，总计3241.95万元，与2019年度财政拨款支出（3195.78万元）相比，减少282.97万元，下降8.85%。主要原因是：经费节省。</w:t>
      </w:r>
    </w:p>
    <w:p w14:paraId="45FC3619">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五、一般公共预算财政拨款支出决算情况说明</w:t>
      </w:r>
    </w:p>
    <w:p w14:paraId="63BA764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（一）一般公共预算财政拨款支出决算总体情况</w:t>
      </w:r>
    </w:p>
    <w:p w14:paraId="65C7ABE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2020年度一般公共预算财政拨款支出2701.81万元，占本年支出合计的92.76%。与2019年度一般公共预算财政拨款支出（3119.78万元）相比，减少417.97万元，下降13.40%,主要原因是：经费节省。</w:t>
      </w:r>
    </w:p>
    <w:p w14:paraId="2368194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（二）一般公共预算财政拨款支出决算结构情况</w:t>
      </w:r>
    </w:p>
    <w:p w14:paraId="6A1571A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一般公共预算财政拨款支出2701.81万元，主要用于以下方面：一般公共服务（类）支出805.44万元，占29.81%；科学技术（类）支出18.16万元，占0.67%；文化旅游体育与传媒（类）支出212.47万元，占7.86%；社会保障和就业（类）支出97.95万元，占3.63%；卫生健康（类）支出148.38万元，占5.49%；节能环保支出42.40万元，占1.57%；农林水（类）支出1321.78万元，占48.92%；住房保障（类）支出50.24万元，占1.86%；灾害防治及应急管理（类）支出5万元，占0.19%。</w:t>
      </w:r>
    </w:p>
    <w:p w14:paraId="325CE68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（三）一般公共预算财政拨款支出决算具体情况</w:t>
      </w:r>
    </w:p>
    <w:p w14:paraId="11E532F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2020年度一般公共预算财政拨款支出年初预算为1619.21万元，支出决算为2701.81万元，完成年初预算的166.86%。其中：</w:t>
      </w:r>
    </w:p>
    <w:p w14:paraId="120A28FF">
      <w:pPr>
        <w:spacing w:line="560" w:lineRule="exact"/>
        <w:ind w:firstLine="640" w:firstLineChars="200"/>
        <w:rPr>
          <w:rFonts w:hint="default" w:ascii="仿宋_GB2312" w:eastAsia="仿宋_GB2312"/>
          <w:sz w:val="32"/>
          <w:szCs w:val="32"/>
          <w:highlight w:val="white"/>
        </w:rPr>
      </w:pPr>
      <w:r>
        <w:rPr>
          <w:rFonts w:hint="default" w:ascii="仿宋_GB2312" w:eastAsia="仿宋_GB2312"/>
          <w:sz w:val="32"/>
          <w:szCs w:val="32"/>
          <w:highlight w:val="white"/>
        </w:rPr>
        <w:t>1.</w:t>
      </w:r>
      <w:r>
        <w:rPr>
          <w:rFonts w:ascii="仿宋_GB2312" w:eastAsia="仿宋_GB2312"/>
          <w:sz w:val="32"/>
          <w:szCs w:val="32"/>
          <w:highlight w:val="white"/>
        </w:rPr>
        <w:t>一般公共服务支出（类）政府办公厅（室）及相关机构事务（款）行政运行（项）。</w:t>
      </w:r>
    </w:p>
    <w:p w14:paraId="393461A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年初预算为1111.82万元，支出决算为718.13万元，完成年初预算的64.59%，决算数小于年初预算数的主要原因是：严控开支，减少了不必要支出。</w:t>
      </w:r>
    </w:p>
    <w:p w14:paraId="20903282">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2.一般公共服务（类）政府办公厅（室）及相关机构事务（款）其他政府办公厅（室）及相关机构事物支出（项）。</w:t>
      </w:r>
    </w:p>
    <w:p w14:paraId="2848318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年初预算为0万元，支出决算为63.31万元。决算数大于年初预算数的主要原因是：追加预算。</w:t>
      </w:r>
    </w:p>
    <w:p w14:paraId="15E303C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3.一般公共服务支出（类）财政事务（款）一般行政管理事务（项）。</w:t>
      </w:r>
    </w:p>
    <w:p w14:paraId="542A08F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年初预算为0万元，支出决算为10万元，决算数大于年初预算数的主要原因是：追加预算。</w:t>
      </w:r>
    </w:p>
    <w:p w14:paraId="5D0DE49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4.一般公共服务支出（类）财政事务（款）财政国库业务（项）。</w:t>
      </w:r>
    </w:p>
    <w:p w14:paraId="237ABF6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年初预算为0万元，支出决算为4万元，决算数大于年初预算数的主要原因是：追加预算。</w:t>
      </w:r>
    </w:p>
    <w:p w14:paraId="61D328B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5.一般公共服务支出（类）财政事务（款）其他财政事务支出（项）。</w:t>
      </w:r>
    </w:p>
    <w:p w14:paraId="0C44D36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年初预算为0万元，支出决算为1万元，决算数大于年初预算数的主要原因是：追加预算。</w:t>
      </w:r>
    </w:p>
    <w:p w14:paraId="106A7A7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6.一般公共服务支出（类）其他一般公共事务支出（款）其他一般公共事务支出（项）。</w:t>
      </w:r>
    </w:p>
    <w:p w14:paraId="2986B67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年初预算为0万元，支出决算为9万元，决算数大于年初预算数的主要原因是：追加预算。</w:t>
      </w:r>
    </w:p>
    <w:p w14:paraId="3ABC4069">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7.科学技术支出（类）科学技术管理事务（款）其他科学技术管理事务支出（项）</w:t>
      </w:r>
    </w:p>
    <w:p w14:paraId="240E626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年初预算为0万元，支出决算为7万元。决算数大于年初预算数的主要原因是：预算有所调整。</w:t>
      </w:r>
    </w:p>
    <w:p w14:paraId="4F1C137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8.科学技术支出（类）其他科学技术支出（款）其他科学技术支出（项）。</w:t>
      </w:r>
    </w:p>
    <w:p w14:paraId="4EAA6DA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年初预算为0万元，支出决算为11.16万元，决算数大于年初预算数的主要原因是：追加预算。</w:t>
      </w:r>
    </w:p>
    <w:p w14:paraId="60CB786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9.文化旅游体育与传媒支出（类）文化和旅游（款）行政运行（项）。</w:t>
      </w:r>
    </w:p>
    <w:p w14:paraId="4B3B37F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年初预算为0万元，支出决算为212.47万元，决算数大于年初预算数的主要原因是：追加预算。</w:t>
      </w:r>
    </w:p>
    <w:p w14:paraId="4B3CE0C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10.社会保障和就业支出（类）行政事业单位养老支出（款）机关事业单位基本养老保险缴费支出（项）。</w:t>
      </w:r>
    </w:p>
    <w:p w14:paraId="1A11C10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年初预算为78.22万元，支出决算为68.5万元，完成年初预算的87.57%，决算数小于年初预算数的主要原因是：人员减少。</w:t>
      </w:r>
    </w:p>
    <w:p w14:paraId="70702A99">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11.社会保障和就业支出（类）抚恤（款）死亡抚恤（项）。</w:t>
      </w:r>
    </w:p>
    <w:p w14:paraId="2AA76D9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年初预算为0万元，支出决算为29.45万元，决算数小于年初预算数的主要原因是：追加预算。</w:t>
      </w:r>
    </w:p>
    <w:p w14:paraId="452B9E3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12.卫生健康支出（类）公共卫生（款）突发公共卫生事件应急处理（项）。</w:t>
      </w:r>
    </w:p>
    <w:p w14:paraId="460B7A2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年初预算为0万元，支出决算为79.67万元，决算数小于年初预算数的主要原因是：追加预算。</w:t>
      </w:r>
    </w:p>
    <w:p w14:paraId="02695B9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13.卫生健康支出（类）计划生育事务（款）其他计划生育事务支出（项）。</w:t>
      </w:r>
    </w:p>
    <w:p w14:paraId="5A656E7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年初预算为0万元，支出决算为5.43万元，决算数小于年初预算数的主要原因是：追加预算。</w:t>
      </w:r>
    </w:p>
    <w:p w14:paraId="03099D8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14.卫生健康支出（类）行政事业单位医疗（款）行政单位医疗（项）。</w:t>
      </w:r>
    </w:p>
    <w:p w14:paraId="2CBB798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年初预算为49.26万元，支出决算为63.28万元，决算数大于年初预算数的主要原因是：追加预算。</w:t>
      </w:r>
    </w:p>
    <w:p w14:paraId="4326083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15.节能环保支出（类）自然生态保护（款）农村环境保护（项）。</w:t>
      </w:r>
    </w:p>
    <w:p w14:paraId="180237D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年初预算为0万元，支出决算为42.4万元，决算数小于年初预算数的主要原因是：追加预算。</w:t>
      </w:r>
    </w:p>
    <w:p w14:paraId="1BD924C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16.农林水支出（类）农业农村（款）行政运行（项）。</w:t>
      </w:r>
    </w:p>
    <w:p w14:paraId="7104195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年初预算为0万元，支出决算为403.58万元，决算数小于年初预算数的主要原因是：追加预算。</w:t>
      </w:r>
    </w:p>
    <w:p w14:paraId="38C77B3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17.农林水支出（类）农业农村（款）农业生产发展（项）。</w:t>
      </w:r>
    </w:p>
    <w:p w14:paraId="1FB916B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年初预算为0万元，支出决算为100万元，决算数小于年初预算数的主要原因是：追加预算。</w:t>
      </w:r>
    </w:p>
    <w:p w14:paraId="4CC18BF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18.农林水支出（类）农业农村（款）其他农业农村支出（项）。</w:t>
      </w:r>
    </w:p>
    <w:p w14:paraId="63B184D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年初预算为0万元，支出决算为446.33万元，决算数小于年初预算数的主要原因是：追加预算。</w:t>
      </w:r>
    </w:p>
    <w:p w14:paraId="48B25EF2">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19.农林水支出（类）农村综合改革（款）对村民委员会和村党支部的补助（项）。</w:t>
      </w:r>
    </w:p>
    <w:p w14:paraId="755C0F0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年初预算为322.38万元，支出决算为361.87万元，完成年初预算的112.25%，决算数大于年初预算数的主要原因是：追加预算。</w:t>
      </w:r>
    </w:p>
    <w:p w14:paraId="4CC16BE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20.农林水支出（类）其他农林水支出（款）其他农林水支出（项）。</w:t>
      </w:r>
    </w:p>
    <w:p w14:paraId="12E57ED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年初预算为0万元，支出决算为10万元，决算数小于年初预算数的主要原因是：追加预算。</w:t>
      </w:r>
    </w:p>
    <w:p w14:paraId="0070E5E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21.住房保障支出（类）住房改革支出（款）住房公积金（项）。</w:t>
      </w:r>
    </w:p>
    <w:p w14:paraId="1902B09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年初预算为57.52万元，支出决算为50.24万元，完成年初预算的87.34%，决算数小于年初预算数的主要原因是：人员减少。</w:t>
      </w:r>
    </w:p>
    <w:p w14:paraId="3039B23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22.灾害防治及应急管理支出（类）消防事务（款）消防应急救援（项）。</w:t>
      </w:r>
    </w:p>
    <w:p w14:paraId="1858B7A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年初预算为0万元，支出决算为5万元，决算数小于年初预算数的主要原因是：追加预算。</w:t>
      </w:r>
    </w:p>
    <w:p w14:paraId="58BED13F">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六、一般公共预算财政拨款基本支出决算情况说明</w:t>
      </w:r>
    </w:p>
    <w:p w14:paraId="1FB82E0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度一般公共预算财政拨款基本支出1651.90万元，其中:人员经费881.05万元，占基本支出的53.34%，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770.86万元，占基本支出的46.66%，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公务用车购置、无形资产购置、其他资本性支出。</w:t>
      </w:r>
    </w:p>
    <w:p w14:paraId="509091E6">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七、一般公共预算财政拨款“三公”经费支出决算情况说明</w:t>
      </w:r>
    </w:p>
    <w:p w14:paraId="3368FBD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（一）“三公”经费财政拨款支出决算总体情况说明</w:t>
      </w:r>
    </w:p>
    <w:p w14:paraId="00917123">
      <w:pPr>
        <w:spacing w:line="560" w:lineRule="exact"/>
        <w:ind w:firstLine="640" w:firstLineChars="200"/>
        <w:rPr>
          <w:rFonts w:hint="default" w:ascii="仿宋_GB2312" w:eastAsia="仿宋_GB2312"/>
          <w:sz w:val="32"/>
          <w:szCs w:val="32"/>
        </w:rPr>
      </w:pPr>
      <w:r>
        <w:rPr>
          <w:rFonts w:ascii="仿宋_GB2312" w:eastAsia="仿宋_GB2312"/>
          <w:sz w:val="32"/>
          <w:szCs w:val="32"/>
          <w:highlight w:val="white"/>
        </w:rPr>
        <w:t>2020年度“三公”经费财政拨款支出预算</w:t>
      </w:r>
      <w:r>
        <w:rPr>
          <w:rFonts w:ascii="仿宋_GB2312" w:eastAsia="仿宋_GB2312"/>
          <w:sz w:val="32"/>
          <w:szCs w:val="32"/>
        </w:rPr>
        <w:t>为8万元，支出决算为36万元，完成预算的450%，其中：</w:t>
      </w:r>
    </w:p>
    <w:p w14:paraId="31DC17EB">
      <w:pPr>
        <w:spacing w:line="560" w:lineRule="exact"/>
        <w:ind w:firstLine="640" w:firstLineChars="200"/>
        <w:rPr>
          <w:rFonts w:hint="default" w:ascii="仿宋_GB2312" w:eastAsia="仿宋_GB2312"/>
          <w:sz w:val="32"/>
          <w:szCs w:val="32"/>
        </w:rPr>
      </w:pPr>
      <w:r>
        <w:rPr>
          <w:rFonts w:ascii="仿宋_GB2312" w:eastAsia="仿宋_GB2312"/>
          <w:sz w:val="32"/>
          <w:szCs w:val="32"/>
        </w:rPr>
        <w:t>无因公出国（境）费支出预算与决算。</w:t>
      </w:r>
    </w:p>
    <w:p w14:paraId="3CA26EC2">
      <w:pPr>
        <w:spacing w:line="560" w:lineRule="exact"/>
        <w:ind w:firstLine="640" w:firstLineChars="200"/>
        <w:rPr>
          <w:rFonts w:hint="default" w:ascii="仿宋_GB2312" w:eastAsia="仿宋_GB2312"/>
          <w:sz w:val="32"/>
          <w:szCs w:val="32"/>
        </w:rPr>
      </w:pPr>
      <w:r>
        <w:rPr>
          <w:rFonts w:ascii="仿宋_GB2312" w:eastAsia="仿宋_GB2312"/>
          <w:sz w:val="32"/>
          <w:szCs w:val="32"/>
        </w:rPr>
        <w:t>公务用车购置费及运行维护费支出预算为8万元，支出决算为2万元，完成预算的25%，决算数小于预算数的主要原因是认真贯彻落实中央“八项规定”精神和厉行节约要求，从严控制“三公”经费开支，全年实际支出比预算有所节约。与上年相比持平。</w:t>
      </w:r>
    </w:p>
    <w:p w14:paraId="1ABC17BF">
      <w:pPr>
        <w:spacing w:line="560" w:lineRule="exact"/>
        <w:ind w:firstLine="640" w:firstLineChars="200"/>
        <w:rPr>
          <w:rFonts w:hint="default" w:ascii="仿宋_GB2312" w:eastAsia="仿宋_GB2312"/>
          <w:sz w:val="32"/>
          <w:szCs w:val="32"/>
        </w:rPr>
      </w:pPr>
      <w:r>
        <w:rPr>
          <w:rFonts w:ascii="仿宋_GB2312" w:eastAsia="仿宋_GB2312"/>
          <w:sz w:val="32"/>
          <w:szCs w:val="32"/>
        </w:rPr>
        <w:t>公务接待费支出预算为0万元，支出决算为34万元，决算数大于预算数的主要原因是调整预算数。</w:t>
      </w:r>
    </w:p>
    <w:p w14:paraId="42E93130">
      <w:pPr>
        <w:spacing w:line="560" w:lineRule="exact"/>
        <w:ind w:firstLine="640" w:firstLineChars="200"/>
        <w:rPr>
          <w:rFonts w:hint="default" w:ascii="仿宋_GB2312" w:eastAsia="仿宋_GB2312"/>
          <w:sz w:val="32"/>
          <w:szCs w:val="32"/>
        </w:rPr>
      </w:pPr>
      <w:r>
        <w:rPr>
          <w:rFonts w:ascii="仿宋_GB2312" w:eastAsia="仿宋_GB2312"/>
          <w:sz w:val="32"/>
          <w:szCs w:val="32"/>
        </w:rPr>
        <w:t>（二）“三公”经费财政拨款支出决算具体情况说明</w:t>
      </w:r>
    </w:p>
    <w:p w14:paraId="37EF1E4F">
      <w:pPr>
        <w:spacing w:line="560" w:lineRule="exact"/>
        <w:ind w:firstLine="640" w:firstLineChars="200"/>
        <w:rPr>
          <w:rFonts w:hint="default" w:ascii="仿宋_GB2312" w:eastAsia="仿宋_GB2312"/>
          <w:sz w:val="32"/>
          <w:szCs w:val="32"/>
        </w:rPr>
      </w:pPr>
      <w:r>
        <w:rPr>
          <w:rFonts w:ascii="仿宋_GB2312" w:eastAsia="仿宋_GB2312"/>
          <w:sz w:val="32"/>
          <w:szCs w:val="32"/>
        </w:rPr>
        <w:t>2020年度“三公”经费财政拨款支出决算中，公务用车运行维护费决算2万元，占5.56%；公务接待费决算34万元，占94.44%。具体情况如下：</w:t>
      </w:r>
    </w:p>
    <w:p w14:paraId="6B2DBA8D">
      <w:pPr>
        <w:spacing w:line="560" w:lineRule="exact"/>
        <w:ind w:firstLine="640" w:firstLineChars="200"/>
        <w:rPr>
          <w:rFonts w:hint="default" w:ascii="仿宋_GB2312" w:eastAsia="仿宋_GB2312"/>
          <w:sz w:val="32"/>
          <w:szCs w:val="32"/>
        </w:rPr>
      </w:pPr>
      <w:r>
        <w:rPr>
          <w:rFonts w:ascii="仿宋_GB2312" w:eastAsia="仿宋_GB2312"/>
          <w:sz w:val="32"/>
          <w:szCs w:val="32"/>
        </w:rPr>
        <w:t>因公出国（境）费支出决算为0万元；公务用车购置及运行费支出决算为2万元，主要是继续加强公务用车管理，公务用车费用有所节约。其中：</w:t>
      </w:r>
    </w:p>
    <w:p w14:paraId="6CC27359">
      <w:pPr>
        <w:spacing w:line="560" w:lineRule="exact"/>
        <w:ind w:firstLine="640" w:firstLineChars="200"/>
        <w:rPr>
          <w:rFonts w:hint="default" w:ascii="仿宋_GB2312" w:eastAsia="仿宋_GB2312"/>
          <w:sz w:val="32"/>
          <w:szCs w:val="32"/>
        </w:rPr>
      </w:pPr>
      <w:r>
        <w:rPr>
          <w:rFonts w:ascii="仿宋_GB2312" w:eastAsia="仿宋_GB2312"/>
          <w:sz w:val="32"/>
          <w:szCs w:val="32"/>
        </w:rPr>
        <w:t>公务用车运行支出2万元。主要是按规定保留的公务用车的燃料费、维修费、过桥过路费、保险费、安全奖励费用等支出。截至2020年12月31日，机关单位开支财政拨款的公务用车保有量为2辆。</w:t>
      </w:r>
    </w:p>
    <w:p w14:paraId="55B86B32">
      <w:pPr>
        <w:spacing w:line="560" w:lineRule="exact"/>
        <w:ind w:firstLine="640" w:firstLineChars="200"/>
        <w:rPr>
          <w:rFonts w:hint="default" w:ascii="仿宋_GB2312" w:eastAsia="仿宋_GB2312"/>
          <w:sz w:val="32"/>
          <w:szCs w:val="32"/>
        </w:rPr>
      </w:pPr>
      <w:r>
        <w:rPr>
          <w:rFonts w:ascii="仿宋_GB2312" w:eastAsia="仿宋_GB2312"/>
          <w:sz w:val="32"/>
          <w:szCs w:val="32"/>
        </w:rPr>
        <w:t>公务接待费预算为0万元，支出决算为34万元。其中：</w:t>
      </w:r>
    </w:p>
    <w:p w14:paraId="4519ECA1">
      <w:pPr>
        <w:spacing w:line="560" w:lineRule="exact"/>
        <w:ind w:firstLine="640" w:firstLineChars="200"/>
        <w:rPr>
          <w:rFonts w:hint="default" w:ascii="仿宋_GB2312" w:eastAsia="仿宋_GB2312"/>
          <w:sz w:val="32"/>
          <w:szCs w:val="32"/>
        </w:rPr>
      </w:pPr>
      <w:r>
        <w:rPr>
          <w:rFonts w:ascii="仿宋_GB2312" w:eastAsia="仿宋_GB2312"/>
          <w:sz w:val="32"/>
          <w:szCs w:val="32"/>
        </w:rPr>
        <w:t>其他国内公务接待支出34万元。主要用于与有关单位交流工作情况及接受相关部门检查指导工作发生的接待支出。益阳市衡龙桥镇人民政府2020年共接待国内公务接待批次700个、接待人次7000人次（不包括陪同人员）。</w:t>
      </w:r>
    </w:p>
    <w:p w14:paraId="72C64D0B">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八、政府性基金预算收入支出决算情况</w:t>
      </w:r>
    </w:p>
    <w:p w14:paraId="16E6CF89">
      <w:pPr>
        <w:spacing w:line="560" w:lineRule="exact"/>
        <w:ind w:firstLine="640" w:firstLineChars="200"/>
        <w:rPr>
          <w:rFonts w:hint="default" w:ascii="仿宋_GB2312" w:eastAsia="仿宋_GB2312"/>
          <w:sz w:val="32"/>
          <w:szCs w:val="32"/>
        </w:rPr>
      </w:pPr>
      <w:r>
        <w:rPr>
          <w:rFonts w:ascii="仿宋_GB2312" w:eastAsia="仿宋_GB2312"/>
          <w:sz w:val="32"/>
          <w:szCs w:val="32"/>
        </w:rPr>
        <w:t>2020年度政府性基金本年收入211万元,占本年收入合计的7.53%，与2019年度政府性基金收入（76万元）相比，增加135万元，增长177.63%。2020年政府性基金本年支出211元,占本年支出合计的7.24%，与2019年政府性基金支出（76万元）相比，增加135万元，增长177.63%。其中：项目支出211万元,比上年增加177.63%。</w:t>
      </w:r>
    </w:p>
    <w:p w14:paraId="7E18B314">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九</w:t>
      </w:r>
      <w:r>
        <w:rPr>
          <w:rFonts w:hint="default" w:ascii="黑体" w:hAnsi="黑体" w:eastAsia="黑体"/>
          <w:sz w:val="32"/>
          <w:szCs w:val="32"/>
          <w:highlight w:val="white"/>
        </w:rPr>
        <w:t>、</w:t>
      </w:r>
      <w:r>
        <w:rPr>
          <w:rFonts w:ascii="黑体" w:hAnsi="黑体" w:eastAsia="黑体"/>
          <w:sz w:val="32"/>
          <w:szCs w:val="32"/>
          <w:highlight w:val="white"/>
        </w:rPr>
        <w:t>国有资本经营预算财政拨款支出决算情况</w:t>
      </w:r>
    </w:p>
    <w:p w14:paraId="7A44E17D">
      <w:pPr>
        <w:spacing w:line="560" w:lineRule="exact"/>
        <w:ind w:firstLine="640" w:firstLineChars="200"/>
        <w:rPr>
          <w:rFonts w:hint="default" w:ascii="仿宋_GB2312" w:eastAsia="仿宋_GB2312"/>
          <w:sz w:val="32"/>
          <w:szCs w:val="32"/>
        </w:rPr>
      </w:pPr>
      <w:r>
        <w:rPr>
          <w:rFonts w:ascii="仿宋_GB2312" w:eastAsia="仿宋_GB2312"/>
          <w:sz w:val="32"/>
          <w:szCs w:val="32"/>
        </w:rPr>
        <w:t>本部门2020年度无国有资本经营预算财政拨款支出。</w:t>
      </w:r>
    </w:p>
    <w:p w14:paraId="1D359FA5">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十、关于机关运行经费支出说明</w:t>
      </w:r>
    </w:p>
    <w:p w14:paraId="57B5E52C">
      <w:pPr>
        <w:spacing w:line="560" w:lineRule="exact"/>
        <w:ind w:firstLine="640" w:firstLineChars="200"/>
        <w:rPr>
          <w:rFonts w:hint="default" w:ascii="仿宋_GB2312" w:eastAsia="仿宋_GB2312"/>
          <w:sz w:val="32"/>
          <w:szCs w:val="32"/>
        </w:rPr>
      </w:pPr>
      <w:r>
        <w:rPr>
          <w:rFonts w:ascii="仿宋_GB2312" w:eastAsia="仿宋_GB2312"/>
          <w:sz w:val="32"/>
          <w:szCs w:val="32"/>
        </w:rPr>
        <w:t>益阳市衡龙桥镇人民政府2020年机关运行经费支出770.86万元。比年初预算数（61）增加709.86万元，增长1163.70%，主要原因是：追加预算。</w:t>
      </w:r>
    </w:p>
    <w:p w14:paraId="7401409D">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十一、一般性支出情况</w:t>
      </w:r>
    </w:p>
    <w:p w14:paraId="6302D49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2020年本部门开支会议费1万元，用于会议支出，人数350人，内容为日常工作会议；本年度本部门开支培训费1万元，用于培训支出，人数360人，内容为日常业务培训。</w:t>
      </w:r>
    </w:p>
    <w:p w14:paraId="5C8ACC38">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十二、关于政府采购支出说明</w:t>
      </w:r>
    </w:p>
    <w:p w14:paraId="54D7B9D2">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本年度无政府采购。</w:t>
      </w:r>
    </w:p>
    <w:p w14:paraId="5A0772E6">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十三、关于国有资产占有情况说明</w:t>
      </w:r>
    </w:p>
    <w:p w14:paraId="5F5E186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截至2020年12月31日，益阳市衡龙桥镇人民政府共有车辆2辆。其中：主要领导干部用车2辆；年末无单价50万元以上通用设备；年末无单价100万元以上专用设备。</w:t>
      </w:r>
    </w:p>
    <w:p w14:paraId="26EC95DF">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十四、预算绩效情况说明</w:t>
      </w:r>
    </w:p>
    <w:p w14:paraId="092E279B">
      <w:pPr>
        <w:spacing w:line="560" w:lineRule="exact"/>
        <w:ind w:firstLine="640" w:firstLineChars="200"/>
        <w:rPr>
          <w:rFonts w:hint="default" w:ascii="仿宋_GB2312" w:eastAsia="仿宋_GB2312"/>
          <w:sz w:val="32"/>
          <w:szCs w:val="32"/>
        </w:rPr>
      </w:pPr>
      <w:r>
        <w:rPr>
          <w:rFonts w:ascii="仿宋_GB2312" w:eastAsia="仿宋_GB2312"/>
          <w:sz w:val="32"/>
          <w:szCs w:val="32"/>
        </w:rPr>
        <w:t>（一）绩效管理工作开展情况</w:t>
      </w:r>
    </w:p>
    <w:p w14:paraId="12E61213">
      <w:pPr>
        <w:spacing w:line="560" w:lineRule="exact"/>
        <w:ind w:firstLine="640" w:firstLineChars="200"/>
        <w:rPr>
          <w:rFonts w:hint="default" w:ascii="仿宋_GB2312" w:eastAsia="仿宋_GB2312"/>
          <w:sz w:val="32"/>
          <w:szCs w:val="32"/>
        </w:rPr>
      </w:pPr>
      <w:r>
        <w:rPr>
          <w:rFonts w:ascii="仿宋_GB2312" w:eastAsia="仿宋_GB2312"/>
          <w:sz w:val="32"/>
          <w:szCs w:val="32"/>
        </w:rPr>
        <w:t>2020年本单位按照有关政策文件和赫山区财政局要求开展预算绩效管理工作，加强了绩效目标管理。在编制2020年单位预算时，本单位将所有预算资金纳入绩效目标管理，实现了绩效目标与单位预算同步编制、同步申报。</w:t>
      </w:r>
    </w:p>
    <w:p w14:paraId="3FA7C5FB">
      <w:pPr>
        <w:spacing w:line="560" w:lineRule="exact"/>
        <w:ind w:firstLine="640" w:firstLineChars="200"/>
        <w:rPr>
          <w:rFonts w:hint="default" w:ascii="仿宋_GB2312" w:eastAsia="仿宋_GB2312"/>
          <w:sz w:val="32"/>
          <w:szCs w:val="32"/>
        </w:rPr>
      </w:pPr>
      <w:r>
        <w:rPr>
          <w:rFonts w:ascii="仿宋_GB2312" w:eastAsia="仿宋_GB2312"/>
          <w:sz w:val="32"/>
          <w:szCs w:val="32"/>
        </w:rPr>
        <w:t>（二）部门决算中项目绩效自评结果</w:t>
      </w:r>
    </w:p>
    <w:p w14:paraId="39268D93">
      <w:pPr>
        <w:spacing w:line="560" w:lineRule="exact"/>
        <w:ind w:firstLine="640" w:firstLineChars="200"/>
        <w:rPr>
          <w:rFonts w:hint="default" w:ascii="仿宋_GB2312" w:eastAsia="仿宋_GB2312"/>
          <w:sz w:val="32"/>
          <w:szCs w:val="32"/>
        </w:rPr>
      </w:pPr>
      <w:r>
        <w:rPr>
          <w:rFonts w:ascii="仿宋_GB2312" w:eastAsia="仿宋_GB2312"/>
          <w:sz w:val="32"/>
          <w:szCs w:val="32"/>
        </w:rPr>
        <w:t>2020年本单位在绩效管理中不断优化经济发展环境，加强项目建设；十分注重民生保障，服务人民群众；狠抓社会管理，多方发力做到全面防范安全生产事故、及时调解纠纷、牢固“防违控违”工作、全面推进城乡统筹工作；不断完善科教文卫，全面发展。但也绩效管理中发现了一些问题，对此，将在平时工作中进一步加强对绩效目标监控的重视，定期对预算执行情况进行监督，使绩效目标监控与政府工作、财务工作挂钩，做到及时监控，及时控制。</w:t>
      </w:r>
    </w:p>
    <w:p w14:paraId="6EF140C2">
      <w:pPr>
        <w:spacing w:line="560" w:lineRule="exact"/>
        <w:ind w:firstLine="640" w:firstLineChars="200"/>
        <w:rPr>
          <w:rFonts w:hint="default" w:ascii="仿宋_GB2312" w:eastAsia="仿宋_GB2312"/>
          <w:sz w:val="32"/>
          <w:szCs w:val="32"/>
        </w:rPr>
      </w:pPr>
      <w:r>
        <w:rPr>
          <w:rFonts w:ascii="仿宋_GB2312" w:eastAsia="仿宋_GB2312"/>
          <w:sz w:val="32"/>
          <w:szCs w:val="32"/>
        </w:rPr>
        <w:t>（三）以部门为主体开展的重点绩效评价结果</w:t>
      </w:r>
    </w:p>
    <w:p w14:paraId="23A005A5">
      <w:pPr>
        <w:spacing w:line="560" w:lineRule="exact"/>
        <w:ind w:firstLine="640" w:firstLineChars="200"/>
        <w:rPr>
          <w:rFonts w:hint="default" w:ascii="仿宋_GB2312" w:eastAsia="仿宋_GB2312"/>
          <w:sz w:val="32"/>
          <w:szCs w:val="32"/>
        </w:rPr>
      </w:pPr>
      <w:r>
        <w:rPr>
          <w:rFonts w:ascii="仿宋_GB2312" w:eastAsia="仿宋_GB2312"/>
          <w:sz w:val="32"/>
          <w:szCs w:val="32"/>
        </w:rPr>
        <w:t>衡龙桥镇政府项目绩效评估领导小组通过评估，衡龙桥镇部门整体支出绩效得分91分。</w:t>
      </w:r>
    </w:p>
    <w:p w14:paraId="69E64278">
      <w:pPr>
        <w:spacing w:line="560" w:lineRule="exact"/>
        <w:ind w:firstLine="640" w:firstLineChars="200"/>
        <w:rPr>
          <w:rFonts w:hint="default" w:ascii="仿宋_GB2312" w:eastAsia="仿宋_GB2312"/>
          <w:sz w:val="32"/>
          <w:szCs w:val="32"/>
        </w:rPr>
      </w:pPr>
      <w:r>
        <w:rPr>
          <w:rFonts w:ascii="仿宋_GB2312" w:eastAsia="仿宋_GB2312"/>
          <w:sz w:val="32"/>
          <w:szCs w:val="32"/>
        </w:rPr>
        <w:t>1.投入得20分，基础信息更新按照县级部门预算编制通知和有关要求，按时完成基础库、项目库报送工作，预算编制准确，部门预算审查合法，部门整体绩效目标编制完整、合理，项目绩效目标编制明确、量化。</w:t>
      </w:r>
    </w:p>
    <w:p w14:paraId="34D21408">
      <w:pPr>
        <w:spacing w:line="560" w:lineRule="exact"/>
        <w:ind w:firstLine="640" w:firstLineChars="200"/>
        <w:rPr>
          <w:rFonts w:hint="default" w:ascii="仿宋_GB2312" w:eastAsia="仿宋_GB2312"/>
          <w:sz w:val="32"/>
          <w:szCs w:val="32"/>
        </w:rPr>
      </w:pPr>
      <w:r>
        <w:rPr>
          <w:rFonts w:ascii="仿宋_GB2312" w:eastAsia="仿宋_GB2312"/>
          <w:sz w:val="32"/>
          <w:szCs w:val="32"/>
        </w:rPr>
        <w:t>2.过程得26.5分，按规定及时分配上级财力专项预算，部门按要求严格预算执行管理，行政成本严格执行节能降耗、严格执行“三公经费”预算。</w:t>
      </w:r>
    </w:p>
    <w:p w14:paraId="713F8BC1">
      <w:pPr>
        <w:spacing w:line="560" w:lineRule="exact"/>
        <w:ind w:firstLine="640" w:firstLineChars="200"/>
        <w:rPr>
          <w:rFonts w:hint="default" w:ascii="仿宋_GB2312" w:eastAsia="仿宋_GB2312"/>
          <w:sz w:val="32"/>
          <w:szCs w:val="32"/>
        </w:rPr>
      </w:pPr>
      <w:r>
        <w:rPr>
          <w:rFonts w:ascii="仿宋_GB2312" w:eastAsia="仿宋_GB2312"/>
          <w:sz w:val="32"/>
          <w:szCs w:val="32"/>
        </w:rPr>
        <w:t>3.产出得27分，按规定做好政府性债务还本付息工作，部门和单位将国有资产纳入资产信息系统管理，按要求及时、准确、全面开展资产清查工作，报国有资产报表数据的真实、准确、全面，内部控制度健全完整，信息公开在财政部门批复二十日内向社会公开本部门预算、决算、绩效，部门实施绩效评价项目数量占部门申报绩效目标项目数量的比重，用以反映和考核部门实施绩效评价项目资金覆盖情况。</w:t>
      </w:r>
    </w:p>
    <w:p w14:paraId="3D4855F3">
      <w:pPr>
        <w:spacing w:line="560" w:lineRule="exact"/>
        <w:ind w:firstLine="640" w:firstLineChars="200"/>
        <w:rPr>
          <w:rFonts w:hint="default" w:ascii="仿宋_GB2312" w:eastAsia="仿宋_GB2312"/>
          <w:sz w:val="32"/>
          <w:szCs w:val="32"/>
        </w:rPr>
      </w:pPr>
      <w:r>
        <w:rPr>
          <w:rFonts w:ascii="仿宋_GB2312" w:eastAsia="仿宋_GB2312"/>
          <w:sz w:val="32"/>
          <w:szCs w:val="32"/>
        </w:rPr>
        <w:t>4.效果得17.5分，履行法定职责，完成县委、县政府决策部署和重大工作任务完成好，部门实施重大项目的经济、社会效益好，密切联系群众、服务群众情况，办理人大代表建议、政协提案情况，妥善处理群众来信来访、化解社会矛盾情况，加强政风行风建设、解决损害群众利益情况。</w:t>
      </w:r>
    </w:p>
    <w:p w14:paraId="2726F603">
      <w:pPr>
        <w:spacing w:line="560" w:lineRule="exact"/>
        <w:ind w:firstLine="640" w:firstLineChars="200"/>
        <w:rPr>
          <w:rFonts w:hint="default" w:ascii="仿宋_GB2312" w:eastAsia="仿宋_GB2312"/>
          <w:sz w:val="32"/>
          <w:szCs w:val="32"/>
          <w:highlight w:val="white"/>
        </w:rPr>
      </w:pPr>
    </w:p>
    <w:p w14:paraId="660EDFC6">
      <w:pPr>
        <w:spacing w:line="560" w:lineRule="exact"/>
        <w:rPr>
          <w:rFonts w:hint="default" w:ascii="黑体" w:hAnsi="黑体" w:eastAsia="黑体"/>
          <w:sz w:val="32"/>
          <w:szCs w:val="32"/>
          <w:highlight w:val="white"/>
        </w:rPr>
      </w:pPr>
      <w:r>
        <w:rPr>
          <w:rFonts w:ascii="黑体" w:hAnsi="黑体" w:eastAsia="黑体"/>
          <w:sz w:val="32"/>
          <w:szCs w:val="32"/>
          <w:highlight w:val="white"/>
        </w:rPr>
        <w:t>第四部分：</w:t>
      </w:r>
    </w:p>
    <w:p w14:paraId="2FBD250F">
      <w:pPr>
        <w:spacing w:line="560" w:lineRule="exact"/>
        <w:jc w:val="center"/>
        <w:rPr>
          <w:rFonts w:hint="default" w:ascii="方正小标宋简体" w:eastAsia="方正小标宋简体"/>
          <w:sz w:val="42"/>
          <w:szCs w:val="42"/>
          <w:highlight w:val="white"/>
        </w:rPr>
      </w:pPr>
      <w:r>
        <w:rPr>
          <w:rFonts w:ascii="方正小标宋简体" w:eastAsia="方正小标宋简体"/>
          <w:sz w:val="42"/>
          <w:szCs w:val="42"/>
          <w:highlight w:val="white"/>
        </w:rPr>
        <w:t>名词解释</w:t>
      </w:r>
    </w:p>
    <w:p w14:paraId="22855A03">
      <w:pPr>
        <w:spacing w:line="560" w:lineRule="exact"/>
        <w:ind w:firstLine="640" w:firstLineChars="200"/>
        <w:rPr>
          <w:rFonts w:hint="default" w:ascii="仿宋_GB2312" w:eastAsia="仿宋_GB2312"/>
          <w:sz w:val="32"/>
          <w:szCs w:val="32"/>
          <w:highlight w:val="white"/>
        </w:rPr>
      </w:pPr>
    </w:p>
    <w:p w14:paraId="529E19C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财政拨款收入：指本级财政当年拨付的资金。</w:t>
      </w:r>
    </w:p>
    <w:p w14:paraId="7987106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政府性基金预算财政拨款收入：指本级财政当年拨付的政府性基金预算资金。</w:t>
      </w:r>
    </w:p>
    <w:p w14:paraId="29CF54F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上年结转和结余：指以前年度尚未完成、结转到本年按有关规定继续使用的资金。</w:t>
      </w:r>
    </w:p>
    <w:p w14:paraId="67F5295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14:paraId="39B50FD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14:paraId="42A1D189">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科学技术支出（类）：是指用于科学技术方面的支出，包括保障机构正常运转、完成日常和特定的工作任务或事业发展目标的支出。</w:t>
      </w:r>
    </w:p>
    <w:p w14:paraId="7905D66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文化体育与传媒支出（类）：是指用于文化、文物、体育、新闻出版广播影视等方面的支出，包括保障机构正常运转、完成日常和特定的工作任务或事业发展目标的支出。</w:t>
      </w:r>
    </w:p>
    <w:p w14:paraId="4AA319F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6FD64B0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14:paraId="1339325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节能环保支出（类）：是指用于节能环保支出，包括保障机构正常运转、完成日常和特定的工作任务或事业发展目标的支出。</w:t>
      </w:r>
    </w:p>
    <w:p w14:paraId="70FC76C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城乡社区支出（类）：是指用于城乡社区事务支出，包括保障机构正常运转、完成日常和特定的工作任务或事业发展目标的支出。</w:t>
      </w:r>
    </w:p>
    <w:p w14:paraId="79D282F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农林水支出（类）：是指用于农林水事务支出，包括保障机构正常运转、完成日常和特定的工作任务或事业发展目标的支出。</w:t>
      </w:r>
    </w:p>
    <w:p w14:paraId="1B63C70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资源勘探信息等支出（类）：是指用于资源勘探、制造业、建筑业、工业信息等方面支出，包括保障机构正常运转、完成日常和特定的工作任务或事业发展目标的支出。</w:t>
      </w:r>
    </w:p>
    <w:p w14:paraId="0272FA8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住房保障支出（类）：是指用于住房方面的支出，包括保障机构正常运转、完成日常和特定的工作任务或事业发展目标的支出。</w:t>
      </w:r>
    </w:p>
    <w:p w14:paraId="77A17EA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灾害防治及应急管理支出（类）：是指用于反映政府用于自然灾害防治、安全生产监管及应急管理等方面的支出，包括保障机构正常运转、完成日常和特定的工作任务或事业发展目标的支出。</w:t>
      </w:r>
    </w:p>
    <w:p w14:paraId="5626EDF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其他支出（类）：是指用于反映除上述项目以外其他不能划分到具体功能科目中的支出项目，包括保障机构正常运转、完成日常和特定的工作任务或事业发展目标的支出。</w:t>
      </w:r>
    </w:p>
    <w:p w14:paraId="4045585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基本支出：指保障机构正常运转、完成支日常工作任务而发生的人员支出和公用支出。</w:t>
      </w:r>
    </w:p>
    <w:p w14:paraId="05343BF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项目支出：指在基本支出之外为完成特定行政任务和事业发展目标所发生的支出。</w:t>
      </w:r>
    </w:p>
    <w:p w14:paraId="22087D1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14:paraId="04703C7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工资福利支出：反映单位开支的在职职工和编制外长期聘用人员的各类劳动报酬，以及为上述人员缴纳的各项社会保险费等。</w:t>
      </w:r>
    </w:p>
    <w:p w14:paraId="0E7EC26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14:paraId="21D5A8C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14:paraId="45D181E9">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奖金：反映机关工作人员年终一次性奖金。</w:t>
      </w:r>
    </w:p>
    <w:p w14:paraId="7396E61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伙食补助费：反映单位发给职工的伙食补助费，如误餐补助等。</w:t>
      </w:r>
    </w:p>
    <w:p w14:paraId="0D587FC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14:paraId="255C9D0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职业年金缴费：反映机关事业单位实际缴纳的职业年金支出。由单位代扣的工作人员职业年金缴费，不在此科目反映。</w:t>
      </w:r>
    </w:p>
    <w:p w14:paraId="7894603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职工基本医疗保险缴费：反映单位为职工缴纳的基本医疗保险费。</w:t>
      </w:r>
    </w:p>
    <w:p w14:paraId="6E14EA4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14:paraId="3F4FAAD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住房公积金：反映行政事业单位按人力资源和社会保障部、财政部规定的基本工资和津贴补贴以及规定比例为职工缴纳的住房公积金。</w:t>
      </w:r>
    </w:p>
    <w:p w14:paraId="00E02EF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6083C00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商品和服务支出：反映单位购买商品和服务的支出（不包括用于购置固定资产的支出、战略性和应急储备支出）。</w:t>
      </w:r>
    </w:p>
    <w:p w14:paraId="2AAE8A5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办公费：反映单位购买按财务会计制度规定不符合固定资产确认标准的日常办公用品、书报杂志等支出。</w:t>
      </w:r>
    </w:p>
    <w:p w14:paraId="397C47F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印刷费：反映单位的印刷费支出。</w:t>
      </w:r>
    </w:p>
    <w:p w14:paraId="52CE7AA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水费：反映单位支付的水费、污水处理费等支出。</w:t>
      </w:r>
    </w:p>
    <w:p w14:paraId="4D72653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电费：反映单位的电费支出。</w:t>
      </w:r>
    </w:p>
    <w:p w14:paraId="6E59D4B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差旅费：反映单位工作人员出差发生的城市间交通费、住宿费、伙食补贴费和市内交通费。</w:t>
      </w:r>
    </w:p>
    <w:p w14:paraId="2050E43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14:paraId="211AE7D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租赁费：反映租赁办公用房、宿舍、专用通讯网以及其他设备等方面的费用。</w:t>
      </w:r>
    </w:p>
    <w:p w14:paraId="4D079239">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会议费：反映会议中按规定开支的住宿费、伙食费、会议室租金、交通费、文件印刷费、医药费等。</w:t>
      </w:r>
    </w:p>
    <w:p w14:paraId="793578C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培训费：反映除因公出国（境）培训费以外的各类培训支出。</w:t>
      </w:r>
    </w:p>
    <w:p w14:paraId="49A8170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公务接待费：反映单位按规定开支的各类公务接待（含外宾接待）费用。</w:t>
      </w:r>
    </w:p>
    <w:p w14:paraId="7E206E8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7EB065B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专用燃料费：反映用作业务工作设备的车、船设施等的油料支出。</w:t>
      </w:r>
    </w:p>
    <w:p w14:paraId="1114339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劳务费：反映支付给单位和个人的劳务费用，如临时聘用人员、钟点工工资，稿费、翻译费，评审费等。</w:t>
      </w:r>
    </w:p>
    <w:p w14:paraId="1072CB0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委托业务费：反映因委托外单位办理业务而支付的委托业务费。</w:t>
      </w:r>
    </w:p>
    <w:p w14:paraId="4CDC66C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工会经费：反映单位按规定提取的工会经费。</w:t>
      </w:r>
    </w:p>
    <w:p w14:paraId="3C296434">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公务用车运行维护费：反映单位按规定保留的公务用车燃料费、维修费、过桥过路费、保险费、安全奖励费用等支出。</w:t>
      </w:r>
    </w:p>
    <w:p w14:paraId="58E3995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14:paraId="126EDBF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14:paraId="0ED4ABB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对个人和家庭的补助：反映政府用于对个人和家庭的补助支出。</w:t>
      </w:r>
    </w:p>
    <w:p w14:paraId="7FE11F5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离休费：反映行政事业单位和军队移交政府安置的离休人员的离休费、护理费和其他补贴。</w:t>
      </w:r>
    </w:p>
    <w:p w14:paraId="084D0CC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退休费：反映行政事业单位和军队移交政府安置的退休人员的退休费和其他补贴。</w:t>
      </w:r>
    </w:p>
    <w:p w14:paraId="2FF4C72E">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抚恤金：反映按规定开支的烈士遗属、牺牲病故人员遗属的一次性和定期抚恤金，伤残人员的抚恤金，离退休人员等其他人员的各项抚恤金。</w:t>
      </w:r>
    </w:p>
    <w:p w14:paraId="2F7BB0C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14:paraId="6822EFC5">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14:paraId="0B35568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办公设备购置：反映用于购置并按财务会计制度规定纳入固定资产核算范围的办公家具和办公设备的支出，以及按规定提取的修购基金。</w:t>
      </w:r>
    </w:p>
    <w:p w14:paraId="405FA552">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w:t>
      </w:r>
    </w:p>
    <w:p w14:paraId="7FA37A86">
      <w:pPr>
        <w:spacing w:line="560" w:lineRule="exact"/>
        <w:ind w:firstLine="640" w:firstLineChars="200"/>
        <w:rPr>
          <w:rFonts w:hint="default" w:ascii="仿宋_GB2312" w:eastAsia="仿宋_GB2312"/>
          <w:sz w:val="32"/>
          <w:szCs w:val="32"/>
          <w:highlight w:val="white"/>
        </w:rPr>
      </w:pPr>
    </w:p>
    <w:p w14:paraId="4FF49272">
      <w:pPr>
        <w:spacing w:line="560" w:lineRule="exact"/>
        <w:rPr>
          <w:rFonts w:hint="default" w:ascii="黑体" w:hAnsi="黑体" w:eastAsia="黑体"/>
          <w:sz w:val="32"/>
          <w:szCs w:val="32"/>
        </w:rPr>
      </w:pPr>
      <w:r>
        <w:rPr>
          <w:rFonts w:ascii="黑体" w:hAnsi="黑体" w:eastAsia="黑体"/>
          <w:sz w:val="32"/>
          <w:szCs w:val="32"/>
        </w:rPr>
        <w:t>第五部分：附件</w:t>
      </w:r>
    </w:p>
    <w:p w14:paraId="66761340">
      <w:pPr>
        <w:spacing w:line="560" w:lineRule="exact"/>
        <w:jc w:val="center"/>
        <w:rPr>
          <w:rFonts w:hint="default" w:ascii="方正小标宋简体" w:eastAsia="方正小标宋简体"/>
          <w:sz w:val="42"/>
          <w:szCs w:val="42"/>
        </w:rPr>
      </w:pPr>
      <w:r>
        <w:rPr>
          <w:rFonts w:ascii="方正小标宋简体" w:eastAsia="方正小标宋简体"/>
          <w:sz w:val="42"/>
          <w:szCs w:val="42"/>
        </w:rPr>
        <w:t>益阳市衡龙桥镇人民政府2020年度</w:t>
      </w:r>
    </w:p>
    <w:p w14:paraId="2E098566">
      <w:pPr>
        <w:spacing w:line="560" w:lineRule="exact"/>
        <w:jc w:val="center"/>
        <w:rPr>
          <w:rFonts w:hint="default" w:ascii="方正小标宋简体" w:eastAsia="方正小标宋简体"/>
          <w:sz w:val="42"/>
          <w:szCs w:val="42"/>
        </w:rPr>
      </w:pPr>
      <w:r>
        <w:rPr>
          <w:rFonts w:ascii="方正小标宋简体" w:eastAsia="方正小标宋简体"/>
          <w:sz w:val="42"/>
          <w:szCs w:val="42"/>
        </w:rPr>
        <w:t>部门整体支出绩效评价报告</w:t>
      </w:r>
    </w:p>
    <w:p w14:paraId="12FF41C8">
      <w:pPr>
        <w:spacing w:line="560" w:lineRule="exact"/>
        <w:ind w:firstLine="640" w:firstLineChars="200"/>
        <w:rPr>
          <w:rFonts w:hint="default" w:ascii="仿宋_GB2312" w:eastAsia="仿宋_GB2312"/>
          <w:sz w:val="32"/>
          <w:szCs w:val="32"/>
          <w:highlight w:val="white"/>
        </w:rPr>
      </w:pPr>
    </w:p>
    <w:p w14:paraId="4B9048EF">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为进一步规范财政资金管理，牢固树立预算绩效理念，强化部门支出责任，提高财政资金使用效益，根据《益阳市赫山区人民政府关于全面推进预算绩效管理的实施意见》（益赫财绩〔2016〕12号）、《中共中央国务院关于全面实施预算绩效管理的意见》（中发〔2018〕34号）、《财政部&lt;项目支出绩效评价管理办法&gt;的通知》（财预〔2020〕10号）和《中共湖南省委办公厅 湖南省人民政府办公厅关于全面实施预算绩效管理的实施意见》（湘政发〔2019〕10号）等有关文件精神，现将我单位2021年度对部门整体支出进行了绩效评价,有关情况报告如下：</w:t>
      </w:r>
    </w:p>
    <w:p w14:paraId="58BE88AA">
      <w:pPr>
        <w:spacing w:line="560" w:lineRule="exact"/>
        <w:ind w:firstLine="640" w:firstLineChars="200"/>
        <w:rPr>
          <w:rFonts w:hint="default" w:ascii="黑体" w:hAnsi="黑体" w:eastAsia="黑体"/>
          <w:sz w:val="32"/>
          <w:szCs w:val="32"/>
          <w:highlight w:val="white"/>
        </w:rPr>
      </w:pPr>
      <w:r>
        <w:rPr>
          <w:rFonts w:hint="default" w:ascii="Calibri" w:hAnsi="Calibri" w:eastAsia="黑体" w:cs="Calibri"/>
          <w:sz w:val="32"/>
          <w:szCs w:val="32"/>
          <w:highlight w:val="white"/>
        </w:rPr>
        <w:t> </w:t>
      </w:r>
      <w:r>
        <w:rPr>
          <w:rFonts w:ascii="黑体" w:hAnsi="黑体" w:eastAsia="黑体"/>
          <w:sz w:val="32"/>
          <w:szCs w:val="32"/>
          <w:highlight w:val="white"/>
        </w:rPr>
        <w:t>一、部门概况</w:t>
      </w:r>
    </w:p>
    <w:p w14:paraId="53B98CD3">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（一）部门基本情况</w:t>
      </w:r>
    </w:p>
    <w:p w14:paraId="555022C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衡龙桥镇人民政府(简称本单位)系正科级行政机关。单位办公地址为衡龙桥镇衡龙桥村。根益阳市赫山区机构编制委员会办公室《关于印发&lt;赫山区乡镇机关职能配置、内设机构和人员编制〉规定的通知》文件精神，本单位主要职责为：1、执行本级人民代表大会决议和上级国家行政机关的决定和命令，发布决定和命令;落实国家政策，严格依法行政。2、执行本乡镇区域内的经济和社会发展计划、预算，管理本乡镇区域内的经济、教育、科学、文化、体育事业和财政、民政、公安、司法行政、计划生育等行政工作;发展乡村经济、文化和社会事业，提供公共服务。3、保护社会主义全民所有制的财产和劳动群众集体所有制的财产，保护公民私人所有的合法财产，维护社会稳定，保障公民的人身权利、民主权利和其他权利。4、保护各种经济组织的合法权益。5、保障宪法和法律赋予妇女的男女平等、同工同酬和婚姻自由等各项权利。6、办理上级人民政府交办的其他事项。</w:t>
      </w:r>
    </w:p>
    <w:p w14:paraId="520BCC2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衡龙桥镇人民政府系正科级行政机关，机关工作机构统一设置为：党政办公室、党建办公室、经济发展办公室（挂农业农村和扶贫办公室牌子）、社会事务办公室、自然资源和生态环境办公室（挂村镇规划建设和管理办公室牌子）、社会治安和应急管理办公室、财政所、综合执法大队、社会事务综合服务中心（挂文化综合服务站牌子）、农业综合服务中心、党群和政务服务中心、退役军人事务站。衡龙桥镇人民政府统筹各部门，承担本辖区内的所有基本公共服务职能。</w:t>
      </w:r>
    </w:p>
    <w:p w14:paraId="60563DFB">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单位经区编核定的编制人数为110人，其中行政编制43人、行政工勤编3人、事业编制64人、目前实有在职行政编制人员33人，在职事业编制人员57人，在职自收自支人员15人、离退休人员80人，另政府返聘与临聘人员11人，城管队3人。</w:t>
      </w:r>
    </w:p>
    <w:p w14:paraId="2F44009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（二）部门整体支出规模、使用方向和主要内容、涉及范围</w:t>
      </w:r>
    </w:p>
    <w:p w14:paraId="5C7D096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2020年度部门整体支出规模为4790万元。</w:t>
      </w:r>
    </w:p>
    <w:p w14:paraId="639C5EC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1.基本公共服务支出1966.6万元。其中：包括行政运行760万元、机关事业单位基本养老保险87万元、住房公积金51万元、机关事业单位职业年金34万元、退休人员工资197万元、分流人员三金及生活费316.6万元、机关公用支出260万元、招商引资30万元（其中包含统计工作经费支出5万）、会议费20万元、公务用车运行及维护费20万元、机关修缮费30万元、人大事务支出8万元、政协事务支出2万元、工会事务支出40万元、纪委事务支出8万元、党建事务支出35万元、政法事务支出10万元、武装工作事务支出8万元、社会治安和应急管理事务支出50万元(其中包含禁毒经费5万元)。</w:t>
      </w:r>
    </w:p>
    <w:p w14:paraId="4937C22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2.教育支出19万元、文化体育与传媒支出45万元、社会保障和就业支出881万元、医疗卫生与计划生育支出231万元、环境保护支出460万元、城乡社区事务支出155万元、农林水事务支出882万元、其他支出150.4万元。</w:t>
      </w:r>
    </w:p>
    <w:p w14:paraId="4A61B83A">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二、部门整体支出管理及使用情况</w:t>
      </w:r>
    </w:p>
    <w:p w14:paraId="614E0E57">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为贯彻中央八项规定和中央《党政机关厉行节约反对浪费条例》，根据区财政局的相关规定，我镇制定了关于严格“三公”经费预算管理的规定、关于落实厉行节约反对浪费条例的实施意见、机关财务管理制度、出差管理制度、机关内接待管理规定、机关公务用车管理等相关制度;加强了资金的使用管理，坚持勤俭节约，反对奢侈浪费，制定了机关财务管理制度、联审会签制度、集中采购制度等，按制度办事，确保每一分钱都落到实处，每一环节按程序进行，部门财务管理工作做到了细、严、实。基本支出的主要用于发放人员工资、办公行政支出，2020年三公经费总额50万元，其中公务用车费用10万元，公务接待费用30万元，无公费旅游费用；会议费10万元。</w:t>
      </w:r>
    </w:p>
    <w:p w14:paraId="43CA75FC">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三、部门专项组织实施情况</w:t>
      </w:r>
    </w:p>
    <w:p w14:paraId="2314304A">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2020年我镇投资150万元一事一议的补助完成了村组级公路的硬化、桥梁维修、水塘维修加固清淤、饮水工程等。</w:t>
      </w:r>
    </w:p>
    <w:p w14:paraId="6A7CA659">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四、固定资产管理情况</w:t>
      </w:r>
    </w:p>
    <w:p w14:paraId="53EDFED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为规范固定资产管理，实现固定资产的优化配置，我镇制定了固定资产管理制度，固定资产指定专人管理，及时登记，科学使用，每年年末对固定资产进行清查盘点，</w:t>
      </w:r>
      <w:r>
        <w:rPr>
          <w:rFonts w:hint="eastAsia" w:ascii="仿宋_GB2312" w:eastAsia="仿宋_GB2312"/>
          <w:sz w:val="32"/>
          <w:szCs w:val="32"/>
          <w:highlight w:val="white"/>
          <w:lang w:val="en-US" w:eastAsia="zh-CN"/>
        </w:rPr>
        <w:t>固定</w:t>
      </w:r>
      <w:r>
        <w:rPr>
          <w:rFonts w:ascii="仿宋_GB2312" w:eastAsia="仿宋_GB2312"/>
          <w:sz w:val="32"/>
          <w:szCs w:val="32"/>
          <w:highlight w:val="white"/>
        </w:rPr>
        <w:t>资产的调出、处置、报废、报损严格执行国家有关规定的审批程序办理。</w:t>
      </w:r>
    </w:p>
    <w:p w14:paraId="421ED0B6">
      <w:pPr>
        <w:spacing w:line="560" w:lineRule="exact"/>
        <w:ind w:firstLine="640" w:firstLineChars="200"/>
        <w:rPr>
          <w:rFonts w:hint="default" w:ascii="黑体" w:hAnsi="黑体" w:eastAsia="黑体"/>
          <w:sz w:val="32"/>
          <w:szCs w:val="32"/>
          <w:highlight w:val="white"/>
        </w:rPr>
      </w:pPr>
      <w:r>
        <w:rPr>
          <w:rFonts w:ascii="黑体" w:hAnsi="黑体" w:eastAsia="黑体"/>
          <w:sz w:val="32"/>
          <w:szCs w:val="32"/>
          <w:highlight w:val="white"/>
        </w:rPr>
        <w:t>五、部门整体支出绩效情况</w:t>
      </w:r>
    </w:p>
    <w:p w14:paraId="688F3AC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2020年，根据年初计划的重点工作，本单位通过对财政资金的使用，取得了如下绩效：</w:t>
      </w:r>
    </w:p>
    <w:p w14:paraId="0D647E91">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（一）优化经济发展环境，招商引资。2020年，我镇积极实施税收协控联管，定期召开政企联络会议，实现税收3213.2万元；积极招商引资与立项争资，全镇共有招商引资和在建项目7个，立项争资金额660万元。</w:t>
      </w:r>
    </w:p>
    <w:p w14:paraId="297B91DD">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做好农林水工作，服务群众。2020年认真落实了减负政策，发放如下涉农资金。其中耕地地力补贴资金353万元、退耕还林、公益林支付资金9.76万元、退伍兵补助29.6万元、独生子女保健、计划生育将扶费65.55万元、农机具购置补贴11.14万元、扶贫寄宿生生活费13.5万元、库区移民资金53.77万元等。</w:t>
      </w:r>
    </w:p>
    <w:p w14:paraId="6C87D0F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社会管理。一是确保安全生产不出事故。集中力量狠抓农用车载客、安全运营和河沙整治等安全生产查处工作，制定了有效的工作方案措施，明确综治工作职责和责任追究制度。加大安全生产宣传力度，制作安全生产警示牌，对道路交通安全、学校食堂餐馆食品卫生安全、地质灾害监测点防汛安全等进行了不定期的全面大排查、大整治，开展了过境车辆治超治限工作。二是及时调解纠纷。认真落实矛盾纠纷排查调处制度，做到重点信访对象有效稳控，无进京、赴省信访发生，其他州县共性存在的信访群体不参与上访。纠纷调解及时，调解成功率达100%，无刑事案件发生，治安形势较好。三是狠抓“查违控违”工作。加大对“两违”整治工作巡查、查处力度，以“零容忍”的态度坚决打击“两违”势力冒头。强化宣传力度，创新宣传方式，“两违”工作深入人心，群众知晓率达100%。四是全面推进卫生城市工作。开展整脏治乱和灭“四害”等工作，为场上主街道安装路灯，做到街道亮化;规范齐门经营划分标志线，固定停靠点，做到规范有序;切实做好环境整治，投入资金将村级环境卫生保洁任务发包到责任人，大大改善了全镇的人居环境。</w:t>
      </w:r>
    </w:p>
    <w:p w14:paraId="49E3128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四）科教文卫不断完善，多面发展。认真履行教育工作职责，抓好控辍保学工作，高度注重校车安全，定期对校车超载等现象进行突击检查；多次召开专题会议，扎实整治校园周边环境。镇政府在教师节等特定节假对优秀教师进行表彰，对贫困教师和离退休教师进行走访慰问;争取上级资金，解决学校危房安全隐患问题，较好地提高了学校师生的学习、生活条件。争取专项资金，购进篮球架、健身器材等，极大改善、丰富了农村文化生活。</w:t>
      </w:r>
    </w:p>
    <w:p w14:paraId="3DE4E412">
      <w:pPr>
        <w:spacing w:line="560" w:lineRule="exact"/>
        <w:ind w:firstLine="640" w:firstLineChars="200"/>
        <w:rPr>
          <w:rFonts w:hint="default" w:ascii="黑体" w:hAnsi="黑体" w:eastAsia="黑体"/>
          <w:sz w:val="32"/>
          <w:szCs w:val="32"/>
          <w:highlight w:val="white"/>
        </w:rPr>
      </w:pPr>
      <w:r>
        <w:rPr>
          <w:rFonts w:hint="default" w:ascii="Calibri" w:hAnsi="Calibri" w:eastAsia="黑体" w:cs="Calibri"/>
          <w:sz w:val="32"/>
          <w:szCs w:val="32"/>
          <w:highlight w:val="white"/>
        </w:rPr>
        <w:t> </w:t>
      </w:r>
      <w:r>
        <w:rPr>
          <w:rFonts w:ascii="黑体" w:hAnsi="黑体" w:eastAsia="黑体"/>
          <w:sz w:val="32"/>
          <w:szCs w:val="32"/>
          <w:highlight w:val="white"/>
        </w:rPr>
        <w:t>六、存在的主要问题</w:t>
      </w:r>
    </w:p>
    <w:p w14:paraId="6607789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一是工作机制有待进一步完善，由于在平时工作中未加强绩效监控工作的重视，绩效监控工作容易滞后，未形成对绩效目标进行监控的习惯。</w:t>
      </w:r>
    </w:p>
    <w:p w14:paraId="5A966608">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二是单位各部门衔接不及时，无法及时监控预算绩效目标实施情况。</w:t>
      </w:r>
    </w:p>
    <w:p w14:paraId="75DB8D66">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 三是政府和财务部门在部门整体支出的资金安排和使用上仍有不可预见性，在实际工作中有资金延迟到位的情况。</w:t>
      </w:r>
    </w:p>
    <w:p w14:paraId="4E416086">
      <w:pPr>
        <w:spacing w:line="560" w:lineRule="exact"/>
        <w:ind w:firstLine="640" w:firstLineChars="200"/>
        <w:rPr>
          <w:rFonts w:hint="default" w:ascii="黑体" w:hAnsi="黑体" w:eastAsia="黑体"/>
          <w:sz w:val="32"/>
          <w:szCs w:val="32"/>
          <w:highlight w:val="white"/>
        </w:rPr>
      </w:pPr>
      <w:r>
        <w:rPr>
          <w:rFonts w:hint="default" w:ascii="Calibri" w:hAnsi="Calibri" w:eastAsia="黑体" w:cs="Calibri"/>
          <w:sz w:val="32"/>
          <w:szCs w:val="32"/>
          <w:highlight w:val="white"/>
        </w:rPr>
        <w:t> </w:t>
      </w:r>
      <w:r>
        <w:rPr>
          <w:rFonts w:ascii="黑体" w:hAnsi="黑体" w:eastAsia="黑体"/>
          <w:sz w:val="32"/>
          <w:szCs w:val="32"/>
          <w:highlight w:val="white"/>
        </w:rPr>
        <w:t>七、改进措施和有关建议</w:t>
      </w:r>
    </w:p>
    <w:p w14:paraId="1F81B9F0">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（一）政府在平时工作中进一步加强对绩效目标监控的重视，定期对预算执行情况进行监督，使绩效目标监控与政府工作、财务工作挂钩，做到及时监控，及时控制，避免疏忽。</w:t>
      </w:r>
    </w:p>
    <w:p w14:paraId="7374582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（二）加强各部门衔接，使预算绩效目标实施进度得到及时反馈，便于及时汇总监控。</w:t>
      </w:r>
    </w:p>
    <w:p w14:paraId="7B1595DC">
      <w:pPr>
        <w:spacing w:line="560" w:lineRule="exact"/>
        <w:ind w:firstLine="640" w:firstLineChars="200"/>
        <w:rPr>
          <w:rFonts w:hint="default" w:ascii="仿宋_GB2312" w:eastAsia="仿宋_GB2312"/>
          <w:sz w:val="32"/>
          <w:szCs w:val="32"/>
          <w:highlight w:val="white"/>
        </w:rPr>
      </w:pPr>
      <w:r>
        <w:rPr>
          <w:rFonts w:ascii="仿宋_GB2312" w:eastAsia="仿宋_GB2312"/>
          <w:sz w:val="32"/>
          <w:szCs w:val="32"/>
          <w:highlight w:val="white"/>
        </w:rPr>
        <w:t>（三）设置合理有效的绩效目标监控机制，科学设置预算绩效指标，合理安排经费和各项资金，使其物尽其用，更加贴合乡镇财务工作的实际情况，能够合理运用现有资源，及时协调上级争取资金保证各预算绩效指标的顺利实施。使绩效评价更客观全面，更能为发展政府经济，保障民生起到积极有效的作用。</w:t>
      </w:r>
    </w:p>
    <w:p w14:paraId="1450D7DC">
      <w:pPr>
        <w:widowControl/>
        <w:jc w:val="left"/>
        <w:rPr>
          <w:rFonts w:hint="default" w:ascii="宋体" w:hAnsi="宋体" w:cs="宋体"/>
          <w:b/>
          <w:bCs/>
          <w:color w:val="333333"/>
          <w:kern w:val="0"/>
          <w:sz w:val="36"/>
          <w:szCs w:val="36"/>
          <w:shd w:val="clear" w:color="auto" w:fill="FFFFFF"/>
        </w:rPr>
      </w:pPr>
      <w:r>
        <w:rPr>
          <w:rFonts w:hint="default" w:ascii="宋体" w:hAnsi="宋体" w:cs="宋体"/>
          <w:b/>
          <w:bCs/>
          <w:color w:val="333333"/>
          <w:sz w:val="36"/>
          <w:szCs w:val="36"/>
          <w:shd w:val="clear" w:color="auto" w:fill="FFFFFF"/>
        </w:rPr>
        <w:br w:type="page"/>
      </w:r>
    </w:p>
    <w:p w14:paraId="236129EA">
      <w:pPr>
        <w:pStyle w:val="4"/>
        <w:widowControl/>
        <w:shd w:val="clear" w:color="auto" w:fill="FFFFFF"/>
        <w:spacing w:beforeAutospacing="0" w:afterAutospacing="0" w:line="480" w:lineRule="atLeast"/>
        <w:jc w:val="center"/>
        <w:rPr>
          <w:rFonts w:hint="default" w:ascii="宋体"/>
          <w:sz w:val="32"/>
          <w:szCs w:val="32"/>
        </w:rPr>
      </w:pPr>
      <w:r>
        <w:rPr>
          <w:rFonts w:ascii="宋体" w:hAnsi="宋体" w:cs="宋体"/>
          <w:b/>
          <w:bCs/>
          <w:color w:val="333333"/>
          <w:sz w:val="36"/>
          <w:szCs w:val="36"/>
          <w:shd w:val="clear" w:color="auto" w:fill="FFFFFF"/>
        </w:rPr>
        <w:t>2020年度部门整体支出绩效自评指标计分表</w:t>
      </w:r>
    </w:p>
    <w:p w14:paraId="153670FF">
      <w:pPr>
        <w:rPr>
          <w:rFonts w:hint="default" w:ascii="宋体"/>
          <w:sz w:val="32"/>
          <w:szCs w:val="32"/>
        </w:rPr>
      </w:pPr>
    </w:p>
    <w:tbl>
      <w:tblPr>
        <w:tblStyle w:val="5"/>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1"/>
        <w:gridCol w:w="710"/>
        <w:gridCol w:w="946"/>
        <w:gridCol w:w="710"/>
        <w:gridCol w:w="2983"/>
        <w:gridCol w:w="3533"/>
      </w:tblGrid>
      <w:tr w14:paraId="11EA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14:paraId="012A3D4E">
            <w:pPr>
              <w:spacing w:line="240" w:lineRule="exact"/>
              <w:jc w:val="center"/>
              <w:rPr>
                <w:rFonts w:hint="default" w:ascii="宋体" w:cs="宋体"/>
                <w:b/>
                <w:bCs/>
              </w:rPr>
            </w:pPr>
            <w:r>
              <w:rPr>
                <w:rFonts w:ascii="宋体" w:hAnsi="宋体" w:cs="宋体"/>
                <w:b/>
                <w:bCs/>
              </w:rPr>
              <w:t>一级</w:t>
            </w:r>
            <w:r>
              <w:rPr>
                <w:rFonts w:ascii="宋体" w:cs="宋体"/>
                <w:b/>
                <w:bCs/>
              </w:rPr>
              <w:br w:type="textWrapping"/>
            </w:r>
            <w:r>
              <w:rPr>
                <w:rFonts w:ascii="宋体" w:hAnsi="宋体" w:cs="宋体"/>
                <w:b/>
                <w:bCs/>
              </w:rPr>
              <w:t>指标</w:t>
            </w:r>
          </w:p>
        </w:tc>
        <w:tc>
          <w:tcPr>
            <w:tcW w:w="375" w:type="pct"/>
            <w:tcMar>
              <w:top w:w="10" w:type="dxa"/>
              <w:left w:w="10" w:type="dxa"/>
              <w:bottom w:w="0" w:type="dxa"/>
              <w:right w:w="10" w:type="dxa"/>
            </w:tcMar>
            <w:vAlign w:val="center"/>
          </w:tcPr>
          <w:p w14:paraId="495F97EF">
            <w:pPr>
              <w:spacing w:line="240" w:lineRule="exact"/>
              <w:ind w:right="-174" w:rightChars="-83"/>
              <w:jc w:val="center"/>
              <w:rPr>
                <w:rFonts w:hint="default" w:ascii="宋体" w:cs="宋体"/>
                <w:b/>
                <w:bCs/>
              </w:rPr>
            </w:pPr>
            <w:r>
              <w:rPr>
                <w:rFonts w:ascii="宋体" w:hAnsi="宋体" w:cs="宋体"/>
                <w:b/>
                <w:bCs/>
              </w:rPr>
              <w:t>二级</w:t>
            </w:r>
          </w:p>
          <w:p w14:paraId="5BF2313D">
            <w:pPr>
              <w:spacing w:line="240" w:lineRule="exact"/>
              <w:ind w:right="-174" w:rightChars="-83"/>
              <w:jc w:val="center"/>
              <w:rPr>
                <w:rFonts w:hint="default" w:ascii="宋体" w:cs="宋体"/>
                <w:b/>
                <w:bCs/>
              </w:rPr>
            </w:pPr>
            <w:r>
              <w:rPr>
                <w:rFonts w:ascii="宋体" w:hAnsi="宋体" w:cs="宋体"/>
                <w:b/>
                <w:bCs/>
              </w:rPr>
              <w:t>指标</w:t>
            </w:r>
          </w:p>
        </w:tc>
        <w:tc>
          <w:tcPr>
            <w:tcW w:w="500" w:type="pct"/>
            <w:tcMar>
              <w:top w:w="10" w:type="dxa"/>
              <w:left w:w="10" w:type="dxa"/>
              <w:bottom w:w="0" w:type="dxa"/>
              <w:right w:w="10" w:type="dxa"/>
            </w:tcMar>
            <w:vAlign w:val="center"/>
          </w:tcPr>
          <w:p w14:paraId="1801AB13">
            <w:pPr>
              <w:spacing w:line="240" w:lineRule="exact"/>
              <w:jc w:val="center"/>
              <w:rPr>
                <w:rFonts w:hint="default" w:ascii="宋体" w:cs="宋体"/>
                <w:b/>
                <w:bCs/>
              </w:rPr>
            </w:pPr>
            <w:r>
              <w:rPr>
                <w:rFonts w:ascii="宋体" w:hAnsi="宋体" w:cs="宋体"/>
                <w:b/>
                <w:bCs/>
              </w:rPr>
              <w:t>三级</w:t>
            </w:r>
          </w:p>
          <w:p w14:paraId="30BEBAAF">
            <w:pPr>
              <w:spacing w:line="240" w:lineRule="exact"/>
              <w:jc w:val="center"/>
              <w:rPr>
                <w:rFonts w:hint="default" w:ascii="宋体" w:cs="宋体"/>
                <w:b/>
                <w:bCs/>
              </w:rPr>
            </w:pPr>
            <w:r>
              <w:rPr>
                <w:rFonts w:ascii="宋体" w:hAnsi="宋体" w:cs="宋体"/>
                <w:b/>
                <w:bCs/>
              </w:rPr>
              <w:t>指标</w:t>
            </w:r>
          </w:p>
        </w:tc>
        <w:tc>
          <w:tcPr>
            <w:tcW w:w="375" w:type="pct"/>
            <w:vAlign w:val="center"/>
          </w:tcPr>
          <w:p w14:paraId="6C998B46">
            <w:pPr>
              <w:spacing w:line="240" w:lineRule="exact"/>
              <w:ind w:left="105" w:leftChars="50" w:right="105" w:rightChars="50"/>
              <w:jc w:val="center"/>
              <w:rPr>
                <w:rFonts w:hint="default" w:ascii="宋体" w:cs="宋体"/>
                <w:b/>
                <w:bCs/>
              </w:rPr>
            </w:pPr>
            <w:r>
              <w:rPr>
                <w:rFonts w:ascii="宋体" w:hAnsi="宋体" w:cs="宋体"/>
                <w:b/>
                <w:bCs/>
              </w:rPr>
              <w:t>自评分</w:t>
            </w:r>
          </w:p>
        </w:tc>
        <w:tc>
          <w:tcPr>
            <w:tcW w:w="1576" w:type="pct"/>
            <w:tcMar>
              <w:top w:w="10" w:type="dxa"/>
              <w:left w:w="10" w:type="dxa"/>
              <w:bottom w:w="0" w:type="dxa"/>
              <w:right w:w="10" w:type="dxa"/>
            </w:tcMar>
            <w:vAlign w:val="center"/>
          </w:tcPr>
          <w:p w14:paraId="5E419A2D">
            <w:pPr>
              <w:spacing w:line="240" w:lineRule="exact"/>
              <w:ind w:left="105" w:leftChars="50" w:right="105" w:rightChars="50"/>
              <w:jc w:val="center"/>
              <w:rPr>
                <w:rFonts w:hint="default" w:ascii="宋体" w:cs="宋体"/>
                <w:b/>
                <w:bCs/>
              </w:rPr>
            </w:pPr>
            <w:r>
              <w:rPr>
                <w:rFonts w:ascii="宋体" w:hAnsi="宋体" w:cs="宋体"/>
                <w:b/>
                <w:bCs/>
              </w:rPr>
              <w:t>指标解释</w:t>
            </w:r>
          </w:p>
        </w:tc>
        <w:tc>
          <w:tcPr>
            <w:tcW w:w="1867" w:type="pct"/>
            <w:tcMar>
              <w:top w:w="10" w:type="dxa"/>
              <w:left w:w="10" w:type="dxa"/>
              <w:bottom w:w="0" w:type="dxa"/>
              <w:right w:w="10" w:type="dxa"/>
            </w:tcMar>
            <w:vAlign w:val="center"/>
          </w:tcPr>
          <w:p w14:paraId="402482F8">
            <w:pPr>
              <w:spacing w:line="240" w:lineRule="exact"/>
              <w:ind w:left="105" w:leftChars="50" w:right="105" w:rightChars="50"/>
              <w:jc w:val="center"/>
              <w:rPr>
                <w:rFonts w:hint="default" w:ascii="宋体" w:cs="宋体"/>
                <w:b/>
                <w:bCs/>
              </w:rPr>
            </w:pPr>
            <w:r>
              <w:rPr>
                <w:rFonts w:ascii="宋体" w:hAnsi="宋体" w:cs="宋体"/>
                <w:b/>
                <w:bCs/>
              </w:rPr>
              <w:t>指标说明</w:t>
            </w:r>
          </w:p>
        </w:tc>
      </w:tr>
      <w:tr w14:paraId="2FFE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14:paraId="1B08C55D">
            <w:pPr>
              <w:spacing w:line="240" w:lineRule="exact"/>
              <w:jc w:val="center"/>
              <w:rPr>
                <w:rFonts w:hint="default" w:ascii="宋体" w:cs="宋体"/>
              </w:rPr>
            </w:pPr>
            <w:r>
              <w:rPr>
                <w:rFonts w:ascii="宋体" w:hAnsi="宋体" w:cs="宋体"/>
              </w:rPr>
              <w:t>投入（20分）</w:t>
            </w:r>
          </w:p>
        </w:tc>
        <w:tc>
          <w:tcPr>
            <w:tcW w:w="375" w:type="pct"/>
            <w:vMerge w:val="restart"/>
            <w:tcMar>
              <w:top w:w="10" w:type="dxa"/>
              <w:left w:w="10" w:type="dxa"/>
              <w:bottom w:w="0" w:type="dxa"/>
              <w:right w:w="10" w:type="dxa"/>
            </w:tcMar>
            <w:vAlign w:val="center"/>
          </w:tcPr>
          <w:p w14:paraId="30A2243D">
            <w:pPr>
              <w:spacing w:line="240" w:lineRule="exact"/>
              <w:jc w:val="center"/>
              <w:rPr>
                <w:rFonts w:hint="default" w:ascii="宋体" w:cs="宋体"/>
              </w:rPr>
            </w:pPr>
            <w:r>
              <w:rPr>
                <w:rFonts w:ascii="宋体" w:hAnsi="宋体" w:cs="宋体"/>
              </w:rPr>
              <w:t>目标</w:t>
            </w:r>
            <w:r>
              <w:rPr>
                <w:rFonts w:ascii="宋体" w:cs="宋体"/>
              </w:rPr>
              <w:br w:type="textWrapping"/>
            </w:r>
            <w:r>
              <w:rPr>
                <w:rFonts w:ascii="宋体" w:hAnsi="宋体" w:cs="宋体"/>
              </w:rPr>
              <w:t>设定（5分）</w:t>
            </w:r>
          </w:p>
        </w:tc>
        <w:tc>
          <w:tcPr>
            <w:tcW w:w="500" w:type="pct"/>
            <w:tcMar>
              <w:top w:w="10" w:type="dxa"/>
              <w:left w:w="10" w:type="dxa"/>
              <w:bottom w:w="0" w:type="dxa"/>
              <w:right w:w="10" w:type="dxa"/>
            </w:tcMar>
            <w:vAlign w:val="center"/>
          </w:tcPr>
          <w:p w14:paraId="20D91218">
            <w:pPr>
              <w:spacing w:line="240" w:lineRule="exact"/>
              <w:jc w:val="center"/>
              <w:rPr>
                <w:rFonts w:hint="default" w:ascii="宋体" w:cs="宋体"/>
              </w:rPr>
            </w:pPr>
            <w:r>
              <w:rPr>
                <w:rFonts w:ascii="宋体" w:hAnsi="宋体" w:cs="宋体"/>
              </w:rPr>
              <w:t>绩效目标</w:t>
            </w:r>
          </w:p>
          <w:p w14:paraId="5EA9679C">
            <w:pPr>
              <w:spacing w:line="240" w:lineRule="exact"/>
              <w:jc w:val="center"/>
              <w:rPr>
                <w:rFonts w:hint="default" w:ascii="宋体" w:cs="宋体"/>
              </w:rPr>
            </w:pPr>
            <w:r>
              <w:rPr>
                <w:rFonts w:ascii="宋体" w:hAnsi="宋体" w:cs="宋体"/>
              </w:rPr>
              <w:t>合理性（2分）</w:t>
            </w:r>
          </w:p>
        </w:tc>
        <w:tc>
          <w:tcPr>
            <w:tcW w:w="375" w:type="pct"/>
          </w:tcPr>
          <w:p w14:paraId="7E2D9130">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4BE23F68">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14:paraId="49D5288A">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①是否符合国家法律法规、国民经济和社会发展总体规划；</w:t>
            </w:r>
            <w:r>
              <w:rPr>
                <w:rFonts w:ascii="宋体" w:cs="宋体"/>
              </w:rPr>
              <w:br w:type="textWrapping"/>
            </w:r>
            <w:r>
              <w:rPr>
                <w:rFonts w:ascii="宋体" w:hAnsi="宋体" w:cs="宋体"/>
              </w:rPr>
              <w:t>②是否符合部门“三定”方案确定的职责；</w:t>
            </w:r>
            <w:r>
              <w:rPr>
                <w:rFonts w:ascii="宋体" w:cs="宋体"/>
              </w:rPr>
              <w:br w:type="textWrapping"/>
            </w:r>
            <w:r>
              <w:rPr>
                <w:rFonts w:ascii="宋体" w:hAnsi="宋体" w:cs="宋体"/>
              </w:rPr>
              <w:t>③是否符合部门制定的中长期实施规划。</w:t>
            </w:r>
          </w:p>
        </w:tc>
      </w:tr>
      <w:tr w14:paraId="597B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14:paraId="21CA68EA">
            <w:pPr>
              <w:spacing w:line="240" w:lineRule="exact"/>
              <w:rPr>
                <w:rFonts w:hint="default" w:ascii="宋体" w:cs="宋体"/>
              </w:rPr>
            </w:pPr>
          </w:p>
        </w:tc>
        <w:tc>
          <w:tcPr>
            <w:tcW w:w="375" w:type="pct"/>
            <w:vMerge w:val="continue"/>
            <w:vAlign w:val="center"/>
          </w:tcPr>
          <w:p w14:paraId="6148A010">
            <w:pPr>
              <w:spacing w:line="240" w:lineRule="exact"/>
              <w:rPr>
                <w:rFonts w:hint="default" w:ascii="宋体" w:cs="宋体"/>
              </w:rPr>
            </w:pPr>
          </w:p>
        </w:tc>
        <w:tc>
          <w:tcPr>
            <w:tcW w:w="500" w:type="pct"/>
            <w:tcMar>
              <w:top w:w="10" w:type="dxa"/>
              <w:left w:w="10" w:type="dxa"/>
              <w:bottom w:w="0" w:type="dxa"/>
              <w:right w:w="10" w:type="dxa"/>
            </w:tcMar>
            <w:vAlign w:val="center"/>
          </w:tcPr>
          <w:p w14:paraId="7C0A2F90">
            <w:pPr>
              <w:spacing w:line="240" w:lineRule="exact"/>
              <w:jc w:val="center"/>
              <w:rPr>
                <w:rFonts w:hint="default" w:ascii="宋体" w:cs="宋体"/>
              </w:rPr>
            </w:pPr>
            <w:r>
              <w:rPr>
                <w:rFonts w:ascii="宋体" w:hAnsi="宋体" w:cs="宋体"/>
              </w:rPr>
              <w:t>绩效指标</w:t>
            </w:r>
          </w:p>
          <w:p w14:paraId="074BE0B7">
            <w:pPr>
              <w:spacing w:line="240" w:lineRule="exact"/>
              <w:jc w:val="center"/>
              <w:rPr>
                <w:rFonts w:hint="default" w:ascii="宋体" w:cs="宋体"/>
              </w:rPr>
            </w:pPr>
            <w:r>
              <w:rPr>
                <w:rFonts w:ascii="宋体" w:hAnsi="宋体" w:cs="宋体"/>
              </w:rPr>
              <w:t>明确性（3分）</w:t>
            </w:r>
          </w:p>
        </w:tc>
        <w:tc>
          <w:tcPr>
            <w:tcW w:w="375" w:type="pct"/>
          </w:tcPr>
          <w:p w14:paraId="10643F08">
            <w:pPr>
              <w:tabs>
                <w:tab w:val="left" w:pos="2604"/>
              </w:tabs>
              <w:spacing w:line="240" w:lineRule="exact"/>
              <w:ind w:left="105" w:leftChars="50" w:right="105" w:rightChars="50" w:firstLine="96" w:firstLineChars="46"/>
              <w:rPr>
                <w:rFonts w:hint="default" w:ascii="宋体" w:cs="宋体"/>
              </w:rPr>
            </w:pPr>
            <w:r>
              <w:rPr>
                <w:rFonts w:ascii="宋体" w:cs="宋体"/>
              </w:rPr>
              <w:t>3</w:t>
            </w:r>
          </w:p>
        </w:tc>
        <w:tc>
          <w:tcPr>
            <w:tcW w:w="1576" w:type="pct"/>
            <w:tcMar>
              <w:top w:w="10" w:type="dxa"/>
              <w:left w:w="10" w:type="dxa"/>
              <w:bottom w:w="0" w:type="dxa"/>
              <w:right w:w="10" w:type="dxa"/>
            </w:tcMar>
            <w:vAlign w:val="center"/>
          </w:tcPr>
          <w:p w14:paraId="7344B8AA">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14:paraId="136D5E3A">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①是否将部门整体的绩效目标细化分解为具体的工作任务；</w:t>
            </w:r>
            <w:r>
              <w:rPr>
                <w:rFonts w:ascii="宋体" w:cs="宋体"/>
              </w:rPr>
              <w:br w:type="textWrapping"/>
            </w:r>
            <w:r>
              <w:rPr>
                <w:rFonts w:ascii="宋体" w:hAnsi="宋体" w:cs="宋体"/>
              </w:rPr>
              <w:t>②是否通过清晰、可衡量的指标值予以体现。③是否与部门年度的任务数或计划数相对应；</w:t>
            </w:r>
            <w:r>
              <w:rPr>
                <w:rFonts w:ascii="宋体" w:cs="宋体"/>
              </w:rPr>
              <w:br w:type="textWrapping"/>
            </w:r>
            <w:r>
              <w:rPr>
                <w:rFonts w:ascii="宋体" w:hAnsi="宋体" w:cs="宋体"/>
              </w:rPr>
              <w:t>④是否与本年度部门预算资金相匹配。</w:t>
            </w:r>
          </w:p>
        </w:tc>
      </w:tr>
      <w:tr w14:paraId="124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14:paraId="629575FE">
            <w:pPr>
              <w:spacing w:line="240" w:lineRule="exact"/>
              <w:rPr>
                <w:rFonts w:hint="default" w:ascii="宋体" w:cs="宋体"/>
              </w:rPr>
            </w:pPr>
          </w:p>
        </w:tc>
        <w:tc>
          <w:tcPr>
            <w:tcW w:w="375" w:type="pct"/>
            <w:vMerge w:val="restart"/>
            <w:tcMar>
              <w:top w:w="10" w:type="dxa"/>
              <w:left w:w="10" w:type="dxa"/>
              <w:bottom w:w="0" w:type="dxa"/>
              <w:right w:w="10" w:type="dxa"/>
            </w:tcMar>
            <w:vAlign w:val="center"/>
          </w:tcPr>
          <w:p w14:paraId="5492B19F">
            <w:pPr>
              <w:spacing w:line="240" w:lineRule="exact"/>
              <w:jc w:val="center"/>
              <w:rPr>
                <w:rFonts w:hint="default" w:ascii="宋体" w:cs="宋体"/>
              </w:rPr>
            </w:pPr>
            <w:r>
              <w:rPr>
                <w:rFonts w:ascii="宋体" w:hAnsi="宋体" w:cs="宋体"/>
              </w:rPr>
              <w:t>预算</w:t>
            </w:r>
            <w:r>
              <w:rPr>
                <w:rFonts w:ascii="宋体" w:cs="宋体"/>
              </w:rPr>
              <w:br w:type="textWrapping"/>
            </w:r>
            <w:r>
              <w:rPr>
                <w:rFonts w:ascii="宋体" w:hAnsi="宋体" w:cs="宋体"/>
              </w:rPr>
              <w:t>配置（15分）</w:t>
            </w:r>
          </w:p>
        </w:tc>
        <w:tc>
          <w:tcPr>
            <w:tcW w:w="500" w:type="pct"/>
            <w:tcMar>
              <w:top w:w="10" w:type="dxa"/>
              <w:left w:w="10" w:type="dxa"/>
              <w:bottom w:w="0" w:type="dxa"/>
              <w:right w:w="10" w:type="dxa"/>
            </w:tcMar>
            <w:vAlign w:val="center"/>
          </w:tcPr>
          <w:p w14:paraId="5A7B3750">
            <w:pPr>
              <w:spacing w:line="240" w:lineRule="exact"/>
              <w:jc w:val="center"/>
              <w:rPr>
                <w:rFonts w:hint="default" w:ascii="宋体" w:cs="宋体"/>
              </w:rPr>
            </w:pPr>
            <w:r>
              <w:rPr>
                <w:rFonts w:ascii="宋体" w:hAnsi="宋体" w:cs="宋体"/>
              </w:rPr>
              <w:t>在职人员</w:t>
            </w:r>
          </w:p>
          <w:p w14:paraId="5444631A">
            <w:pPr>
              <w:spacing w:line="240" w:lineRule="exact"/>
              <w:jc w:val="center"/>
              <w:rPr>
                <w:rFonts w:hint="default" w:ascii="宋体" w:cs="宋体"/>
              </w:rPr>
            </w:pPr>
            <w:r>
              <w:rPr>
                <w:rFonts w:ascii="宋体" w:hAnsi="宋体" w:cs="宋体"/>
              </w:rPr>
              <w:t>控制率（5分）</w:t>
            </w:r>
          </w:p>
        </w:tc>
        <w:tc>
          <w:tcPr>
            <w:tcW w:w="375" w:type="pct"/>
          </w:tcPr>
          <w:p w14:paraId="0C429C79">
            <w:pPr>
              <w:tabs>
                <w:tab w:val="left" w:pos="2604"/>
              </w:tabs>
              <w:spacing w:line="240" w:lineRule="exact"/>
              <w:ind w:left="105" w:leftChars="50" w:right="105" w:rightChars="50" w:firstLine="96" w:firstLineChars="46"/>
              <w:rPr>
                <w:rFonts w:hint="default" w:ascii="宋体" w:cs="宋体"/>
              </w:rPr>
            </w:pPr>
            <w:r>
              <w:rPr>
                <w:rFonts w:ascii="宋体" w:cs="宋体"/>
              </w:rPr>
              <w:t>5</w:t>
            </w:r>
          </w:p>
        </w:tc>
        <w:tc>
          <w:tcPr>
            <w:tcW w:w="1576" w:type="pct"/>
            <w:tcMar>
              <w:top w:w="10" w:type="dxa"/>
              <w:left w:w="10" w:type="dxa"/>
              <w:bottom w:w="0" w:type="dxa"/>
              <w:right w:w="10" w:type="dxa"/>
            </w:tcMar>
            <w:vAlign w:val="center"/>
          </w:tcPr>
          <w:p w14:paraId="24F4FA54">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14:paraId="12863412">
            <w:pPr>
              <w:spacing w:line="240" w:lineRule="exact"/>
              <w:ind w:left="105" w:leftChars="50" w:right="105" w:rightChars="50"/>
              <w:rPr>
                <w:rFonts w:hint="default" w:ascii="宋体" w:cs="宋体"/>
              </w:rPr>
            </w:pPr>
            <w:r>
              <w:rPr>
                <w:rFonts w:ascii="宋体" w:hAnsi="宋体" w:cs="宋体"/>
              </w:rPr>
              <w:t>在职人员控制率=（在职人员数/编制数）×100%。</w:t>
            </w:r>
            <w:r>
              <w:rPr>
                <w:rFonts w:ascii="宋体" w:cs="宋体"/>
              </w:rPr>
              <w:br w:type="textWrapping"/>
            </w:r>
            <w:r>
              <w:rPr>
                <w:rFonts w:ascii="宋体" w:hAnsi="宋体" w:cs="宋体"/>
              </w:rPr>
              <w:t>在职人员数：部门实际在职人数，以财政部确定的部门决算编制口径为准。</w:t>
            </w:r>
            <w:r>
              <w:rPr>
                <w:rFonts w:ascii="宋体" w:cs="宋体"/>
              </w:rPr>
              <w:br w:type="textWrapping"/>
            </w:r>
            <w:r>
              <w:rPr>
                <w:rFonts w:ascii="宋体" w:hAnsi="宋体" w:cs="宋体"/>
              </w:rPr>
              <w:t>编制数：机构编制部门核定批复的部门的人员编制数。</w:t>
            </w:r>
          </w:p>
        </w:tc>
      </w:tr>
      <w:tr w14:paraId="1D6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14:paraId="2A4E9CA0">
            <w:pPr>
              <w:spacing w:line="240" w:lineRule="exact"/>
              <w:rPr>
                <w:rFonts w:hint="default" w:ascii="宋体" w:cs="宋体"/>
              </w:rPr>
            </w:pPr>
          </w:p>
        </w:tc>
        <w:tc>
          <w:tcPr>
            <w:tcW w:w="375" w:type="pct"/>
            <w:vMerge w:val="continue"/>
            <w:vAlign w:val="center"/>
          </w:tcPr>
          <w:p w14:paraId="1FD0000E">
            <w:pPr>
              <w:spacing w:line="240" w:lineRule="exact"/>
              <w:rPr>
                <w:rFonts w:hint="default" w:ascii="宋体" w:cs="宋体"/>
              </w:rPr>
            </w:pPr>
          </w:p>
        </w:tc>
        <w:tc>
          <w:tcPr>
            <w:tcW w:w="500" w:type="pct"/>
            <w:tcMar>
              <w:top w:w="10" w:type="dxa"/>
              <w:left w:w="10" w:type="dxa"/>
              <w:bottom w:w="0" w:type="dxa"/>
              <w:right w:w="10" w:type="dxa"/>
            </w:tcMar>
            <w:vAlign w:val="center"/>
          </w:tcPr>
          <w:p w14:paraId="0365654E">
            <w:pPr>
              <w:spacing w:line="240" w:lineRule="exact"/>
              <w:jc w:val="center"/>
              <w:rPr>
                <w:rFonts w:hint="default" w:ascii="宋体" w:cs="宋体"/>
              </w:rPr>
            </w:pPr>
            <w:r>
              <w:rPr>
                <w:rFonts w:ascii="宋体" w:hAnsi="宋体" w:cs="宋体"/>
              </w:rPr>
              <w:t>“三公经费”</w:t>
            </w:r>
          </w:p>
          <w:p w14:paraId="393BD0E4">
            <w:pPr>
              <w:spacing w:line="240" w:lineRule="exact"/>
              <w:jc w:val="center"/>
              <w:rPr>
                <w:rFonts w:hint="default" w:ascii="宋体" w:cs="宋体"/>
              </w:rPr>
            </w:pPr>
            <w:r>
              <w:rPr>
                <w:rFonts w:ascii="宋体" w:hAnsi="宋体" w:cs="宋体"/>
              </w:rPr>
              <w:t>变动率（5分）</w:t>
            </w:r>
          </w:p>
        </w:tc>
        <w:tc>
          <w:tcPr>
            <w:tcW w:w="375" w:type="pct"/>
          </w:tcPr>
          <w:p w14:paraId="0C1AFA9B">
            <w:pPr>
              <w:tabs>
                <w:tab w:val="left" w:pos="2604"/>
              </w:tabs>
              <w:spacing w:line="240" w:lineRule="exact"/>
              <w:ind w:left="105" w:leftChars="50" w:right="105" w:rightChars="50" w:firstLine="96" w:firstLineChars="46"/>
              <w:rPr>
                <w:rFonts w:hint="default" w:ascii="宋体" w:cs="宋体"/>
              </w:rPr>
            </w:pPr>
            <w:r>
              <w:rPr>
                <w:rFonts w:ascii="宋体" w:cs="宋体"/>
              </w:rPr>
              <w:t>5</w:t>
            </w:r>
          </w:p>
        </w:tc>
        <w:tc>
          <w:tcPr>
            <w:tcW w:w="1576" w:type="pct"/>
            <w:tcMar>
              <w:top w:w="10" w:type="dxa"/>
              <w:left w:w="10" w:type="dxa"/>
              <w:bottom w:w="0" w:type="dxa"/>
              <w:right w:w="10" w:type="dxa"/>
            </w:tcMar>
            <w:vAlign w:val="center"/>
          </w:tcPr>
          <w:p w14:paraId="09E7F66A">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14:paraId="56B0925A">
            <w:pPr>
              <w:spacing w:line="240" w:lineRule="exact"/>
              <w:ind w:left="105" w:leftChars="50" w:right="105" w:rightChars="50"/>
              <w:rPr>
                <w:rFonts w:hint="default" w:ascii="宋体" w:cs="宋体"/>
              </w:rPr>
            </w:pPr>
            <w:r>
              <w:rPr>
                <w:rFonts w:ascii="宋体" w:hAnsi="宋体" w:cs="宋体"/>
              </w:rPr>
              <w:t>“三公经费”变动率=[（本年度“三公经费”总额</w:t>
            </w:r>
            <w:r>
              <w:rPr>
                <w:rFonts w:ascii="宋体" w:cs="宋体"/>
              </w:rPr>
              <w:t>-</w:t>
            </w:r>
            <w:r>
              <w:rPr>
                <w:rFonts w:ascii="宋体" w:hAnsi="宋体" w:cs="宋体"/>
              </w:rPr>
              <w:t>上年度“三公经费”总额）/上年度“三公经费”总额]×100%。</w:t>
            </w:r>
            <w:r>
              <w:rPr>
                <w:rFonts w:ascii="宋体" w:cs="宋体"/>
              </w:rPr>
              <w:br w:type="textWrapping"/>
            </w:r>
            <w:r>
              <w:rPr>
                <w:rFonts w:ascii="宋体" w:hAnsi="宋体" w:cs="宋体"/>
              </w:rPr>
              <w:t>“三公经费”：年度预算安排的因公出国（境）费、公务车辆购置及运行费和公务招待费。</w:t>
            </w:r>
          </w:p>
        </w:tc>
      </w:tr>
      <w:tr w14:paraId="7AD5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14:paraId="7773F4B7">
            <w:pPr>
              <w:spacing w:line="240" w:lineRule="exact"/>
              <w:rPr>
                <w:rFonts w:hint="default" w:ascii="宋体" w:cs="宋体"/>
              </w:rPr>
            </w:pPr>
          </w:p>
        </w:tc>
        <w:tc>
          <w:tcPr>
            <w:tcW w:w="375" w:type="pct"/>
            <w:vMerge w:val="continue"/>
            <w:vAlign w:val="center"/>
          </w:tcPr>
          <w:p w14:paraId="0A5DAA99">
            <w:pPr>
              <w:spacing w:line="240" w:lineRule="exact"/>
              <w:rPr>
                <w:rFonts w:hint="default" w:ascii="宋体" w:cs="宋体"/>
              </w:rPr>
            </w:pPr>
          </w:p>
        </w:tc>
        <w:tc>
          <w:tcPr>
            <w:tcW w:w="500" w:type="pct"/>
            <w:tcMar>
              <w:top w:w="10" w:type="dxa"/>
              <w:left w:w="10" w:type="dxa"/>
              <w:bottom w:w="0" w:type="dxa"/>
              <w:right w:w="10" w:type="dxa"/>
            </w:tcMar>
            <w:vAlign w:val="center"/>
          </w:tcPr>
          <w:p w14:paraId="3114BFAA">
            <w:pPr>
              <w:spacing w:line="240" w:lineRule="exact"/>
              <w:jc w:val="center"/>
              <w:rPr>
                <w:rFonts w:hint="default" w:ascii="宋体" w:cs="宋体"/>
              </w:rPr>
            </w:pPr>
            <w:r>
              <w:rPr>
                <w:rFonts w:ascii="宋体" w:hAnsi="宋体" w:cs="宋体"/>
              </w:rPr>
              <w:t>重点支出</w:t>
            </w:r>
          </w:p>
          <w:p w14:paraId="22E344D9">
            <w:pPr>
              <w:spacing w:line="240" w:lineRule="exact"/>
              <w:jc w:val="center"/>
              <w:rPr>
                <w:rFonts w:hint="default" w:ascii="宋体" w:cs="宋体"/>
              </w:rPr>
            </w:pPr>
            <w:r>
              <w:rPr>
                <w:rFonts w:ascii="宋体" w:hAnsi="宋体" w:cs="宋体"/>
              </w:rPr>
              <w:t>安排率（5分）</w:t>
            </w:r>
          </w:p>
        </w:tc>
        <w:tc>
          <w:tcPr>
            <w:tcW w:w="375" w:type="pct"/>
          </w:tcPr>
          <w:p w14:paraId="1AA48420">
            <w:pPr>
              <w:tabs>
                <w:tab w:val="left" w:pos="2604"/>
              </w:tabs>
              <w:spacing w:line="240" w:lineRule="exact"/>
              <w:ind w:left="105" w:leftChars="50" w:right="105" w:rightChars="50" w:firstLine="96" w:firstLineChars="46"/>
              <w:rPr>
                <w:rFonts w:hint="default" w:ascii="宋体" w:cs="宋体"/>
              </w:rPr>
            </w:pPr>
            <w:r>
              <w:rPr>
                <w:rFonts w:ascii="宋体" w:cs="宋体"/>
              </w:rPr>
              <w:t>5</w:t>
            </w:r>
          </w:p>
        </w:tc>
        <w:tc>
          <w:tcPr>
            <w:tcW w:w="1576" w:type="pct"/>
            <w:tcMar>
              <w:top w:w="10" w:type="dxa"/>
              <w:left w:w="10" w:type="dxa"/>
              <w:bottom w:w="0" w:type="dxa"/>
              <w:right w:w="10" w:type="dxa"/>
            </w:tcMar>
            <w:vAlign w:val="center"/>
          </w:tcPr>
          <w:p w14:paraId="76CECC3F">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14:paraId="22B9312B">
            <w:pPr>
              <w:spacing w:line="240" w:lineRule="exact"/>
              <w:ind w:left="105" w:leftChars="50" w:right="105" w:rightChars="50"/>
              <w:rPr>
                <w:rFonts w:hint="default" w:ascii="宋体" w:cs="宋体"/>
              </w:rPr>
            </w:pPr>
            <w:r>
              <w:rPr>
                <w:rFonts w:ascii="宋体" w:hAnsi="宋体" w:cs="宋体"/>
              </w:rPr>
              <w:t>重点支出安排率=（重点预算支出/预算总支出）×100%。</w:t>
            </w:r>
            <w:r>
              <w:rPr>
                <w:rFonts w:ascii="宋体" w:cs="宋体"/>
              </w:rPr>
              <w:br w:type="textWrapping"/>
            </w:r>
            <w:r>
              <w:rPr>
                <w:rFonts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ascii="宋体" w:hAnsi="宋体" w:cs="宋体"/>
              </w:rPr>
              <w:t>预算总支出：部门年度预算安排的预算支出支出总额。</w:t>
            </w:r>
          </w:p>
        </w:tc>
      </w:tr>
      <w:tr w14:paraId="0648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14:paraId="1AF3C18D">
            <w:pPr>
              <w:spacing w:line="240" w:lineRule="exact"/>
              <w:jc w:val="center"/>
              <w:rPr>
                <w:rFonts w:hint="default" w:ascii="宋体" w:cs="宋体"/>
              </w:rPr>
            </w:pPr>
            <w:r>
              <w:rPr>
                <w:rFonts w:ascii="宋体" w:hAnsi="宋体" w:cs="宋体"/>
              </w:rPr>
              <w:t>过程（30分）</w:t>
            </w:r>
          </w:p>
        </w:tc>
        <w:tc>
          <w:tcPr>
            <w:tcW w:w="375" w:type="pct"/>
            <w:vMerge w:val="restart"/>
            <w:tcMar>
              <w:top w:w="10" w:type="dxa"/>
              <w:left w:w="10" w:type="dxa"/>
              <w:bottom w:w="0" w:type="dxa"/>
              <w:right w:w="10" w:type="dxa"/>
            </w:tcMar>
            <w:vAlign w:val="center"/>
          </w:tcPr>
          <w:p w14:paraId="42F14AAC">
            <w:pPr>
              <w:spacing w:line="240" w:lineRule="exact"/>
              <w:jc w:val="center"/>
              <w:rPr>
                <w:rFonts w:hint="default" w:ascii="宋体" w:cs="宋体"/>
              </w:rPr>
            </w:pPr>
            <w:r>
              <w:rPr>
                <w:rFonts w:ascii="宋体" w:hAnsi="宋体" w:cs="宋体"/>
              </w:rPr>
              <w:t>预算</w:t>
            </w:r>
            <w:r>
              <w:rPr>
                <w:rFonts w:ascii="宋体" w:cs="宋体"/>
              </w:rPr>
              <w:br w:type="textWrapping"/>
            </w:r>
            <w:r>
              <w:rPr>
                <w:rFonts w:ascii="宋体" w:hAnsi="宋体" w:cs="宋体"/>
              </w:rPr>
              <w:t>执行（20分）</w:t>
            </w:r>
          </w:p>
        </w:tc>
        <w:tc>
          <w:tcPr>
            <w:tcW w:w="500" w:type="pct"/>
            <w:tcMar>
              <w:top w:w="10" w:type="dxa"/>
              <w:left w:w="10" w:type="dxa"/>
              <w:bottom w:w="0" w:type="dxa"/>
              <w:right w:w="10" w:type="dxa"/>
            </w:tcMar>
            <w:vAlign w:val="center"/>
          </w:tcPr>
          <w:p w14:paraId="268BC5CD">
            <w:pPr>
              <w:spacing w:line="240" w:lineRule="exact"/>
              <w:jc w:val="center"/>
              <w:rPr>
                <w:rFonts w:hint="default" w:ascii="宋体" w:cs="宋体"/>
              </w:rPr>
            </w:pPr>
            <w:r>
              <w:rPr>
                <w:rFonts w:ascii="宋体" w:hAnsi="宋体" w:cs="宋体"/>
              </w:rPr>
              <w:t>预算</w:t>
            </w:r>
          </w:p>
          <w:p w14:paraId="3FB35842">
            <w:pPr>
              <w:spacing w:line="240" w:lineRule="exact"/>
              <w:jc w:val="center"/>
              <w:rPr>
                <w:rFonts w:hint="default" w:ascii="宋体" w:cs="宋体"/>
              </w:rPr>
            </w:pPr>
            <w:r>
              <w:rPr>
                <w:rFonts w:ascii="宋体" w:hAnsi="宋体" w:cs="宋体"/>
              </w:rPr>
              <w:t>执行率（4分）</w:t>
            </w:r>
          </w:p>
        </w:tc>
        <w:tc>
          <w:tcPr>
            <w:tcW w:w="375" w:type="pct"/>
          </w:tcPr>
          <w:p w14:paraId="092A6809">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1345810D">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14:paraId="0F0E479C">
            <w:pPr>
              <w:spacing w:line="240" w:lineRule="exact"/>
              <w:ind w:left="105" w:leftChars="50" w:right="105" w:rightChars="50"/>
              <w:rPr>
                <w:rFonts w:hint="default" w:ascii="宋体" w:cs="宋体"/>
              </w:rPr>
            </w:pPr>
            <w:r>
              <w:rPr>
                <w:rFonts w:ascii="宋体" w:hAnsi="宋体" w:cs="宋体"/>
              </w:rPr>
              <w:t>预算执行率=（预算执行数/预算数）×100%。</w:t>
            </w:r>
            <w:r>
              <w:rPr>
                <w:rFonts w:ascii="宋体" w:cs="宋体"/>
              </w:rPr>
              <w:br w:type="textWrapping"/>
            </w:r>
            <w:r>
              <w:rPr>
                <w:rFonts w:ascii="宋体" w:hAnsi="宋体" w:cs="宋体"/>
              </w:rPr>
              <w:t>预算执行数：部门本年度实际完成的预算数。</w:t>
            </w:r>
            <w:r>
              <w:rPr>
                <w:rFonts w:ascii="宋体" w:cs="宋体"/>
              </w:rPr>
              <w:br w:type="textWrapping"/>
            </w:r>
            <w:r>
              <w:rPr>
                <w:rFonts w:ascii="宋体" w:hAnsi="宋体" w:cs="宋体"/>
              </w:rPr>
              <w:t>预算数：财政部门批复的本年度部门预算数。</w:t>
            </w:r>
          </w:p>
        </w:tc>
      </w:tr>
      <w:tr w14:paraId="50DE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14:paraId="4ED7C684">
            <w:pPr>
              <w:spacing w:line="240" w:lineRule="exact"/>
              <w:jc w:val="center"/>
              <w:rPr>
                <w:rFonts w:hint="default" w:ascii="宋体" w:cs="宋体"/>
              </w:rPr>
            </w:pPr>
          </w:p>
        </w:tc>
        <w:tc>
          <w:tcPr>
            <w:tcW w:w="375" w:type="pct"/>
            <w:vMerge w:val="continue"/>
            <w:vAlign w:val="center"/>
          </w:tcPr>
          <w:p w14:paraId="634C1B92">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5060E59C">
            <w:pPr>
              <w:spacing w:line="240" w:lineRule="exact"/>
              <w:jc w:val="center"/>
              <w:rPr>
                <w:rFonts w:hint="default" w:ascii="宋体" w:cs="宋体"/>
              </w:rPr>
            </w:pPr>
            <w:r>
              <w:rPr>
                <w:rFonts w:ascii="宋体" w:hAnsi="宋体" w:cs="宋体"/>
              </w:rPr>
              <w:t>预算</w:t>
            </w:r>
          </w:p>
          <w:p w14:paraId="037198B5">
            <w:pPr>
              <w:spacing w:line="240" w:lineRule="exact"/>
              <w:jc w:val="center"/>
              <w:rPr>
                <w:rFonts w:hint="default" w:ascii="宋体" w:cs="宋体"/>
              </w:rPr>
            </w:pPr>
            <w:r>
              <w:rPr>
                <w:rFonts w:ascii="宋体" w:hAnsi="宋体" w:cs="宋体"/>
              </w:rPr>
              <w:t>调整率（2分）</w:t>
            </w:r>
          </w:p>
        </w:tc>
        <w:tc>
          <w:tcPr>
            <w:tcW w:w="375" w:type="pct"/>
          </w:tcPr>
          <w:p w14:paraId="4C993BBA">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471359DA">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14:paraId="08AE9A3A">
            <w:pPr>
              <w:spacing w:line="240" w:lineRule="exact"/>
              <w:ind w:left="105" w:leftChars="50" w:right="105" w:rightChars="50"/>
              <w:rPr>
                <w:rFonts w:hint="default" w:ascii="宋体" w:cs="宋体"/>
              </w:rPr>
            </w:pPr>
            <w:r>
              <w:rPr>
                <w:rFonts w:ascii="宋体" w:hAnsi="宋体" w:cs="宋体"/>
              </w:rPr>
              <w:t>预算调整率=（预算调整数/预算数）×100%。</w:t>
            </w:r>
            <w:r>
              <w:rPr>
                <w:rFonts w:ascii="宋体" w:cs="宋体"/>
              </w:rPr>
              <w:br w:type="textWrapping"/>
            </w:r>
            <w:r>
              <w:rPr>
                <w:rFonts w:ascii="宋体" w:hAnsi="宋体" w:cs="宋体"/>
              </w:rPr>
              <w:t>预算调整数：部门在本年度内涉及预算的追加、追减或结构调整的资金总和（因落实国家政策、发生不可抗力、上级部门或本级党委政府临时交办而产生的调整除外）。</w:t>
            </w:r>
          </w:p>
        </w:tc>
      </w:tr>
      <w:tr w14:paraId="007C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14:paraId="7E4F423D">
            <w:pPr>
              <w:spacing w:line="240" w:lineRule="exact"/>
              <w:jc w:val="center"/>
              <w:rPr>
                <w:rFonts w:hint="default" w:ascii="宋体" w:cs="宋体"/>
              </w:rPr>
            </w:pPr>
          </w:p>
        </w:tc>
        <w:tc>
          <w:tcPr>
            <w:tcW w:w="375" w:type="pct"/>
            <w:vMerge w:val="continue"/>
            <w:vAlign w:val="center"/>
          </w:tcPr>
          <w:p w14:paraId="2B566BA4">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32450AA7">
            <w:pPr>
              <w:spacing w:line="240" w:lineRule="exact"/>
              <w:jc w:val="center"/>
              <w:rPr>
                <w:rFonts w:hint="default" w:ascii="宋体" w:cs="宋体"/>
              </w:rPr>
            </w:pPr>
            <w:r>
              <w:rPr>
                <w:rFonts w:ascii="宋体" w:hAnsi="宋体" w:cs="宋体"/>
              </w:rPr>
              <w:t>支付</w:t>
            </w:r>
          </w:p>
          <w:p w14:paraId="7A445041">
            <w:pPr>
              <w:spacing w:line="240" w:lineRule="exact"/>
              <w:jc w:val="center"/>
              <w:rPr>
                <w:rFonts w:hint="default" w:ascii="宋体" w:cs="宋体"/>
              </w:rPr>
            </w:pPr>
            <w:r>
              <w:rPr>
                <w:rFonts w:ascii="宋体" w:hAnsi="宋体" w:cs="宋体"/>
              </w:rPr>
              <w:t>进度率（2分）</w:t>
            </w:r>
          </w:p>
        </w:tc>
        <w:tc>
          <w:tcPr>
            <w:tcW w:w="375" w:type="pct"/>
          </w:tcPr>
          <w:p w14:paraId="3ED34E63">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01B4D3E8">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14:paraId="79AB17C0">
            <w:pPr>
              <w:spacing w:line="240" w:lineRule="exact"/>
              <w:ind w:left="105" w:leftChars="50" w:right="105" w:rightChars="50"/>
              <w:rPr>
                <w:rFonts w:hint="default" w:ascii="宋体" w:cs="宋体"/>
              </w:rPr>
            </w:pPr>
            <w:r>
              <w:rPr>
                <w:rFonts w:ascii="宋体" w:hAnsi="宋体" w:cs="宋体"/>
              </w:rPr>
              <w:t>支付进度率=（实际支付进度/既定支付进度）×100%。</w:t>
            </w:r>
            <w:r>
              <w:rPr>
                <w:rFonts w:ascii="宋体" w:cs="宋体"/>
              </w:rPr>
              <w:br w:type="textWrapping"/>
            </w:r>
            <w:r>
              <w:rPr>
                <w:rFonts w:ascii="宋体" w:hAnsi="宋体" w:cs="宋体"/>
              </w:rPr>
              <w:t>实际支付进度：部门在某一时点的支出预算执行总数与年度支出预算数的比率。</w:t>
            </w:r>
            <w:r>
              <w:rPr>
                <w:rFonts w:ascii="宋体" w:cs="宋体"/>
              </w:rPr>
              <w:br w:type="textWrapping"/>
            </w:r>
            <w:r>
              <w:rPr>
                <w:rFonts w:ascii="宋体" w:hAnsi="宋体" w:cs="宋体"/>
              </w:rPr>
              <w:t>既定支付进度：由部门在申报部门整体绩效目标时，参照序时支付进度、前三年支付进度、本级部门平均支付进度水平等确定的，在某一时点应达到的支付进度（比率）。</w:t>
            </w:r>
          </w:p>
        </w:tc>
      </w:tr>
      <w:tr w14:paraId="1E59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14:paraId="0051A2E8">
            <w:pPr>
              <w:spacing w:line="240" w:lineRule="exact"/>
              <w:jc w:val="center"/>
              <w:rPr>
                <w:rFonts w:hint="default" w:ascii="宋体" w:cs="宋体"/>
              </w:rPr>
            </w:pPr>
          </w:p>
        </w:tc>
        <w:tc>
          <w:tcPr>
            <w:tcW w:w="375" w:type="pct"/>
            <w:vMerge w:val="continue"/>
            <w:tcMar>
              <w:top w:w="10" w:type="dxa"/>
              <w:left w:w="10" w:type="dxa"/>
              <w:bottom w:w="0" w:type="dxa"/>
              <w:right w:w="10" w:type="dxa"/>
            </w:tcMar>
            <w:vAlign w:val="center"/>
          </w:tcPr>
          <w:p w14:paraId="0561AA08">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07B0A7BD">
            <w:pPr>
              <w:spacing w:line="240" w:lineRule="exact"/>
              <w:jc w:val="center"/>
              <w:rPr>
                <w:rFonts w:hint="default" w:ascii="宋体" w:cs="宋体"/>
              </w:rPr>
            </w:pPr>
            <w:r>
              <w:rPr>
                <w:rFonts w:ascii="宋体" w:hAnsi="宋体" w:cs="宋体"/>
              </w:rPr>
              <w:t>结转</w:t>
            </w:r>
          </w:p>
          <w:p w14:paraId="17269F4C">
            <w:pPr>
              <w:spacing w:line="240" w:lineRule="exact"/>
              <w:jc w:val="center"/>
              <w:rPr>
                <w:rFonts w:hint="default" w:ascii="宋体" w:cs="宋体"/>
              </w:rPr>
            </w:pPr>
            <w:r>
              <w:rPr>
                <w:rFonts w:ascii="宋体" w:hAnsi="宋体" w:cs="宋体"/>
              </w:rPr>
              <w:t>结余率（2分）</w:t>
            </w:r>
          </w:p>
        </w:tc>
        <w:tc>
          <w:tcPr>
            <w:tcW w:w="375" w:type="pct"/>
          </w:tcPr>
          <w:p w14:paraId="1E7F7362">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29715BFE">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14:paraId="4C7EB7F9">
            <w:pPr>
              <w:spacing w:line="240" w:lineRule="exact"/>
              <w:ind w:left="105" w:leftChars="50" w:right="105" w:rightChars="50"/>
              <w:rPr>
                <w:rFonts w:hint="default" w:ascii="宋体" w:cs="宋体"/>
              </w:rPr>
            </w:pPr>
            <w:r>
              <w:rPr>
                <w:rFonts w:ascii="宋体" w:hAnsi="宋体" w:cs="宋体"/>
              </w:rPr>
              <w:t>结转结余率=结转结余总额/支出预算数×100%。</w:t>
            </w:r>
            <w:r>
              <w:rPr>
                <w:rFonts w:ascii="宋体" w:cs="宋体"/>
              </w:rPr>
              <w:br w:type="textWrapping"/>
            </w:r>
            <w:r>
              <w:rPr>
                <w:rFonts w:ascii="宋体" w:hAnsi="宋体" w:cs="宋体"/>
              </w:rPr>
              <w:t>结转结余总额：部门本年度的结转资金与结余资金之和（以决算数为准）。</w:t>
            </w:r>
          </w:p>
        </w:tc>
      </w:tr>
      <w:tr w14:paraId="710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14:paraId="423DC6E7">
            <w:pPr>
              <w:spacing w:line="240" w:lineRule="exact"/>
              <w:jc w:val="center"/>
              <w:rPr>
                <w:rFonts w:hint="default" w:ascii="宋体" w:cs="宋体"/>
              </w:rPr>
            </w:pPr>
          </w:p>
        </w:tc>
        <w:tc>
          <w:tcPr>
            <w:tcW w:w="375" w:type="pct"/>
            <w:vMerge w:val="continue"/>
            <w:vAlign w:val="center"/>
          </w:tcPr>
          <w:p w14:paraId="73E42F87">
            <w:pPr>
              <w:spacing w:line="240" w:lineRule="exact"/>
              <w:rPr>
                <w:rFonts w:hint="default" w:ascii="宋体" w:cs="宋体"/>
              </w:rPr>
            </w:pPr>
          </w:p>
        </w:tc>
        <w:tc>
          <w:tcPr>
            <w:tcW w:w="500" w:type="pct"/>
            <w:tcMar>
              <w:top w:w="10" w:type="dxa"/>
              <w:left w:w="10" w:type="dxa"/>
              <w:bottom w:w="0" w:type="dxa"/>
              <w:right w:w="10" w:type="dxa"/>
            </w:tcMar>
            <w:vAlign w:val="center"/>
          </w:tcPr>
          <w:p w14:paraId="43089002">
            <w:pPr>
              <w:spacing w:line="240" w:lineRule="exact"/>
              <w:jc w:val="center"/>
              <w:rPr>
                <w:rFonts w:hint="default" w:ascii="宋体" w:cs="宋体"/>
              </w:rPr>
            </w:pPr>
            <w:r>
              <w:rPr>
                <w:rFonts w:ascii="宋体" w:hAnsi="宋体" w:cs="宋体"/>
              </w:rPr>
              <w:t>结转结余</w:t>
            </w:r>
          </w:p>
          <w:p w14:paraId="1478C283">
            <w:pPr>
              <w:spacing w:line="240" w:lineRule="exact"/>
              <w:jc w:val="center"/>
              <w:rPr>
                <w:rFonts w:hint="default" w:ascii="宋体" w:cs="宋体"/>
              </w:rPr>
            </w:pPr>
            <w:r>
              <w:rPr>
                <w:rFonts w:ascii="宋体" w:hAnsi="宋体" w:cs="宋体"/>
              </w:rPr>
              <w:t>变动率（2分）</w:t>
            </w:r>
          </w:p>
        </w:tc>
        <w:tc>
          <w:tcPr>
            <w:tcW w:w="375" w:type="pct"/>
          </w:tcPr>
          <w:p w14:paraId="6180E475">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570D751D">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14:paraId="438C522D">
            <w:pPr>
              <w:spacing w:line="240" w:lineRule="exact"/>
              <w:ind w:left="105" w:leftChars="50" w:right="105" w:rightChars="50"/>
              <w:rPr>
                <w:rFonts w:hint="default" w:ascii="宋体" w:cs="宋体"/>
              </w:rPr>
            </w:pPr>
            <w:r>
              <w:rPr>
                <w:rFonts w:ascii="宋体" w:hAnsi="宋体" w:cs="宋体"/>
              </w:rPr>
              <w:t>结转结余变动率=[（本年度累计结转结余资金总额</w:t>
            </w:r>
            <w:r>
              <w:rPr>
                <w:rFonts w:ascii="宋体" w:cs="宋体"/>
              </w:rPr>
              <w:t>-</w:t>
            </w:r>
            <w:r>
              <w:rPr>
                <w:rFonts w:ascii="宋体" w:hAnsi="宋体" w:cs="宋体"/>
              </w:rPr>
              <w:t>上年度累计结转结余资金总额）/上年度累计结转结余资金总额]×100%。</w:t>
            </w:r>
          </w:p>
        </w:tc>
      </w:tr>
      <w:tr w14:paraId="407E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14:paraId="4EC78E07">
            <w:pPr>
              <w:spacing w:line="240" w:lineRule="exact"/>
              <w:jc w:val="center"/>
              <w:rPr>
                <w:rFonts w:hint="default" w:ascii="宋体" w:cs="宋体"/>
              </w:rPr>
            </w:pPr>
          </w:p>
        </w:tc>
        <w:tc>
          <w:tcPr>
            <w:tcW w:w="375" w:type="pct"/>
            <w:vMerge w:val="continue"/>
            <w:vAlign w:val="center"/>
          </w:tcPr>
          <w:p w14:paraId="5E0DE30B">
            <w:pPr>
              <w:spacing w:line="240" w:lineRule="exact"/>
              <w:rPr>
                <w:rFonts w:hint="default" w:ascii="宋体" w:cs="宋体"/>
              </w:rPr>
            </w:pPr>
          </w:p>
        </w:tc>
        <w:tc>
          <w:tcPr>
            <w:tcW w:w="500" w:type="pct"/>
            <w:tcMar>
              <w:top w:w="10" w:type="dxa"/>
              <w:left w:w="10" w:type="dxa"/>
              <w:bottom w:w="0" w:type="dxa"/>
              <w:right w:w="10" w:type="dxa"/>
            </w:tcMar>
            <w:vAlign w:val="center"/>
          </w:tcPr>
          <w:p w14:paraId="39F84497">
            <w:pPr>
              <w:spacing w:line="240" w:lineRule="exact"/>
              <w:jc w:val="center"/>
              <w:rPr>
                <w:rFonts w:hint="default" w:ascii="宋体" w:cs="宋体"/>
              </w:rPr>
            </w:pPr>
            <w:r>
              <w:rPr>
                <w:rFonts w:ascii="宋体" w:hAnsi="宋体" w:cs="宋体"/>
              </w:rPr>
              <w:t>公用经费</w:t>
            </w:r>
          </w:p>
          <w:p w14:paraId="355A92FA">
            <w:pPr>
              <w:spacing w:line="240" w:lineRule="exact"/>
              <w:jc w:val="center"/>
              <w:rPr>
                <w:rFonts w:hint="default" w:ascii="宋体" w:cs="宋体"/>
              </w:rPr>
            </w:pPr>
            <w:r>
              <w:rPr>
                <w:rFonts w:ascii="宋体" w:hAnsi="宋体" w:cs="宋体"/>
              </w:rPr>
              <w:t>控制率（2分）</w:t>
            </w:r>
          </w:p>
        </w:tc>
        <w:tc>
          <w:tcPr>
            <w:tcW w:w="375" w:type="pct"/>
          </w:tcPr>
          <w:p w14:paraId="49EBC2B3">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13D0DD93">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14:paraId="3394CA0C">
            <w:pPr>
              <w:spacing w:line="240" w:lineRule="exact"/>
              <w:ind w:left="105" w:leftChars="50" w:right="105" w:rightChars="50"/>
              <w:rPr>
                <w:rFonts w:hint="default" w:ascii="宋体" w:cs="宋体"/>
              </w:rPr>
            </w:pPr>
            <w:r>
              <w:rPr>
                <w:rFonts w:ascii="宋体" w:hAnsi="宋体" w:cs="宋体"/>
              </w:rPr>
              <w:t>公用经费控制率=（实际支出公用经费总额/预算安排公用经费总额）×100%。</w:t>
            </w:r>
          </w:p>
        </w:tc>
      </w:tr>
      <w:tr w14:paraId="22B4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14:paraId="554D9E7B">
            <w:pPr>
              <w:spacing w:line="240" w:lineRule="exact"/>
              <w:jc w:val="center"/>
              <w:rPr>
                <w:rFonts w:hint="default" w:ascii="宋体" w:cs="宋体"/>
              </w:rPr>
            </w:pPr>
          </w:p>
        </w:tc>
        <w:tc>
          <w:tcPr>
            <w:tcW w:w="375" w:type="pct"/>
            <w:vMerge w:val="continue"/>
            <w:vAlign w:val="center"/>
          </w:tcPr>
          <w:p w14:paraId="08A06272">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5DDC1DEA">
            <w:pPr>
              <w:spacing w:line="240" w:lineRule="exact"/>
              <w:jc w:val="center"/>
              <w:rPr>
                <w:rFonts w:hint="default" w:ascii="宋体" w:cs="宋体"/>
              </w:rPr>
            </w:pPr>
            <w:r>
              <w:rPr>
                <w:rFonts w:ascii="宋体" w:hAnsi="宋体" w:cs="宋体"/>
              </w:rPr>
              <w:t>“三公经费”控制率（2分）</w:t>
            </w:r>
          </w:p>
        </w:tc>
        <w:tc>
          <w:tcPr>
            <w:tcW w:w="375" w:type="pct"/>
          </w:tcPr>
          <w:p w14:paraId="30EDC29E">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2B0CFAAB">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14:paraId="69110067">
            <w:pPr>
              <w:spacing w:line="240" w:lineRule="exact"/>
              <w:ind w:left="105" w:leftChars="50" w:right="105" w:rightChars="50"/>
              <w:rPr>
                <w:rFonts w:hint="default" w:ascii="宋体" w:cs="宋体"/>
              </w:rPr>
            </w:pPr>
            <w:r>
              <w:rPr>
                <w:rFonts w:ascii="宋体" w:hAnsi="宋体" w:cs="宋体"/>
              </w:rPr>
              <w:t>“三公经费”控制率=（“三公经费”实际支出数/“三公经费”预算安排数）×100%。</w:t>
            </w:r>
          </w:p>
        </w:tc>
      </w:tr>
      <w:tr w14:paraId="0FA7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14:paraId="44D5CF8E">
            <w:pPr>
              <w:spacing w:line="240" w:lineRule="exact"/>
              <w:jc w:val="center"/>
              <w:rPr>
                <w:rFonts w:hint="default" w:ascii="宋体" w:cs="宋体"/>
              </w:rPr>
            </w:pPr>
          </w:p>
        </w:tc>
        <w:tc>
          <w:tcPr>
            <w:tcW w:w="375" w:type="pct"/>
            <w:vMerge w:val="continue"/>
            <w:vAlign w:val="center"/>
          </w:tcPr>
          <w:p w14:paraId="570E1A0E">
            <w:pPr>
              <w:spacing w:line="240" w:lineRule="exact"/>
              <w:rPr>
                <w:rFonts w:hint="default" w:ascii="宋体" w:cs="宋体"/>
              </w:rPr>
            </w:pPr>
          </w:p>
        </w:tc>
        <w:tc>
          <w:tcPr>
            <w:tcW w:w="500" w:type="pct"/>
            <w:tcMar>
              <w:top w:w="10" w:type="dxa"/>
              <w:left w:w="10" w:type="dxa"/>
              <w:bottom w:w="0" w:type="dxa"/>
              <w:right w:w="10" w:type="dxa"/>
            </w:tcMar>
            <w:vAlign w:val="center"/>
          </w:tcPr>
          <w:p w14:paraId="3E8BEE46">
            <w:pPr>
              <w:spacing w:line="240" w:lineRule="exact"/>
              <w:jc w:val="center"/>
              <w:rPr>
                <w:rFonts w:hint="default" w:ascii="宋体" w:cs="宋体"/>
              </w:rPr>
            </w:pPr>
            <w:r>
              <w:rPr>
                <w:rFonts w:ascii="宋体" w:hAnsi="宋体" w:cs="宋体"/>
              </w:rPr>
              <w:t>政府采购</w:t>
            </w:r>
          </w:p>
          <w:p w14:paraId="77B043A5">
            <w:pPr>
              <w:spacing w:line="240" w:lineRule="exact"/>
              <w:jc w:val="center"/>
              <w:rPr>
                <w:rFonts w:hint="default" w:ascii="宋体" w:cs="宋体"/>
              </w:rPr>
            </w:pPr>
            <w:r>
              <w:rPr>
                <w:rFonts w:ascii="宋体" w:hAnsi="宋体" w:cs="宋体"/>
              </w:rPr>
              <w:t>执行率（4分）</w:t>
            </w:r>
          </w:p>
        </w:tc>
        <w:tc>
          <w:tcPr>
            <w:tcW w:w="375" w:type="pct"/>
          </w:tcPr>
          <w:p w14:paraId="2DF7F4FD">
            <w:pPr>
              <w:tabs>
                <w:tab w:val="left" w:pos="2604"/>
              </w:tabs>
              <w:spacing w:line="240" w:lineRule="exact"/>
              <w:ind w:left="105" w:leftChars="50" w:right="105" w:rightChars="50" w:firstLine="96" w:firstLineChars="46"/>
              <w:rPr>
                <w:rFonts w:hint="default" w:ascii="宋体" w:cs="宋体"/>
              </w:rPr>
            </w:pPr>
            <w:r>
              <w:rPr>
                <w:rFonts w:ascii="宋体" w:cs="宋体"/>
              </w:rPr>
              <w:t>3.5</w:t>
            </w:r>
          </w:p>
        </w:tc>
        <w:tc>
          <w:tcPr>
            <w:tcW w:w="1576" w:type="pct"/>
            <w:tcMar>
              <w:top w:w="10" w:type="dxa"/>
              <w:left w:w="10" w:type="dxa"/>
              <w:bottom w:w="0" w:type="dxa"/>
              <w:right w:w="10" w:type="dxa"/>
            </w:tcMar>
            <w:vAlign w:val="center"/>
          </w:tcPr>
          <w:p w14:paraId="7F08C30A">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14:paraId="34B06DC6">
            <w:pPr>
              <w:spacing w:line="240" w:lineRule="exact"/>
              <w:ind w:left="105" w:leftChars="50" w:right="105" w:rightChars="50"/>
              <w:rPr>
                <w:rFonts w:hint="default" w:ascii="宋体" w:cs="宋体"/>
              </w:rPr>
            </w:pPr>
            <w:r>
              <w:rPr>
                <w:rFonts w:ascii="宋体" w:hAnsi="宋体" w:cs="宋体"/>
              </w:rPr>
              <w:t>政府采购执行率=（实际政府采购金额/政府采购预算数）×100%；</w:t>
            </w:r>
            <w:r>
              <w:rPr>
                <w:rFonts w:ascii="宋体" w:cs="宋体"/>
              </w:rPr>
              <w:br w:type="textWrapping"/>
            </w:r>
            <w:r>
              <w:rPr>
                <w:rFonts w:ascii="宋体" w:hAnsi="宋体" w:cs="宋体"/>
              </w:rPr>
              <w:t>政府采购预算：采购机关根据事业发展计划和行政任务编制的、并经过规定程序批准的年度政府采购计划。</w:t>
            </w:r>
          </w:p>
        </w:tc>
      </w:tr>
      <w:tr w14:paraId="194D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14:paraId="448DF17C">
            <w:pPr>
              <w:spacing w:line="240" w:lineRule="exact"/>
              <w:jc w:val="center"/>
              <w:rPr>
                <w:rFonts w:hint="default" w:ascii="宋体" w:cs="宋体"/>
              </w:rPr>
            </w:pPr>
            <w:r>
              <w:rPr>
                <w:rFonts w:ascii="宋体" w:hAnsi="宋体" w:cs="宋体"/>
              </w:rPr>
              <w:t>过</w:t>
            </w:r>
          </w:p>
          <w:p w14:paraId="7749423E">
            <w:pPr>
              <w:spacing w:line="240" w:lineRule="exact"/>
              <w:jc w:val="center"/>
              <w:rPr>
                <w:rFonts w:hint="default" w:ascii="宋体" w:cs="宋体"/>
              </w:rPr>
            </w:pPr>
            <w:r>
              <w:rPr>
                <w:rFonts w:ascii="宋体" w:hAnsi="宋体" w:cs="宋体"/>
              </w:rPr>
              <w:t>程（30分）</w:t>
            </w:r>
          </w:p>
        </w:tc>
        <w:tc>
          <w:tcPr>
            <w:tcW w:w="375" w:type="pct"/>
            <w:vMerge w:val="restart"/>
            <w:tcMar>
              <w:top w:w="10" w:type="dxa"/>
              <w:left w:w="10" w:type="dxa"/>
              <w:bottom w:w="0" w:type="dxa"/>
              <w:right w:w="10" w:type="dxa"/>
            </w:tcMar>
            <w:vAlign w:val="center"/>
          </w:tcPr>
          <w:p w14:paraId="5F7397A9">
            <w:pPr>
              <w:spacing w:line="240" w:lineRule="exact"/>
              <w:jc w:val="center"/>
              <w:rPr>
                <w:rFonts w:hint="default" w:ascii="宋体" w:cs="宋体"/>
              </w:rPr>
            </w:pPr>
            <w:r>
              <w:rPr>
                <w:rFonts w:ascii="宋体" w:hAnsi="宋体" w:cs="宋体"/>
              </w:rPr>
              <w:t>预算</w:t>
            </w:r>
            <w:r>
              <w:rPr>
                <w:rFonts w:ascii="宋体" w:cs="宋体"/>
              </w:rPr>
              <w:br w:type="textWrapping"/>
            </w:r>
            <w:r>
              <w:rPr>
                <w:rFonts w:ascii="宋体" w:hAnsi="宋体" w:cs="宋体"/>
              </w:rPr>
              <w:t>管理（5分）</w:t>
            </w:r>
          </w:p>
          <w:p w14:paraId="7DB1952C">
            <w:pPr>
              <w:spacing w:line="240" w:lineRule="exact"/>
              <w:jc w:val="center"/>
              <w:rPr>
                <w:rFonts w:hint="default" w:ascii="宋体" w:cs="宋体"/>
              </w:rPr>
            </w:pPr>
            <w:r>
              <w:rPr>
                <w:rFonts w:ascii="宋体" w:hAnsi="宋体" w:cs="宋体"/>
              </w:rPr>
              <w:t>）</w:t>
            </w:r>
          </w:p>
        </w:tc>
        <w:tc>
          <w:tcPr>
            <w:tcW w:w="500" w:type="pct"/>
            <w:tcMar>
              <w:top w:w="10" w:type="dxa"/>
              <w:left w:w="10" w:type="dxa"/>
              <w:bottom w:w="0" w:type="dxa"/>
              <w:right w:w="10" w:type="dxa"/>
            </w:tcMar>
            <w:vAlign w:val="center"/>
          </w:tcPr>
          <w:p w14:paraId="43D64288">
            <w:pPr>
              <w:spacing w:line="240" w:lineRule="exact"/>
              <w:jc w:val="center"/>
              <w:rPr>
                <w:rFonts w:hint="default" w:ascii="宋体" w:cs="宋体"/>
              </w:rPr>
            </w:pPr>
            <w:r>
              <w:rPr>
                <w:rFonts w:ascii="宋体" w:hAnsi="宋体" w:cs="宋体"/>
              </w:rPr>
              <w:t>管理制度</w:t>
            </w:r>
          </w:p>
          <w:p w14:paraId="7D6BB419">
            <w:pPr>
              <w:spacing w:line="240" w:lineRule="exact"/>
              <w:jc w:val="center"/>
              <w:rPr>
                <w:rFonts w:hint="default" w:ascii="宋体" w:cs="宋体"/>
              </w:rPr>
            </w:pPr>
            <w:r>
              <w:rPr>
                <w:rFonts w:ascii="宋体" w:hAnsi="宋体" w:cs="宋体"/>
              </w:rPr>
              <w:t>健全性（2分）</w:t>
            </w:r>
          </w:p>
        </w:tc>
        <w:tc>
          <w:tcPr>
            <w:tcW w:w="375" w:type="pct"/>
          </w:tcPr>
          <w:p w14:paraId="39501AA5">
            <w:pPr>
              <w:tabs>
                <w:tab w:val="left" w:pos="2604"/>
              </w:tabs>
              <w:spacing w:line="240" w:lineRule="exact"/>
              <w:ind w:left="105" w:leftChars="50" w:right="105" w:rightChars="50" w:firstLine="96" w:firstLineChars="46"/>
              <w:rPr>
                <w:rFonts w:hint="default" w:ascii="宋体" w:cs="宋体"/>
              </w:rPr>
            </w:pPr>
            <w:r>
              <w:rPr>
                <w:rFonts w:ascii="宋体" w:cs="宋体"/>
              </w:rPr>
              <w:t>2</w:t>
            </w:r>
          </w:p>
        </w:tc>
        <w:tc>
          <w:tcPr>
            <w:tcW w:w="1576" w:type="pct"/>
            <w:tcMar>
              <w:top w:w="10" w:type="dxa"/>
              <w:left w:w="10" w:type="dxa"/>
              <w:bottom w:w="0" w:type="dxa"/>
              <w:right w:w="10" w:type="dxa"/>
            </w:tcMar>
            <w:vAlign w:val="center"/>
          </w:tcPr>
          <w:p w14:paraId="79924DE6">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14:paraId="750F9C08">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①是否已制定或具有预算资金管理办法、内部财务管理制度、会计核算制度等管理制度；</w:t>
            </w:r>
            <w:r>
              <w:rPr>
                <w:rFonts w:ascii="宋体" w:cs="宋体"/>
              </w:rPr>
              <w:br w:type="textWrapping"/>
            </w:r>
            <w:r>
              <w:rPr>
                <w:rFonts w:ascii="宋体" w:hAnsi="宋体" w:cs="宋体"/>
              </w:rPr>
              <w:t>②相关管理制度是否合法、合规、完整；</w:t>
            </w:r>
            <w:r>
              <w:rPr>
                <w:rFonts w:ascii="宋体" w:cs="宋体"/>
              </w:rPr>
              <w:br w:type="textWrapping"/>
            </w:r>
            <w:r>
              <w:rPr>
                <w:rFonts w:ascii="宋体" w:hAnsi="宋体" w:cs="宋体"/>
              </w:rPr>
              <w:t>③相关管理制度是否得到有效执行。</w:t>
            </w:r>
          </w:p>
        </w:tc>
      </w:tr>
      <w:tr w14:paraId="451A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14:paraId="1E254D2A">
            <w:pPr>
              <w:spacing w:line="240" w:lineRule="exact"/>
              <w:jc w:val="center"/>
              <w:rPr>
                <w:rFonts w:hint="default" w:ascii="宋体" w:cs="宋体"/>
              </w:rPr>
            </w:pPr>
          </w:p>
        </w:tc>
        <w:tc>
          <w:tcPr>
            <w:tcW w:w="375" w:type="pct"/>
            <w:vMerge w:val="continue"/>
            <w:vAlign w:val="center"/>
          </w:tcPr>
          <w:p w14:paraId="3F80C415">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553069BC">
            <w:pPr>
              <w:spacing w:line="240" w:lineRule="exact"/>
              <w:jc w:val="center"/>
              <w:rPr>
                <w:rFonts w:hint="default" w:ascii="宋体" w:cs="宋体"/>
              </w:rPr>
            </w:pPr>
            <w:r>
              <w:rPr>
                <w:rFonts w:ascii="宋体" w:hAnsi="宋体" w:cs="宋体"/>
              </w:rPr>
              <w:t>资金使用</w:t>
            </w:r>
          </w:p>
          <w:p w14:paraId="5CE975D7">
            <w:pPr>
              <w:spacing w:line="240" w:lineRule="exact"/>
              <w:jc w:val="center"/>
              <w:rPr>
                <w:rFonts w:hint="default" w:ascii="宋体" w:cs="宋体"/>
              </w:rPr>
            </w:pPr>
            <w:r>
              <w:rPr>
                <w:rFonts w:ascii="宋体" w:hAnsi="宋体" w:cs="宋体"/>
              </w:rPr>
              <w:t>合规性（1分）</w:t>
            </w:r>
          </w:p>
        </w:tc>
        <w:tc>
          <w:tcPr>
            <w:tcW w:w="375" w:type="pct"/>
          </w:tcPr>
          <w:p w14:paraId="743F808C">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5072B966">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14:paraId="3BDDFA2A">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①是否符合国家财经法规和财务管理制度规定以及有关预算支出管理办法的规定；</w:t>
            </w:r>
            <w:r>
              <w:rPr>
                <w:rFonts w:ascii="宋体" w:cs="宋体"/>
              </w:rPr>
              <w:br w:type="textWrapping"/>
            </w:r>
            <w:r>
              <w:rPr>
                <w:rFonts w:ascii="宋体" w:hAnsi="宋体" w:cs="宋体"/>
              </w:rPr>
              <w:t>②资金的拨付是否有完整的审批程序和手续；</w:t>
            </w:r>
            <w:r>
              <w:rPr>
                <w:rFonts w:ascii="宋体" w:cs="宋体"/>
              </w:rPr>
              <w:br w:type="textWrapping"/>
            </w:r>
            <w:r>
              <w:rPr>
                <w:rFonts w:ascii="宋体" w:hAnsi="宋体" w:cs="宋体"/>
              </w:rPr>
              <w:t>③预算支出的重大开支是否经过评估论证；</w:t>
            </w:r>
            <w:r>
              <w:rPr>
                <w:rFonts w:ascii="宋体" w:cs="宋体"/>
              </w:rPr>
              <w:br w:type="textWrapping"/>
            </w:r>
            <w:r>
              <w:rPr>
                <w:rFonts w:ascii="宋体" w:hAnsi="宋体" w:cs="宋体"/>
              </w:rPr>
              <w:t>④是否符合部门预算批复的用途；</w:t>
            </w:r>
            <w:r>
              <w:rPr>
                <w:rFonts w:ascii="宋体" w:cs="宋体"/>
              </w:rPr>
              <w:br w:type="textWrapping"/>
            </w:r>
            <w:r>
              <w:rPr>
                <w:rFonts w:ascii="宋体" w:hAnsi="宋体" w:cs="宋体"/>
              </w:rPr>
              <w:t>⑤是否存在截留、挤占、挪用、虚列支出等情况。</w:t>
            </w:r>
          </w:p>
        </w:tc>
      </w:tr>
      <w:tr w14:paraId="7C35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14:paraId="38EC192E">
            <w:pPr>
              <w:spacing w:line="240" w:lineRule="exact"/>
              <w:jc w:val="center"/>
              <w:rPr>
                <w:rFonts w:hint="default" w:ascii="宋体" w:cs="宋体"/>
              </w:rPr>
            </w:pPr>
          </w:p>
        </w:tc>
        <w:tc>
          <w:tcPr>
            <w:tcW w:w="375" w:type="pct"/>
            <w:vMerge w:val="continue"/>
            <w:vAlign w:val="center"/>
          </w:tcPr>
          <w:p w14:paraId="45898BBA">
            <w:pPr>
              <w:spacing w:line="240" w:lineRule="exact"/>
              <w:rPr>
                <w:rFonts w:hint="default" w:ascii="宋体" w:cs="宋体"/>
              </w:rPr>
            </w:pPr>
          </w:p>
        </w:tc>
        <w:tc>
          <w:tcPr>
            <w:tcW w:w="500" w:type="pct"/>
            <w:tcMar>
              <w:top w:w="10" w:type="dxa"/>
              <w:left w:w="10" w:type="dxa"/>
              <w:bottom w:w="0" w:type="dxa"/>
              <w:right w:w="10" w:type="dxa"/>
            </w:tcMar>
            <w:vAlign w:val="center"/>
          </w:tcPr>
          <w:p w14:paraId="576EA8B0">
            <w:pPr>
              <w:spacing w:line="240" w:lineRule="exact"/>
              <w:jc w:val="center"/>
              <w:rPr>
                <w:rFonts w:hint="default" w:ascii="宋体" w:cs="宋体"/>
              </w:rPr>
            </w:pPr>
            <w:r>
              <w:rPr>
                <w:rFonts w:ascii="宋体" w:hAnsi="宋体" w:cs="宋体"/>
              </w:rPr>
              <w:t>预决算信</w:t>
            </w:r>
          </w:p>
          <w:p w14:paraId="0F33DC14">
            <w:pPr>
              <w:spacing w:line="240" w:lineRule="exact"/>
              <w:jc w:val="center"/>
              <w:rPr>
                <w:rFonts w:hint="default" w:ascii="宋体" w:cs="宋体"/>
              </w:rPr>
            </w:pPr>
            <w:r>
              <w:rPr>
                <w:rFonts w:ascii="宋体" w:hAnsi="宋体" w:cs="宋体"/>
              </w:rPr>
              <w:t>息公开性（1分）</w:t>
            </w:r>
          </w:p>
        </w:tc>
        <w:tc>
          <w:tcPr>
            <w:tcW w:w="375" w:type="pct"/>
          </w:tcPr>
          <w:p w14:paraId="597069B5">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5DF8539A">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14:paraId="6FA263ED">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①是否按规定内容公开预决算信息；</w:t>
            </w:r>
            <w:r>
              <w:rPr>
                <w:rFonts w:ascii="宋体" w:cs="宋体"/>
              </w:rPr>
              <w:br w:type="textWrapping"/>
            </w:r>
            <w:r>
              <w:rPr>
                <w:rFonts w:ascii="宋体" w:hAnsi="宋体" w:cs="宋体"/>
              </w:rPr>
              <w:t>②是否按规定时限公开预决算信息。</w:t>
            </w:r>
            <w:r>
              <w:rPr>
                <w:rFonts w:ascii="宋体" w:cs="宋体"/>
              </w:rPr>
              <w:br w:type="textWrapping"/>
            </w:r>
            <w:r>
              <w:rPr>
                <w:rFonts w:ascii="宋体" w:hAnsi="宋体" w:cs="宋体"/>
              </w:rPr>
              <w:t>预决算信息是指与部门预算、执行、决算、监督、绩效等管理相关的信息。</w:t>
            </w:r>
          </w:p>
        </w:tc>
      </w:tr>
      <w:tr w14:paraId="5C6F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jc w:val="center"/>
        </w:trPr>
        <w:tc>
          <w:tcPr>
            <w:tcW w:w="307" w:type="pct"/>
            <w:vMerge w:val="continue"/>
            <w:vAlign w:val="center"/>
          </w:tcPr>
          <w:p w14:paraId="1F6E8743">
            <w:pPr>
              <w:spacing w:line="240" w:lineRule="exact"/>
              <w:jc w:val="center"/>
              <w:rPr>
                <w:rFonts w:hint="default" w:ascii="宋体" w:cs="宋体"/>
              </w:rPr>
            </w:pPr>
          </w:p>
        </w:tc>
        <w:tc>
          <w:tcPr>
            <w:tcW w:w="375" w:type="pct"/>
            <w:vMerge w:val="continue"/>
            <w:vAlign w:val="center"/>
          </w:tcPr>
          <w:p w14:paraId="34C28461">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59D5199D">
            <w:pPr>
              <w:spacing w:line="240" w:lineRule="exact"/>
              <w:jc w:val="center"/>
              <w:rPr>
                <w:rFonts w:hint="default" w:ascii="宋体" w:cs="宋体"/>
              </w:rPr>
            </w:pPr>
            <w:r>
              <w:rPr>
                <w:rFonts w:ascii="宋体" w:hAnsi="宋体" w:cs="宋体"/>
              </w:rPr>
              <w:t>基础信息</w:t>
            </w:r>
          </w:p>
          <w:p w14:paraId="142E2953">
            <w:pPr>
              <w:spacing w:line="240" w:lineRule="exact"/>
              <w:jc w:val="center"/>
              <w:rPr>
                <w:rFonts w:hint="default" w:ascii="宋体" w:cs="宋体"/>
              </w:rPr>
            </w:pPr>
            <w:r>
              <w:rPr>
                <w:rFonts w:ascii="宋体" w:hAnsi="宋体" w:cs="宋体"/>
              </w:rPr>
              <w:t>完善性（1分）</w:t>
            </w:r>
          </w:p>
        </w:tc>
        <w:tc>
          <w:tcPr>
            <w:tcW w:w="375" w:type="pct"/>
          </w:tcPr>
          <w:p w14:paraId="35DB543B">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3D036A74">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14:paraId="4C402126">
            <w:pPr>
              <w:spacing w:line="22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①基础数据信息和会计信息资料是否真实；</w:t>
            </w:r>
            <w:r>
              <w:rPr>
                <w:rFonts w:ascii="宋体" w:cs="宋体"/>
              </w:rPr>
              <w:br w:type="textWrapping"/>
            </w:r>
            <w:r>
              <w:rPr>
                <w:rFonts w:ascii="宋体" w:hAnsi="宋体" w:cs="宋体"/>
              </w:rPr>
              <w:t>②基础数据信息和会计信息资料是否完整；</w:t>
            </w:r>
            <w:r>
              <w:rPr>
                <w:rFonts w:ascii="宋体" w:cs="宋体"/>
              </w:rPr>
              <w:br w:type="textWrapping"/>
            </w:r>
            <w:r>
              <w:rPr>
                <w:rFonts w:ascii="宋体" w:hAnsi="宋体" w:cs="宋体"/>
              </w:rPr>
              <w:t>③基础数据信息和会计信息资料是否准确。</w:t>
            </w:r>
          </w:p>
        </w:tc>
      </w:tr>
      <w:tr w14:paraId="626C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14:paraId="48961AD7">
            <w:pPr>
              <w:spacing w:line="240" w:lineRule="exact"/>
              <w:jc w:val="center"/>
              <w:rPr>
                <w:rFonts w:hint="default" w:ascii="宋体" w:cs="宋体"/>
              </w:rPr>
            </w:pPr>
          </w:p>
        </w:tc>
        <w:tc>
          <w:tcPr>
            <w:tcW w:w="375" w:type="pct"/>
            <w:vMerge w:val="restart"/>
            <w:tcMar>
              <w:top w:w="10" w:type="dxa"/>
              <w:left w:w="10" w:type="dxa"/>
              <w:bottom w:w="0" w:type="dxa"/>
              <w:right w:w="10" w:type="dxa"/>
            </w:tcMar>
            <w:vAlign w:val="center"/>
          </w:tcPr>
          <w:p w14:paraId="6905F240">
            <w:pPr>
              <w:spacing w:line="240" w:lineRule="exact"/>
              <w:jc w:val="center"/>
              <w:rPr>
                <w:rFonts w:hint="default" w:ascii="宋体" w:cs="宋体"/>
              </w:rPr>
            </w:pPr>
            <w:r>
              <w:rPr>
                <w:rFonts w:ascii="宋体" w:hAnsi="宋体" w:cs="宋体"/>
              </w:rPr>
              <w:t>资产</w:t>
            </w:r>
            <w:r>
              <w:rPr>
                <w:rFonts w:ascii="宋体" w:cs="宋体"/>
              </w:rPr>
              <w:br w:type="textWrapping"/>
            </w:r>
            <w:r>
              <w:rPr>
                <w:rFonts w:ascii="宋体" w:hAnsi="宋体" w:cs="宋体"/>
              </w:rPr>
              <w:t>管理（5分）</w:t>
            </w:r>
          </w:p>
        </w:tc>
        <w:tc>
          <w:tcPr>
            <w:tcW w:w="500" w:type="pct"/>
            <w:tcMar>
              <w:top w:w="10" w:type="dxa"/>
              <w:left w:w="10" w:type="dxa"/>
              <w:bottom w:w="0" w:type="dxa"/>
              <w:right w:w="10" w:type="dxa"/>
            </w:tcMar>
            <w:vAlign w:val="center"/>
          </w:tcPr>
          <w:p w14:paraId="0056972E">
            <w:pPr>
              <w:spacing w:line="240" w:lineRule="exact"/>
              <w:jc w:val="center"/>
              <w:rPr>
                <w:rFonts w:hint="default" w:ascii="宋体" w:cs="宋体"/>
              </w:rPr>
            </w:pPr>
            <w:r>
              <w:rPr>
                <w:rFonts w:ascii="宋体" w:hAnsi="宋体" w:cs="宋体"/>
              </w:rPr>
              <w:t>管理制度</w:t>
            </w:r>
          </w:p>
          <w:p w14:paraId="4F3AB32B">
            <w:pPr>
              <w:spacing w:line="240" w:lineRule="exact"/>
              <w:jc w:val="center"/>
              <w:rPr>
                <w:rFonts w:hint="default" w:ascii="宋体" w:cs="宋体"/>
              </w:rPr>
            </w:pPr>
            <w:r>
              <w:rPr>
                <w:rFonts w:ascii="宋体" w:hAnsi="宋体" w:cs="宋体"/>
              </w:rPr>
              <w:t>健全性（2分）</w:t>
            </w:r>
          </w:p>
        </w:tc>
        <w:tc>
          <w:tcPr>
            <w:tcW w:w="375" w:type="pct"/>
          </w:tcPr>
          <w:p w14:paraId="692DE572">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21A33F6F">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14:paraId="1A07113D">
            <w:pPr>
              <w:spacing w:line="22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①是否已制定或具有资产管理制度；②相关资金管理制度是否合法、合规、完整；</w:t>
            </w:r>
            <w:r>
              <w:rPr>
                <w:rFonts w:ascii="宋体" w:cs="宋体"/>
              </w:rPr>
              <w:br w:type="textWrapping"/>
            </w:r>
            <w:r>
              <w:rPr>
                <w:rFonts w:ascii="宋体" w:hAnsi="宋体" w:cs="宋体"/>
              </w:rPr>
              <w:t>③相关资产管理制度是否得到有效执行。</w:t>
            </w:r>
          </w:p>
        </w:tc>
      </w:tr>
      <w:tr w14:paraId="3F7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14:paraId="38A9CE76">
            <w:pPr>
              <w:spacing w:line="240" w:lineRule="exact"/>
              <w:jc w:val="center"/>
              <w:rPr>
                <w:rFonts w:hint="default" w:ascii="宋体" w:cs="宋体"/>
              </w:rPr>
            </w:pPr>
          </w:p>
        </w:tc>
        <w:tc>
          <w:tcPr>
            <w:tcW w:w="375" w:type="pct"/>
            <w:vMerge w:val="continue"/>
            <w:vAlign w:val="center"/>
          </w:tcPr>
          <w:p w14:paraId="49100966">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4851616D">
            <w:pPr>
              <w:spacing w:line="240" w:lineRule="exact"/>
              <w:jc w:val="center"/>
              <w:rPr>
                <w:rFonts w:hint="default" w:ascii="宋体" w:cs="宋体"/>
              </w:rPr>
            </w:pPr>
            <w:r>
              <w:rPr>
                <w:rFonts w:ascii="宋体" w:hAnsi="宋体" w:cs="宋体"/>
              </w:rPr>
              <w:t>资产管理</w:t>
            </w:r>
          </w:p>
          <w:p w14:paraId="417399D9">
            <w:pPr>
              <w:spacing w:line="240" w:lineRule="exact"/>
              <w:jc w:val="center"/>
              <w:rPr>
                <w:rFonts w:hint="default" w:ascii="宋体" w:cs="宋体"/>
              </w:rPr>
            </w:pPr>
            <w:r>
              <w:rPr>
                <w:rFonts w:ascii="宋体" w:hAnsi="宋体" w:cs="宋体"/>
              </w:rPr>
              <w:t>安全性（2分）</w:t>
            </w:r>
          </w:p>
        </w:tc>
        <w:tc>
          <w:tcPr>
            <w:tcW w:w="375" w:type="pct"/>
          </w:tcPr>
          <w:p w14:paraId="16690C62">
            <w:pPr>
              <w:tabs>
                <w:tab w:val="left" w:pos="761"/>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0050F3EC">
            <w:pPr>
              <w:tabs>
                <w:tab w:val="left" w:pos="761"/>
                <w:tab w:val="left" w:pos="2604"/>
              </w:tabs>
              <w:spacing w:line="240" w:lineRule="exact"/>
              <w:ind w:left="105" w:leftChars="50" w:right="105" w:rightChars="50" w:firstLine="96" w:firstLineChars="46"/>
              <w:rPr>
                <w:rFonts w:hint="default" w:ascii="宋体" w:cs="宋体"/>
              </w:rPr>
            </w:pPr>
            <w:r>
              <w:rPr>
                <w:rFonts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14:paraId="502E0C73">
            <w:pPr>
              <w:spacing w:line="240" w:lineRule="exact"/>
              <w:ind w:left="105" w:leftChars="50" w:right="105" w:rightChars="50"/>
              <w:rPr>
                <w:rFonts w:hint="default" w:ascii="宋体" w:cs="宋体"/>
              </w:rPr>
            </w:pPr>
            <w:r>
              <w:rPr>
                <w:rFonts w:ascii="宋体" w:hAnsi="宋体" w:cs="宋体"/>
              </w:rPr>
              <w:t>评价要点：</w:t>
            </w:r>
            <w:r>
              <w:rPr>
                <w:rFonts w:ascii="宋体" w:cs="宋体"/>
              </w:rPr>
              <w:br w:type="textWrapping"/>
            </w:r>
            <w:r>
              <w:rPr>
                <w:rFonts w:ascii="宋体" w:hAnsi="宋体" w:cs="宋体"/>
              </w:rPr>
              <w:t>①资产保存是否完整；</w:t>
            </w:r>
            <w:r>
              <w:rPr>
                <w:rFonts w:ascii="宋体" w:cs="宋体"/>
              </w:rPr>
              <w:br w:type="textWrapping"/>
            </w:r>
            <w:r>
              <w:rPr>
                <w:rFonts w:ascii="宋体" w:hAnsi="宋体" w:cs="宋体"/>
              </w:rPr>
              <w:t>②资产配置是否合理；</w:t>
            </w:r>
            <w:r>
              <w:rPr>
                <w:rFonts w:ascii="宋体" w:cs="宋体"/>
              </w:rPr>
              <w:br w:type="textWrapping"/>
            </w:r>
            <w:r>
              <w:rPr>
                <w:rFonts w:ascii="宋体" w:hAnsi="宋体" w:cs="宋体"/>
              </w:rPr>
              <w:t>③资产处置是否规范；</w:t>
            </w:r>
            <w:r>
              <w:rPr>
                <w:rFonts w:ascii="宋体" w:cs="宋体"/>
              </w:rPr>
              <w:br w:type="textWrapping"/>
            </w:r>
            <w:r>
              <w:rPr>
                <w:rFonts w:ascii="宋体" w:hAnsi="宋体" w:cs="宋体"/>
              </w:rPr>
              <w:t>④资产账务管理是否合规，是否帐实相符；</w:t>
            </w:r>
            <w:r>
              <w:rPr>
                <w:rFonts w:ascii="宋体" w:cs="宋体"/>
              </w:rPr>
              <w:br w:type="textWrapping"/>
            </w:r>
            <w:r>
              <w:rPr>
                <w:rFonts w:ascii="宋体" w:hAnsi="宋体" w:cs="宋体"/>
              </w:rPr>
              <w:t>⑤资产是否有偿使用及处置收入及时足额上缴。</w:t>
            </w:r>
          </w:p>
        </w:tc>
      </w:tr>
      <w:tr w14:paraId="367E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14:paraId="2A686250">
            <w:pPr>
              <w:spacing w:line="240" w:lineRule="exact"/>
              <w:rPr>
                <w:rFonts w:hint="default" w:ascii="宋体" w:cs="宋体"/>
              </w:rPr>
            </w:pPr>
          </w:p>
        </w:tc>
        <w:tc>
          <w:tcPr>
            <w:tcW w:w="375" w:type="pct"/>
            <w:vMerge w:val="continue"/>
            <w:vAlign w:val="center"/>
          </w:tcPr>
          <w:p w14:paraId="01A198C7">
            <w:pPr>
              <w:spacing w:line="240" w:lineRule="exact"/>
              <w:rPr>
                <w:rFonts w:hint="default" w:ascii="宋体" w:cs="宋体"/>
              </w:rPr>
            </w:pPr>
          </w:p>
        </w:tc>
        <w:tc>
          <w:tcPr>
            <w:tcW w:w="500" w:type="pct"/>
            <w:tcMar>
              <w:top w:w="10" w:type="dxa"/>
              <w:left w:w="10" w:type="dxa"/>
              <w:bottom w:w="0" w:type="dxa"/>
              <w:right w:w="10" w:type="dxa"/>
            </w:tcMar>
            <w:vAlign w:val="center"/>
          </w:tcPr>
          <w:p w14:paraId="17EB2F64">
            <w:pPr>
              <w:spacing w:line="240" w:lineRule="exact"/>
              <w:jc w:val="center"/>
              <w:rPr>
                <w:rFonts w:hint="default" w:ascii="宋体" w:cs="宋体"/>
              </w:rPr>
            </w:pPr>
            <w:r>
              <w:rPr>
                <w:rFonts w:ascii="宋体" w:hAnsi="宋体" w:cs="宋体"/>
              </w:rPr>
              <w:t>固定资产</w:t>
            </w:r>
          </w:p>
          <w:p w14:paraId="7391F178">
            <w:pPr>
              <w:spacing w:line="240" w:lineRule="exact"/>
              <w:jc w:val="center"/>
              <w:rPr>
                <w:rFonts w:hint="default" w:ascii="宋体" w:cs="宋体"/>
              </w:rPr>
            </w:pPr>
            <w:r>
              <w:rPr>
                <w:rFonts w:ascii="宋体" w:hAnsi="宋体" w:cs="宋体"/>
              </w:rPr>
              <w:t>利用率（1分）</w:t>
            </w:r>
          </w:p>
        </w:tc>
        <w:tc>
          <w:tcPr>
            <w:tcW w:w="375" w:type="pct"/>
          </w:tcPr>
          <w:p w14:paraId="169BEEA9">
            <w:pPr>
              <w:tabs>
                <w:tab w:val="left" w:pos="2604"/>
              </w:tabs>
              <w:spacing w:line="240" w:lineRule="exact"/>
              <w:ind w:left="105" w:leftChars="50" w:right="105" w:rightChars="50" w:firstLine="96" w:firstLineChars="46"/>
              <w:rPr>
                <w:rFonts w:hint="default" w:ascii="宋体" w:cs="宋体"/>
              </w:rPr>
            </w:pPr>
            <w:r>
              <w:rPr>
                <w:rFonts w:ascii="宋体" w:cs="宋体"/>
              </w:rPr>
              <w:t>1</w:t>
            </w:r>
          </w:p>
        </w:tc>
        <w:tc>
          <w:tcPr>
            <w:tcW w:w="1576" w:type="pct"/>
            <w:tcMar>
              <w:top w:w="10" w:type="dxa"/>
              <w:left w:w="10" w:type="dxa"/>
              <w:bottom w:w="0" w:type="dxa"/>
              <w:right w:w="10" w:type="dxa"/>
            </w:tcMar>
            <w:vAlign w:val="center"/>
          </w:tcPr>
          <w:p w14:paraId="3367F376">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14:paraId="453C8E02">
            <w:pPr>
              <w:spacing w:line="240" w:lineRule="exact"/>
              <w:ind w:left="105" w:leftChars="50" w:right="105" w:rightChars="50"/>
              <w:rPr>
                <w:rFonts w:hint="default" w:ascii="宋体" w:cs="宋体"/>
              </w:rPr>
            </w:pPr>
            <w:r>
              <w:rPr>
                <w:rFonts w:ascii="宋体" w:hAnsi="宋体" w:cs="宋体"/>
              </w:rPr>
              <w:t>固定资产利用率=（实际在用固定资产总额/所有固定资产总额）×100%。</w:t>
            </w:r>
          </w:p>
        </w:tc>
      </w:tr>
      <w:tr w14:paraId="5EB0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14:paraId="6F0A8675">
            <w:pPr>
              <w:spacing w:line="240" w:lineRule="exact"/>
              <w:jc w:val="center"/>
              <w:rPr>
                <w:rFonts w:hint="default" w:ascii="宋体" w:cs="宋体"/>
              </w:rPr>
            </w:pPr>
            <w:r>
              <w:rPr>
                <w:rFonts w:ascii="宋体" w:hAnsi="宋体" w:cs="宋体"/>
              </w:rPr>
              <w:t>产出（30分）</w:t>
            </w:r>
          </w:p>
        </w:tc>
        <w:tc>
          <w:tcPr>
            <w:tcW w:w="375" w:type="pct"/>
            <w:vMerge w:val="restart"/>
            <w:tcMar>
              <w:top w:w="10" w:type="dxa"/>
              <w:left w:w="10" w:type="dxa"/>
              <w:bottom w:w="0" w:type="dxa"/>
              <w:right w:w="10" w:type="dxa"/>
            </w:tcMar>
            <w:vAlign w:val="center"/>
          </w:tcPr>
          <w:p w14:paraId="06A28500">
            <w:pPr>
              <w:spacing w:line="240" w:lineRule="exact"/>
              <w:jc w:val="center"/>
              <w:rPr>
                <w:rFonts w:hint="default" w:ascii="宋体" w:cs="宋体"/>
              </w:rPr>
            </w:pPr>
            <w:r>
              <w:rPr>
                <w:rFonts w:ascii="宋体" w:hAnsi="宋体" w:cs="宋体"/>
              </w:rPr>
              <w:t>职责</w:t>
            </w:r>
            <w:r>
              <w:rPr>
                <w:rFonts w:ascii="宋体" w:cs="宋体"/>
              </w:rPr>
              <w:br w:type="textWrapping"/>
            </w:r>
            <w:r>
              <w:rPr>
                <w:rFonts w:ascii="宋体" w:hAnsi="宋体" w:cs="宋体"/>
              </w:rPr>
              <w:t>履行（30分）</w:t>
            </w:r>
          </w:p>
        </w:tc>
        <w:tc>
          <w:tcPr>
            <w:tcW w:w="500" w:type="pct"/>
            <w:tcMar>
              <w:top w:w="10" w:type="dxa"/>
              <w:left w:w="10" w:type="dxa"/>
              <w:bottom w:w="0" w:type="dxa"/>
              <w:right w:w="10" w:type="dxa"/>
            </w:tcMar>
            <w:vAlign w:val="center"/>
          </w:tcPr>
          <w:p w14:paraId="3A779EF5">
            <w:pPr>
              <w:spacing w:line="240" w:lineRule="exact"/>
              <w:jc w:val="center"/>
              <w:rPr>
                <w:rFonts w:hint="default" w:ascii="宋体" w:cs="宋体"/>
              </w:rPr>
            </w:pPr>
            <w:r>
              <w:rPr>
                <w:rFonts w:ascii="宋体" w:hAnsi="宋体" w:cs="宋体"/>
              </w:rPr>
              <w:t>实际</w:t>
            </w:r>
          </w:p>
          <w:p w14:paraId="4D5AFB1E">
            <w:pPr>
              <w:spacing w:line="240" w:lineRule="exact"/>
              <w:jc w:val="center"/>
              <w:rPr>
                <w:rFonts w:hint="default" w:ascii="宋体" w:cs="宋体"/>
              </w:rPr>
            </w:pPr>
            <w:r>
              <w:rPr>
                <w:rFonts w:ascii="宋体" w:hAnsi="宋体" w:cs="宋体"/>
              </w:rPr>
              <w:t>完成率（8分）</w:t>
            </w:r>
          </w:p>
        </w:tc>
        <w:tc>
          <w:tcPr>
            <w:tcW w:w="375" w:type="pct"/>
          </w:tcPr>
          <w:p w14:paraId="45AA458D">
            <w:pPr>
              <w:tabs>
                <w:tab w:val="left" w:pos="2604"/>
              </w:tabs>
              <w:spacing w:line="240" w:lineRule="exact"/>
              <w:ind w:left="105" w:leftChars="50" w:right="105" w:rightChars="50" w:firstLine="96" w:firstLineChars="46"/>
              <w:rPr>
                <w:rFonts w:hint="default" w:ascii="宋体" w:cs="宋体"/>
              </w:rPr>
            </w:pPr>
            <w:r>
              <w:rPr>
                <w:rFonts w:ascii="宋体" w:cs="宋体"/>
              </w:rPr>
              <w:t>7</w:t>
            </w:r>
          </w:p>
        </w:tc>
        <w:tc>
          <w:tcPr>
            <w:tcW w:w="1576" w:type="pct"/>
            <w:tcMar>
              <w:top w:w="10" w:type="dxa"/>
              <w:left w:w="10" w:type="dxa"/>
              <w:bottom w:w="0" w:type="dxa"/>
              <w:right w:w="10" w:type="dxa"/>
            </w:tcMar>
            <w:vAlign w:val="center"/>
          </w:tcPr>
          <w:p w14:paraId="27E4E951">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14:paraId="11444BF2">
            <w:pPr>
              <w:spacing w:line="240" w:lineRule="exact"/>
              <w:ind w:left="105" w:leftChars="50" w:right="105" w:rightChars="50"/>
              <w:rPr>
                <w:rFonts w:hint="default" w:ascii="宋体" w:cs="宋体"/>
              </w:rPr>
            </w:pPr>
            <w:r>
              <w:rPr>
                <w:rFonts w:ascii="宋体" w:hAnsi="宋体" w:cs="宋体"/>
              </w:rPr>
              <w:t>实际完成率=（实际完成工作数/计划工作数）×100%。</w:t>
            </w:r>
            <w:r>
              <w:rPr>
                <w:rFonts w:ascii="宋体" w:cs="宋体"/>
              </w:rPr>
              <w:br w:type="textWrapping"/>
            </w:r>
            <w:r>
              <w:rPr>
                <w:rFonts w:ascii="宋体" w:hAnsi="宋体" w:cs="宋体"/>
              </w:rPr>
              <w:t>实际完成工作数：一定时期（年度或规划期）内部门实际完成工作任务的数量。</w:t>
            </w:r>
            <w:r>
              <w:rPr>
                <w:rFonts w:ascii="宋体" w:cs="宋体"/>
              </w:rPr>
              <w:br w:type="textWrapping"/>
            </w:r>
            <w:r>
              <w:rPr>
                <w:rFonts w:ascii="宋体" w:hAnsi="宋体" w:cs="宋体"/>
              </w:rPr>
              <w:t>计划工作数：部门整体绩效目标确定的一定时期（年度或规划期）内预计完成工作任务的数量。</w:t>
            </w:r>
          </w:p>
        </w:tc>
      </w:tr>
      <w:tr w14:paraId="46B3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14:paraId="46B5DBAC">
            <w:pPr>
              <w:spacing w:line="240" w:lineRule="exact"/>
              <w:ind w:left="113"/>
              <w:jc w:val="center"/>
              <w:rPr>
                <w:rFonts w:hint="default" w:ascii="宋体" w:cs="宋体"/>
              </w:rPr>
            </w:pPr>
          </w:p>
        </w:tc>
        <w:tc>
          <w:tcPr>
            <w:tcW w:w="375" w:type="pct"/>
            <w:vMerge w:val="continue"/>
            <w:vAlign w:val="center"/>
          </w:tcPr>
          <w:p w14:paraId="7BD22134">
            <w:pPr>
              <w:spacing w:line="240" w:lineRule="exact"/>
              <w:jc w:val="center"/>
              <w:rPr>
                <w:rFonts w:hint="default" w:ascii="宋体" w:cs="宋体"/>
              </w:rPr>
            </w:pPr>
          </w:p>
        </w:tc>
        <w:tc>
          <w:tcPr>
            <w:tcW w:w="500" w:type="pct"/>
            <w:tcMar>
              <w:top w:w="10" w:type="dxa"/>
              <w:left w:w="10" w:type="dxa"/>
              <w:bottom w:w="0" w:type="dxa"/>
              <w:right w:w="10" w:type="dxa"/>
            </w:tcMar>
            <w:vAlign w:val="center"/>
          </w:tcPr>
          <w:p w14:paraId="4407F738">
            <w:pPr>
              <w:spacing w:line="240" w:lineRule="exact"/>
              <w:jc w:val="center"/>
              <w:rPr>
                <w:rFonts w:hint="default" w:ascii="宋体" w:cs="宋体"/>
              </w:rPr>
            </w:pPr>
            <w:r>
              <w:rPr>
                <w:rFonts w:ascii="宋体" w:hAnsi="宋体" w:cs="宋体"/>
              </w:rPr>
              <w:t>完成</w:t>
            </w:r>
          </w:p>
          <w:p w14:paraId="017C9E5F">
            <w:pPr>
              <w:spacing w:line="240" w:lineRule="exact"/>
              <w:jc w:val="center"/>
              <w:rPr>
                <w:rFonts w:hint="default" w:ascii="宋体" w:cs="宋体"/>
              </w:rPr>
            </w:pPr>
            <w:r>
              <w:rPr>
                <w:rFonts w:ascii="宋体" w:hAnsi="宋体" w:cs="宋体"/>
              </w:rPr>
              <w:t>及时率（4分）</w:t>
            </w:r>
          </w:p>
        </w:tc>
        <w:tc>
          <w:tcPr>
            <w:tcW w:w="375" w:type="pct"/>
          </w:tcPr>
          <w:p w14:paraId="3275E5C6">
            <w:pPr>
              <w:tabs>
                <w:tab w:val="left" w:pos="2604"/>
              </w:tabs>
              <w:spacing w:line="240" w:lineRule="exact"/>
              <w:ind w:left="105" w:leftChars="50" w:right="105" w:rightChars="50" w:firstLine="96" w:firstLineChars="46"/>
              <w:rPr>
                <w:rFonts w:hint="default" w:ascii="宋体" w:cs="宋体"/>
              </w:rPr>
            </w:pPr>
            <w:r>
              <w:rPr>
                <w:rFonts w:ascii="宋体" w:cs="宋体"/>
              </w:rPr>
              <w:t>4</w:t>
            </w:r>
          </w:p>
        </w:tc>
        <w:tc>
          <w:tcPr>
            <w:tcW w:w="1576" w:type="pct"/>
            <w:tcMar>
              <w:top w:w="10" w:type="dxa"/>
              <w:left w:w="10" w:type="dxa"/>
              <w:bottom w:w="0" w:type="dxa"/>
              <w:right w:w="10" w:type="dxa"/>
            </w:tcMar>
            <w:vAlign w:val="center"/>
          </w:tcPr>
          <w:p w14:paraId="58A51A51">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部门在规定时限内及时完成的实际工作数与计划工作数的比率</w:t>
            </w:r>
            <w:r>
              <w:rPr>
                <w:rFonts w:ascii="宋体" w:cs="宋体"/>
              </w:rPr>
              <w:t>,</w:t>
            </w:r>
            <w:r>
              <w:rPr>
                <w:rFonts w:ascii="宋体" w:hAnsi="宋体" w:cs="宋体"/>
              </w:rPr>
              <w:t>用以反映和考核部门履职时效目标的实现程度。</w:t>
            </w:r>
          </w:p>
        </w:tc>
        <w:tc>
          <w:tcPr>
            <w:tcW w:w="1867" w:type="pct"/>
            <w:tcMar>
              <w:top w:w="10" w:type="dxa"/>
              <w:left w:w="10" w:type="dxa"/>
              <w:bottom w:w="0" w:type="dxa"/>
              <w:right w:w="10" w:type="dxa"/>
            </w:tcMar>
            <w:vAlign w:val="center"/>
          </w:tcPr>
          <w:p w14:paraId="63BB7DAF">
            <w:pPr>
              <w:spacing w:line="240" w:lineRule="exact"/>
              <w:ind w:left="105" w:leftChars="50" w:right="105" w:rightChars="50"/>
              <w:rPr>
                <w:rFonts w:hint="default" w:ascii="宋体" w:cs="宋体"/>
              </w:rPr>
            </w:pPr>
            <w:r>
              <w:rPr>
                <w:rFonts w:ascii="宋体" w:hAnsi="宋体" w:cs="宋体"/>
              </w:rPr>
              <w:t>完成及时率=（及时完成实际工作数/计划工作数）×100%。</w:t>
            </w:r>
            <w:r>
              <w:rPr>
                <w:rFonts w:ascii="宋体" w:cs="宋体"/>
              </w:rPr>
              <w:br w:type="textWrapping"/>
            </w:r>
            <w:r>
              <w:rPr>
                <w:rFonts w:ascii="宋体" w:hAnsi="宋体" w:cs="宋体"/>
              </w:rPr>
              <w:t>及时完成实际工作数：部门按照整体绩效目标确定的时限实际完成的工作任务数量。</w:t>
            </w:r>
          </w:p>
        </w:tc>
      </w:tr>
      <w:tr w14:paraId="5AED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14:paraId="7E4CF51B">
            <w:pPr>
              <w:spacing w:line="240" w:lineRule="exact"/>
              <w:rPr>
                <w:rFonts w:hint="default" w:ascii="宋体" w:cs="宋体"/>
              </w:rPr>
            </w:pPr>
          </w:p>
        </w:tc>
        <w:tc>
          <w:tcPr>
            <w:tcW w:w="375" w:type="pct"/>
            <w:vMerge w:val="continue"/>
            <w:vAlign w:val="center"/>
          </w:tcPr>
          <w:p w14:paraId="6E73CFDB">
            <w:pPr>
              <w:spacing w:line="240" w:lineRule="exact"/>
              <w:rPr>
                <w:rFonts w:hint="default" w:ascii="宋体" w:cs="宋体"/>
              </w:rPr>
            </w:pPr>
          </w:p>
        </w:tc>
        <w:tc>
          <w:tcPr>
            <w:tcW w:w="500" w:type="pct"/>
            <w:tcMar>
              <w:top w:w="10" w:type="dxa"/>
              <w:left w:w="10" w:type="dxa"/>
              <w:bottom w:w="0" w:type="dxa"/>
              <w:right w:w="10" w:type="dxa"/>
            </w:tcMar>
            <w:vAlign w:val="center"/>
          </w:tcPr>
          <w:p w14:paraId="76855573">
            <w:pPr>
              <w:spacing w:line="240" w:lineRule="exact"/>
              <w:jc w:val="center"/>
              <w:rPr>
                <w:rFonts w:hint="default" w:ascii="宋体" w:cs="宋体"/>
              </w:rPr>
            </w:pPr>
            <w:r>
              <w:rPr>
                <w:rFonts w:ascii="宋体" w:hAnsi="宋体" w:cs="宋体"/>
              </w:rPr>
              <w:t>质量</w:t>
            </w:r>
          </w:p>
          <w:p w14:paraId="19C52AF2">
            <w:pPr>
              <w:spacing w:line="240" w:lineRule="exact"/>
              <w:jc w:val="center"/>
              <w:rPr>
                <w:rFonts w:hint="default" w:ascii="宋体" w:cs="宋体"/>
              </w:rPr>
            </w:pPr>
            <w:r>
              <w:rPr>
                <w:rFonts w:ascii="宋体" w:hAnsi="宋体" w:cs="宋体"/>
              </w:rPr>
              <w:t>达标率（8分）</w:t>
            </w:r>
          </w:p>
        </w:tc>
        <w:tc>
          <w:tcPr>
            <w:tcW w:w="375" w:type="pct"/>
          </w:tcPr>
          <w:p w14:paraId="51BDA902">
            <w:pPr>
              <w:tabs>
                <w:tab w:val="left" w:pos="2604"/>
              </w:tabs>
              <w:spacing w:line="240" w:lineRule="exact"/>
              <w:ind w:left="105" w:leftChars="50" w:right="105" w:rightChars="50" w:firstLine="96" w:firstLineChars="46"/>
              <w:rPr>
                <w:rFonts w:hint="default" w:ascii="宋体" w:cs="宋体"/>
              </w:rPr>
            </w:pPr>
            <w:r>
              <w:rPr>
                <w:rFonts w:ascii="宋体" w:cs="宋体"/>
              </w:rPr>
              <w:t>7</w:t>
            </w:r>
          </w:p>
        </w:tc>
        <w:tc>
          <w:tcPr>
            <w:tcW w:w="1576" w:type="pct"/>
            <w:tcMar>
              <w:top w:w="10" w:type="dxa"/>
              <w:left w:w="10" w:type="dxa"/>
              <w:bottom w:w="0" w:type="dxa"/>
              <w:right w:w="10" w:type="dxa"/>
            </w:tcMar>
            <w:vAlign w:val="center"/>
          </w:tcPr>
          <w:p w14:paraId="3AF8994E">
            <w:pPr>
              <w:tabs>
                <w:tab w:val="left" w:pos="2604"/>
              </w:tabs>
              <w:spacing w:line="240" w:lineRule="exact"/>
              <w:ind w:left="105" w:leftChars="50" w:right="105" w:rightChars="50" w:firstLine="96" w:firstLineChars="46"/>
              <w:rPr>
                <w:rFonts w:hint="default" w:ascii="宋体" w:cs="宋体"/>
              </w:rPr>
            </w:pPr>
            <w:r>
              <w:rPr>
                <w:rFonts w:ascii="宋体" w:hAnsi="宋体" w:cs="宋体"/>
              </w:rPr>
              <w:t>达到质量标准（绩效标准值）的实际工作数与计划工作数的比率</w:t>
            </w:r>
            <w:r>
              <w:rPr>
                <w:rFonts w:ascii="宋体" w:cs="宋体"/>
              </w:rPr>
              <w:t>,</w:t>
            </w:r>
            <w:r>
              <w:rPr>
                <w:rFonts w:ascii="宋体" w:hAnsi="宋体" w:cs="宋体"/>
              </w:rPr>
              <w:t>用以反映和考核部门履职质量目标的实现程度。</w:t>
            </w:r>
          </w:p>
        </w:tc>
        <w:tc>
          <w:tcPr>
            <w:tcW w:w="1867" w:type="pct"/>
            <w:tcMar>
              <w:top w:w="10" w:type="dxa"/>
              <w:left w:w="10" w:type="dxa"/>
              <w:bottom w:w="0" w:type="dxa"/>
              <w:right w:w="10" w:type="dxa"/>
            </w:tcMar>
            <w:vAlign w:val="center"/>
          </w:tcPr>
          <w:p w14:paraId="53CAD586">
            <w:pPr>
              <w:spacing w:line="240" w:lineRule="exact"/>
              <w:ind w:left="105" w:leftChars="50" w:right="105" w:rightChars="50"/>
              <w:rPr>
                <w:rFonts w:hint="default" w:ascii="宋体" w:cs="宋体"/>
              </w:rPr>
            </w:pPr>
            <w:r>
              <w:rPr>
                <w:rFonts w:ascii="宋体" w:hAnsi="宋体" w:cs="宋体"/>
              </w:rPr>
              <w:t>质量达标率=（质量达标实际工作数/计划工作数）×100%。</w:t>
            </w:r>
            <w:r>
              <w:rPr>
                <w:rFonts w:ascii="宋体" w:cs="宋体"/>
              </w:rPr>
              <w:br w:type="textWrapping"/>
            </w:r>
            <w:r>
              <w:rPr>
                <w:rFonts w:ascii="宋体" w:hAnsi="宋体" w:cs="宋体"/>
              </w:rPr>
              <w:t>质量达标实际工作数：一定时期（年度或规划期）内部门实际完成工作数中达到部门绩效目标要求（绩效标准值）的工作任务数量。</w:t>
            </w:r>
          </w:p>
        </w:tc>
      </w:tr>
      <w:tr w14:paraId="4836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14:paraId="5517400F">
            <w:pPr>
              <w:spacing w:line="240" w:lineRule="exact"/>
              <w:rPr>
                <w:rFonts w:hint="default" w:ascii="宋体" w:cs="宋体"/>
              </w:rPr>
            </w:pPr>
          </w:p>
        </w:tc>
        <w:tc>
          <w:tcPr>
            <w:tcW w:w="375" w:type="pct"/>
            <w:vMerge w:val="continue"/>
            <w:vAlign w:val="center"/>
          </w:tcPr>
          <w:p w14:paraId="4E3FC2B3">
            <w:pPr>
              <w:spacing w:line="240" w:lineRule="exact"/>
              <w:rPr>
                <w:rFonts w:hint="default" w:ascii="宋体" w:cs="宋体"/>
              </w:rPr>
            </w:pPr>
          </w:p>
        </w:tc>
        <w:tc>
          <w:tcPr>
            <w:tcW w:w="500" w:type="pct"/>
            <w:tcMar>
              <w:top w:w="10" w:type="dxa"/>
              <w:left w:w="10" w:type="dxa"/>
              <w:bottom w:w="0" w:type="dxa"/>
              <w:right w:w="10" w:type="dxa"/>
            </w:tcMar>
            <w:vAlign w:val="center"/>
          </w:tcPr>
          <w:p w14:paraId="00E15717">
            <w:pPr>
              <w:spacing w:line="240" w:lineRule="exact"/>
              <w:jc w:val="center"/>
              <w:rPr>
                <w:rFonts w:hint="default" w:ascii="宋体" w:cs="宋体"/>
              </w:rPr>
            </w:pPr>
            <w:r>
              <w:rPr>
                <w:rFonts w:ascii="宋体" w:hAnsi="宋体" w:cs="宋体"/>
              </w:rPr>
              <w:t>重点工作</w:t>
            </w:r>
          </w:p>
          <w:p w14:paraId="0AFD86F2">
            <w:pPr>
              <w:spacing w:line="240" w:lineRule="exact"/>
              <w:jc w:val="center"/>
              <w:rPr>
                <w:rFonts w:hint="default" w:ascii="宋体" w:cs="宋体"/>
              </w:rPr>
            </w:pPr>
            <w:r>
              <w:rPr>
                <w:rFonts w:ascii="宋体" w:hAnsi="宋体" w:cs="宋体"/>
              </w:rPr>
              <w:t>办结率（10分）</w:t>
            </w:r>
          </w:p>
        </w:tc>
        <w:tc>
          <w:tcPr>
            <w:tcW w:w="375" w:type="pct"/>
          </w:tcPr>
          <w:p w14:paraId="1FE6A87A">
            <w:pPr>
              <w:tabs>
                <w:tab w:val="left" w:pos="2604"/>
              </w:tabs>
              <w:spacing w:line="240" w:lineRule="exact"/>
              <w:ind w:left="105" w:leftChars="50" w:right="105" w:rightChars="50" w:firstLine="96" w:firstLineChars="46"/>
              <w:rPr>
                <w:rFonts w:hint="default" w:ascii="宋体" w:cs="宋体"/>
              </w:rPr>
            </w:pPr>
            <w:r>
              <w:rPr>
                <w:rFonts w:ascii="宋体" w:cs="宋体"/>
              </w:rPr>
              <w:t>9</w:t>
            </w:r>
          </w:p>
        </w:tc>
        <w:tc>
          <w:tcPr>
            <w:tcW w:w="1576" w:type="pct"/>
            <w:tcMar>
              <w:top w:w="10" w:type="dxa"/>
              <w:left w:w="10" w:type="dxa"/>
              <w:bottom w:w="0" w:type="dxa"/>
              <w:right w:w="10" w:type="dxa"/>
            </w:tcMar>
            <w:vAlign w:val="center"/>
          </w:tcPr>
          <w:p w14:paraId="78559444">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14:paraId="503E441F">
            <w:pPr>
              <w:spacing w:line="240" w:lineRule="exact"/>
              <w:ind w:left="105" w:leftChars="50" w:right="105" w:rightChars="50"/>
              <w:rPr>
                <w:rFonts w:hint="default" w:ascii="宋体" w:cs="宋体"/>
              </w:rPr>
            </w:pPr>
            <w:r>
              <w:rPr>
                <w:rFonts w:ascii="宋体" w:hAnsi="宋体" w:cs="宋体"/>
              </w:rPr>
              <w:t>重点工作办结率=（重点工作实际完成数/交办或下达数）×100%。</w:t>
            </w:r>
            <w:r>
              <w:rPr>
                <w:rFonts w:ascii="宋体" w:cs="宋体"/>
              </w:rPr>
              <w:br w:type="textWrapping"/>
            </w:r>
            <w:r>
              <w:rPr>
                <w:rFonts w:ascii="宋体" w:hAnsi="宋体" w:cs="宋体"/>
              </w:rPr>
              <w:t>重点工作是指党委、政府、人大、相关部门交办或下达的工作任务。</w:t>
            </w:r>
          </w:p>
        </w:tc>
      </w:tr>
      <w:tr w14:paraId="3AE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14:paraId="772816E4">
            <w:pPr>
              <w:spacing w:line="240" w:lineRule="exact"/>
              <w:jc w:val="center"/>
              <w:rPr>
                <w:rFonts w:hint="default" w:ascii="宋体" w:cs="宋体"/>
              </w:rPr>
            </w:pPr>
            <w:r>
              <w:rPr>
                <w:rFonts w:ascii="宋体" w:hAnsi="宋体" w:cs="宋体"/>
              </w:rPr>
              <w:t>效果（20分）</w:t>
            </w:r>
          </w:p>
        </w:tc>
        <w:tc>
          <w:tcPr>
            <w:tcW w:w="375" w:type="pct"/>
            <w:vMerge w:val="restart"/>
            <w:tcMar>
              <w:top w:w="10" w:type="dxa"/>
              <w:left w:w="10" w:type="dxa"/>
              <w:bottom w:w="0" w:type="dxa"/>
              <w:right w:w="10" w:type="dxa"/>
            </w:tcMar>
            <w:vAlign w:val="center"/>
          </w:tcPr>
          <w:p w14:paraId="01206757">
            <w:pPr>
              <w:spacing w:line="240" w:lineRule="exact"/>
              <w:jc w:val="center"/>
              <w:rPr>
                <w:rFonts w:hint="default" w:ascii="宋体" w:cs="宋体"/>
              </w:rPr>
            </w:pPr>
            <w:r>
              <w:rPr>
                <w:rFonts w:ascii="宋体" w:hAnsi="宋体" w:cs="宋体"/>
              </w:rPr>
              <w:t>履职</w:t>
            </w:r>
            <w:r>
              <w:rPr>
                <w:rFonts w:ascii="宋体" w:cs="宋体"/>
              </w:rPr>
              <w:br w:type="textWrapping"/>
            </w:r>
            <w:r>
              <w:rPr>
                <w:rFonts w:ascii="宋体" w:hAnsi="宋体" w:cs="宋体"/>
              </w:rPr>
              <w:t>效益（20分）</w:t>
            </w:r>
          </w:p>
        </w:tc>
        <w:tc>
          <w:tcPr>
            <w:tcW w:w="500" w:type="pct"/>
            <w:tcMar>
              <w:top w:w="10" w:type="dxa"/>
              <w:left w:w="10" w:type="dxa"/>
              <w:bottom w:w="0" w:type="dxa"/>
              <w:right w:w="10" w:type="dxa"/>
            </w:tcMar>
            <w:vAlign w:val="center"/>
          </w:tcPr>
          <w:p w14:paraId="4C7F46BD">
            <w:pPr>
              <w:spacing w:line="240" w:lineRule="exact"/>
              <w:jc w:val="center"/>
              <w:rPr>
                <w:rFonts w:hint="default" w:ascii="宋体" w:cs="宋体"/>
              </w:rPr>
            </w:pPr>
            <w:r>
              <w:rPr>
                <w:rFonts w:ascii="宋体" w:hAnsi="宋体" w:cs="宋体"/>
              </w:rPr>
              <w:t>经济效益（5分）</w:t>
            </w:r>
          </w:p>
        </w:tc>
        <w:tc>
          <w:tcPr>
            <w:tcW w:w="375" w:type="pct"/>
          </w:tcPr>
          <w:p w14:paraId="19DC4098">
            <w:pPr>
              <w:tabs>
                <w:tab w:val="left" w:pos="2604"/>
              </w:tabs>
              <w:spacing w:line="240" w:lineRule="exact"/>
              <w:ind w:left="105" w:leftChars="50" w:right="105" w:rightChars="50" w:firstLine="96" w:firstLineChars="46"/>
              <w:rPr>
                <w:rFonts w:hint="default" w:ascii="宋体" w:cs="宋体"/>
              </w:rPr>
            </w:pPr>
            <w:r>
              <w:rPr>
                <w:rFonts w:ascii="宋体" w:cs="宋体"/>
              </w:rPr>
              <w:t>4</w:t>
            </w:r>
          </w:p>
        </w:tc>
        <w:tc>
          <w:tcPr>
            <w:tcW w:w="1576" w:type="pct"/>
            <w:tcMar>
              <w:top w:w="10" w:type="dxa"/>
              <w:left w:w="10" w:type="dxa"/>
              <w:bottom w:w="0" w:type="dxa"/>
              <w:right w:w="10" w:type="dxa"/>
            </w:tcMar>
            <w:vAlign w:val="center"/>
          </w:tcPr>
          <w:p w14:paraId="64063290">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14:paraId="4D7513D3">
            <w:pPr>
              <w:spacing w:line="240" w:lineRule="exact"/>
              <w:ind w:left="105" w:leftChars="50" w:right="105" w:rightChars="50"/>
              <w:rPr>
                <w:rFonts w:hint="default" w:ascii="宋体" w:cs="宋体"/>
              </w:rPr>
            </w:pPr>
            <w:r>
              <w:rPr>
                <w:rFonts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14:paraId="237F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14:paraId="775AE978">
            <w:pPr>
              <w:spacing w:line="240" w:lineRule="exact"/>
              <w:rPr>
                <w:rFonts w:hint="default" w:ascii="宋体" w:cs="宋体"/>
              </w:rPr>
            </w:pPr>
          </w:p>
        </w:tc>
        <w:tc>
          <w:tcPr>
            <w:tcW w:w="375" w:type="pct"/>
            <w:vMerge w:val="continue"/>
            <w:vAlign w:val="center"/>
          </w:tcPr>
          <w:p w14:paraId="26397723">
            <w:pPr>
              <w:spacing w:line="240" w:lineRule="exact"/>
              <w:rPr>
                <w:rFonts w:hint="default" w:ascii="宋体" w:cs="宋体"/>
              </w:rPr>
            </w:pPr>
          </w:p>
        </w:tc>
        <w:tc>
          <w:tcPr>
            <w:tcW w:w="500" w:type="pct"/>
            <w:tcMar>
              <w:top w:w="10" w:type="dxa"/>
              <w:left w:w="10" w:type="dxa"/>
              <w:bottom w:w="0" w:type="dxa"/>
              <w:right w:w="10" w:type="dxa"/>
            </w:tcMar>
            <w:vAlign w:val="center"/>
          </w:tcPr>
          <w:p w14:paraId="03E2FD55">
            <w:pPr>
              <w:spacing w:line="240" w:lineRule="exact"/>
              <w:jc w:val="center"/>
              <w:rPr>
                <w:rFonts w:hint="default" w:ascii="宋体" w:cs="宋体"/>
              </w:rPr>
            </w:pPr>
            <w:r>
              <w:rPr>
                <w:rFonts w:ascii="宋体" w:hAnsi="宋体" w:cs="宋体"/>
              </w:rPr>
              <w:t>社会效益（5分）</w:t>
            </w:r>
          </w:p>
        </w:tc>
        <w:tc>
          <w:tcPr>
            <w:tcW w:w="375" w:type="pct"/>
          </w:tcPr>
          <w:p w14:paraId="66803E2D">
            <w:pPr>
              <w:tabs>
                <w:tab w:val="left" w:pos="2604"/>
              </w:tabs>
              <w:spacing w:line="240" w:lineRule="exact"/>
              <w:ind w:left="105" w:leftChars="50" w:right="105" w:rightChars="50" w:firstLine="96" w:firstLineChars="46"/>
              <w:rPr>
                <w:rFonts w:hint="default" w:ascii="宋体" w:cs="宋体"/>
              </w:rPr>
            </w:pPr>
            <w:r>
              <w:rPr>
                <w:rFonts w:ascii="宋体" w:cs="宋体"/>
              </w:rPr>
              <w:t>4</w:t>
            </w:r>
          </w:p>
        </w:tc>
        <w:tc>
          <w:tcPr>
            <w:tcW w:w="1576" w:type="pct"/>
            <w:tcMar>
              <w:top w:w="10" w:type="dxa"/>
              <w:left w:w="10" w:type="dxa"/>
              <w:bottom w:w="0" w:type="dxa"/>
              <w:right w:w="10" w:type="dxa"/>
            </w:tcMar>
            <w:vAlign w:val="center"/>
          </w:tcPr>
          <w:p w14:paraId="745568A3">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部门履行职责对社会发展所带来的直接或间接影响。</w:t>
            </w:r>
          </w:p>
        </w:tc>
        <w:tc>
          <w:tcPr>
            <w:tcW w:w="1867" w:type="pct"/>
            <w:vMerge w:val="continue"/>
            <w:vAlign w:val="center"/>
          </w:tcPr>
          <w:p w14:paraId="6BD12042">
            <w:pPr>
              <w:spacing w:line="240" w:lineRule="exact"/>
              <w:ind w:left="105" w:leftChars="50" w:right="105" w:rightChars="50"/>
              <w:rPr>
                <w:rFonts w:hint="default" w:ascii="宋体" w:cs="宋体"/>
              </w:rPr>
            </w:pPr>
          </w:p>
        </w:tc>
      </w:tr>
      <w:tr w14:paraId="3A73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14:paraId="35B7B8B6">
            <w:pPr>
              <w:spacing w:line="240" w:lineRule="exact"/>
              <w:rPr>
                <w:rFonts w:hint="default" w:ascii="宋体" w:cs="宋体"/>
              </w:rPr>
            </w:pPr>
          </w:p>
        </w:tc>
        <w:tc>
          <w:tcPr>
            <w:tcW w:w="375" w:type="pct"/>
            <w:vMerge w:val="continue"/>
            <w:vAlign w:val="center"/>
          </w:tcPr>
          <w:p w14:paraId="3BCF33DC">
            <w:pPr>
              <w:spacing w:line="240" w:lineRule="exact"/>
              <w:rPr>
                <w:rFonts w:hint="default" w:ascii="宋体" w:cs="宋体"/>
              </w:rPr>
            </w:pPr>
          </w:p>
        </w:tc>
        <w:tc>
          <w:tcPr>
            <w:tcW w:w="500" w:type="pct"/>
            <w:tcMar>
              <w:top w:w="10" w:type="dxa"/>
              <w:left w:w="10" w:type="dxa"/>
              <w:bottom w:w="0" w:type="dxa"/>
              <w:right w:w="10" w:type="dxa"/>
            </w:tcMar>
            <w:vAlign w:val="center"/>
          </w:tcPr>
          <w:p w14:paraId="58376C7B">
            <w:pPr>
              <w:spacing w:line="240" w:lineRule="exact"/>
              <w:jc w:val="center"/>
              <w:rPr>
                <w:rFonts w:hint="default" w:ascii="宋体" w:cs="宋体"/>
              </w:rPr>
            </w:pPr>
            <w:r>
              <w:rPr>
                <w:rFonts w:ascii="宋体" w:hAnsi="宋体" w:cs="宋体"/>
              </w:rPr>
              <w:t>生态效益（5分）</w:t>
            </w:r>
          </w:p>
        </w:tc>
        <w:tc>
          <w:tcPr>
            <w:tcW w:w="375" w:type="pct"/>
          </w:tcPr>
          <w:p w14:paraId="62C9C64E">
            <w:pPr>
              <w:tabs>
                <w:tab w:val="left" w:pos="2604"/>
              </w:tabs>
              <w:spacing w:line="240" w:lineRule="exact"/>
              <w:ind w:left="105" w:leftChars="50" w:right="105" w:rightChars="50" w:firstLine="96" w:firstLineChars="46"/>
              <w:rPr>
                <w:rFonts w:hint="default" w:ascii="宋体" w:cs="宋体"/>
              </w:rPr>
            </w:pPr>
            <w:r>
              <w:rPr>
                <w:rFonts w:ascii="宋体" w:cs="宋体"/>
              </w:rPr>
              <w:t>4.5</w:t>
            </w:r>
          </w:p>
        </w:tc>
        <w:tc>
          <w:tcPr>
            <w:tcW w:w="1576" w:type="pct"/>
            <w:tcMar>
              <w:top w:w="10" w:type="dxa"/>
              <w:left w:w="10" w:type="dxa"/>
              <w:bottom w:w="0" w:type="dxa"/>
              <w:right w:w="10" w:type="dxa"/>
            </w:tcMar>
            <w:vAlign w:val="center"/>
          </w:tcPr>
          <w:p w14:paraId="5E0A7F20">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部门履行职责对生态环境所带来的直接或间接影响。</w:t>
            </w:r>
          </w:p>
        </w:tc>
        <w:tc>
          <w:tcPr>
            <w:tcW w:w="1867" w:type="pct"/>
            <w:vMerge w:val="continue"/>
            <w:vAlign w:val="center"/>
          </w:tcPr>
          <w:p w14:paraId="0EF7239B">
            <w:pPr>
              <w:spacing w:line="240" w:lineRule="exact"/>
              <w:ind w:left="105" w:leftChars="50" w:right="105" w:rightChars="50"/>
              <w:rPr>
                <w:rFonts w:hint="default" w:ascii="宋体" w:cs="宋体"/>
              </w:rPr>
            </w:pPr>
          </w:p>
        </w:tc>
      </w:tr>
      <w:tr w14:paraId="25F7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14:paraId="27670477">
            <w:pPr>
              <w:spacing w:line="240" w:lineRule="exact"/>
              <w:rPr>
                <w:rFonts w:hint="default" w:ascii="宋体" w:cs="宋体"/>
              </w:rPr>
            </w:pPr>
          </w:p>
        </w:tc>
        <w:tc>
          <w:tcPr>
            <w:tcW w:w="375" w:type="pct"/>
            <w:vMerge w:val="continue"/>
            <w:vAlign w:val="center"/>
          </w:tcPr>
          <w:p w14:paraId="79FF4C4F">
            <w:pPr>
              <w:spacing w:line="240" w:lineRule="exact"/>
              <w:rPr>
                <w:rFonts w:hint="default" w:ascii="宋体" w:cs="宋体"/>
              </w:rPr>
            </w:pPr>
          </w:p>
        </w:tc>
        <w:tc>
          <w:tcPr>
            <w:tcW w:w="500" w:type="pct"/>
            <w:tcMar>
              <w:top w:w="10" w:type="dxa"/>
              <w:left w:w="10" w:type="dxa"/>
              <w:bottom w:w="0" w:type="dxa"/>
              <w:right w:w="10" w:type="dxa"/>
            </w:tcMar>
            <w:vAlign w:val="center"/>
          </w:tcPr>
          <w:p w14:paraId="06DFF1FE">
            <w:pPr>
              <w:spacing w:line="240" w:lineRule="exact"/>
              <w:jc w:val="center"/>
              <w:rPr>
                <w:rFonts w:hint="default" w:ascii="宋体" w:cs="宋体"/>
              </w:rPr>
            </w:pPr>
            <w:r>
              <w:rPr>
                <w:rFonts w:ascii="宋体" w:hAnsi="宋体" w:cs="宋体"/>
              </w:rPr>
              <w:t>社会公众</w:t>
            </w:r>
          </w:p>
          <w:p w14:paraId="52A1CA0A">
            <w:pPr>
              <w:spacing w:line="240" w:lineRule="exact"/>
              <w:jc w:val="center"/>
              <w:rPr>
                <w:rFonts w:hint="default" w:ascii="宋体" w:cs="宋体"/>
              </w:rPr>
            </w:pPr>
            <w:r>
              <w:rPr>
                <w:rFonts w:ascii="宋体" w:hAnsi="宋体" w:cs="宋体"/>
              </w:rPr>
              <w:t>或服务对</w:t>
            </w:r>
          </w:p>
          <w:p w14:paraId="4FC99D22">
            <w:pPr>
              <w:spacing w:line="240" w:lineRule="exact"/>
              <w:jc w:val="center"/>
              <w:rPr>
                <w:rFonts w:hint="default" w:ascii="宋体" w:cs="宋体"/>
              </w:rPr>
            </w:pPr>
            <w:r>
              <w:rPr>
                <w:rFonts w:ascii="宋体" w:hAnsi="宋体" w:cs="宋体"/>
              </w:rPr>
              <w:t>象满意度（5分）</w:t>
            </w:r>
          </w:p>
        </w:tc>
        <w:tc>
          <w:tcPr>
            <w:tcW w:w="375" w:type="pct"/>
          </w:tcPr>
          <w:p w14:paraId="57B21973">
            <w:pPr>
              <w:tabs>
                <w:tab w:val="left" w:pos="2604"/>
              </w:tabs>
              <w:spacing w:line="240" w:lineRule="exact"/>
              <w:ind w:left="105" w:leftChars="50" w:right="105" w:rightChars="50" w:firstLine="96" w:firstLineChars="46"/>
              <w:rPr>
                <w:rFonts w:hint="default" w:ascii="宋体" w:cs="宋体"/>
              </w:rPr>
            </w:pPr>
            <w:r>
              <w:rPr>
                <w:rFonts w:ascii="宋体" w:cs="宋体"/>
              </w:rPr>
              <w:t>5</w:t>
            </w:r>
          </w:p>
        </w:tc>
        <w:tc>
          <w:tcPr>
            <w:tcW w:w="1576" w:type="pct"/>
            <w:tcMar>
              <w:top w:w="10" w:type="dxa"/>
              <w:left w:w="10" w:type="dxa"/>
              <w:bottom w:w="0" w:type="dxa"/>
              <w:right w:w="10" w:type="dxa"/>
            </w:tcMar>
            <w:vAlign w:val="center"/>
          </w:tcPr>
          <w:p w14:paraId="6BDF8275">
            <w:pPr>
              <w:tabs>
                <w:tab w:val="left" w:pos="2604"/>
              </w:tabs>
              <w:spacing w:line="240" w:lineRule="exact"/>
              <w:ind w:left="105" w:leftChars="50" w:right="105" w:rightChars="50" w:firstLine="96" w:firstLineChars="46"/>
              <w:rPr>
                <w:rFonts w:hint="default" w:ascii="宋体" w:cs="宋体"/>
              </w:rPr>
            </w:pPr>
            <w:r>
              <w:rPr>
                <w:rFonts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14:paraId="469D46D8">
            <w:pPr>
              <w:spacing w:line="240" w:lineRule="exact"/>
              <w:ind w:left="105" w:leftChars="50" w:right="105" w:rightChars="50"/>
              <w:rPr>
                <w:rFonts w:hint="default" w:ascii="宋体" w:cs="宋体"/>
              </w:rPr>
            </w:pPr>
            <w:r>
              <w:rPr>
                <w:rFonts w:ascii="宋体" w:hAnsi="宋体" w:cs="宋体"/>
              </w:rPr>
              <w:t>社会公众或服务对象是指部门履行职责而影响到的部门、群体或个人。一般采取社会调查的方式。</w:t>
            </w:r>
          </w:p>
        </w:tc>
      </w:tr>
      <w:tr w14:paraId="1D39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14:paraId="07E52AD8">
            <w:pPr>
              <w:spacing w:line="240" w:lineRule="exact"/>
              <w:rPr>
                <w:rFonts w:hint="default" w:ascii="宋体" w:cs="宋体"/>
              </w:rPr>
            </w:pPr>
            <w:r>
              <w:rPr>
                <w:rFonts w:ascii="宋体" w:hAnsi="宋体" w:cs="宋体"/>
              </w:rPr>
              <w:t>总分</w:t>
            </w:r>
          </w:p>
        </w:tc>
        <w:tc>
          <w:tcPr>
            <w:tcW w:w="375" w:type="pct"/>
            <w:vAlign w:val="center"/>
          </w:tcPr>
          <w:p w14:paraId="131AFBDE">
            <w:pPr>
              <w:spacing w:line="240" w:lineRule="exact"/>
              <w:rPr>
                <w:rFonts w:hint="default" w:ascii="宋体" w:cs="宋体"/>
              </w:rPr>
            </w:pPr>
          </w:p>
        </w:tc>
        <w:tc>
          <w:tcPr>
            <w:tcW w:w="500" w:type="pct"/>
            <w:tcMar>
              <w:top w:w="10" w:type="dxa"/>
              <w:left w:w="10" w:type="dxa"/>
              <w:bottom w:w="0" w:type="dxa"/>
              <w:right w:w="10" w:type="dxa"/>
            </w:tcMar>
            <w:vAlign w:val="center"/>
          </w:tcPr>
          <w:p w14:paraId="4A7CD13C">
            <w:pPr>
              <w:spacing w:line="240" w:lineRule="exact"/>
              <w:jc w:val="center"/>
              <w:rPr>
                <w:rFonts w:hint="default" w:ascii="宋体" w:cs="宋体"/>
              </w:rPr>
            </w:pPr>
          </w:p>
        </w:tc>
        <w:tc>
          <w:tcPr>
            <w:tcW w:w="375" w:type="pct"/>
          </w:tcPr>
          <w:p w14:paraId="32701F7F">
            <w:pPr>
              <w:tabs>
                <w:tab w:val="left" w:pos="2604"/>
              </w:tabs>
              <w:spacing w:line="240" w:lineRule="exact"/>
              <w:ind w:left="105" w:leftChars="50" w:right="105" w:rightChars="50" w:firstLine="96" w:firstLineChars="46"/>
              <w:rPr>
                <w:rFonts w:hint="default" w:ascii="宋体" w:cs="宋体"/>
              </w:rPr>
            </w:pPr>
            <w:r>
              <w:rPr>
                <w:rFonts w:ascii="宋体" w:cs="宋体"/>
              </w:rPr>
              <w:t>91</w:t>
            </w:r>
          </w:p>
        </w:tc>
        <w:tc>
          <w:tcPr>
            <w:tcW w:w="1576" w:type="pct"/>
            <w:tcMar>
              <w:top w:w="10" w:type="dxa"/>
              <w:left w:w="10" w:type="dxa"/>
              <w:bottom w:w="0" w:type="dxa"/>
              <w:right w:w="10" w:type="dxa"/>
            </w:tcMar>
            <w:vAlign w:val="center"/>
          </w:tcPr>
          <w:p w14:paraId="4295986E">
            <w:pPr>
              <w:tabs>
                <w:tab w:val="left" w:pos="2604"/>
              </w:tabs>
              <w:spacing w:line="240" w:lineRule="exact"/>
              <w:ind w:left="105" w:leftChars="50" w:right="105" w:rightChars="50" w:firstLine="96" w:firstLineChars="46"/>
              <w:rPr>
                <w:rFonts w:hint="default" w:ascii="宋体" w:cs="宋体"/>
              </w:rPr>
            </w:pPr>
          </w:p>
        </w:tc>
        <w:tc>
          <w:tcPr>
            <w:tcW w:w="1867" w:type="pct"/>
            <w:tcMar>
              <w:top w:w="10" w:type="dxa"/>
              <w:left w:w="10" w:type="dxa"/>
              <w:bottom w:w="0" w:type="dxa"/>
              <w:right w:w="10" w:type="dxa"/>
            </w:tcMar>
            <w:vAlign w:val="center"/>
          </w:tcPr>
          <w:p w14:paraId="395E447F">
            <w:pPr>
              <w:spacing w:line="240" w:lineRule="exact"/>
              <w:ind w:left="105" w:leftChars="50" w:right="105" w:rightChars="50"/>
              <w:rPr>
                <w:rFonts w:hint="default" w:ascii="宋体" w:cs="宋体"/>
              </w:rPr>
            </w:pPr>
          </w:p>
        </w:tc>
      </w:tr>
    </w:tbl>
    <w:p w14:paraId="661808CA">
      <w:pPr>
        <w:rPr>
          <w:rFonts w:hint="default"/>
        </w:rPr>
      </w:pPr>
    </w:p>
    <w:p w14:paraId="6854E173">
      <w:pPr>
        <w:spacing w:line="600" w:lineRule="exact"/>
        <w:rPr>
          <w:rFonts w:hint="default"/>
        </w:rPr>
      </w:pPr>
    </w:p>
    <w:p w14:paraId="07A13970">
      <w:pPr>
        <w:spacing w:line="560" w:lineRule="exact"/>
        <w:rPr>
          <w:rFonts w:hint="default"/>
        </w:rPr>
      </w:pPr>
    </w:p>
    <w:sectPr>
      <w:footerReference r:id="rId3" w:type="default"/>
      <w:pgSz w:w="11906" w:h="16838"/>
      <w:pgMar w:top="2098" w:right="1474"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533364"/>
      <w:docPartObj>
        <w:docPartGallery w:val="AutoText"/>
      </w:docPartObj>
    </w:sdtPr>
    <w:sdtContent>
      <w:p w14:paraId="0F6D6DE9">
        <w:pPr>
          <w:pStyle w:val="2"/>
          <w:jc w:val="center"/>
          <w:rPr>
            <w:rFonts w:hint="default"/>
          </w:rPr>
        </w:pPr>
        <w:r>
          <w:fldChar w:fldCharType="begin"/>
        </w:r>
        <w:r>
          <w:instrText xml:space="preserve">PAGE   \* MERGEFORMAT</w:instrText>
        </w:r>
        <w:r>
          <w:fldChar w:fldCharType="separate"/>
        </w:r>
        <w:r>
          <w:rPr>
            <w:rFonts w:hint="default"/>
            <w:lang w:val="zh-CN"/>
          </w:rPr>
          <w:t>33</w:t>
        </w:r>
        <w:r>
          <w:fldChar w:fldCharType="end"/>
        </w:r>
      </w:p>
    </w:sdtContent>
  </w:sdt>
  <w:p w14:paraId="08AD5806">
    <w:pPr>
      <w:pStyle w:val="2"/>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zMDJkZDM1N2MwNGE2NmM2MzMyNzY1OGRjNWZiZWIifQ=="/>
  </w:docVars>
  <w:rsids>
    <w:rsidRoot w:val="09650194"/>
    <w:rsid w:val="0015160C"/>
    <w:rsid w:val="001E4858"/>
    <w:rsid w:val="002457CA"/>
    <w:rsid w:val="002563FA"/>
    <w:rsid w:val="005C3D0A"/>
    <w:rsid w:val="00634F8C"/>
    <w:rsid w:val="006809D5"/>
    <w:rsid w:val="00693BF8"/>
    <w:rsid w:val="006B508F"/>
    <w:rsid w:val="006D3FD9"/>
    <w:rsid w:val="007B6F6B"/>
    <w:rsid w:val="007D7346"/>
    <w:rsid w:val="0093583E"/>
    <w:rsid w:val="009C086F"/>
    <w:rsid w:val="009D6999"/>
    <w:rsid w:val="00A0779F"/>
    <w:rsid w:val="00B611B2"/>
    <w:rsid w:val="00C5158F"/>
    <w:rsid w:val="00D20A7A"/>
    <w:rsid w:val="00D753A5"/>
    <w:rsid w:val="00E80273"/>
    <w:rsid w:val="00F23502"/>
    <w:rsid w:val="00FD0E88"/>
    <w:rsid w:val="00FD5C40"/>
    <w:rsid w:val="09650194"/>
    <w:rsid w:val="16C06002"/>
    <w:rsid w:val="1B59668F"/>
    <w:rsid w:val="275C1841"/>
    <w:rsid w:val="2DD67732"/>
    <w:rsid w:val="59346731"/>
    <w:rsid w:val="596173AF"/>
    <w:rsid w:val="5B4F7BCE"/>
    <w:rsid w:val="61031712"/>
    <w:rsid w:val="6E52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uiPriority w:val="99"/>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16614</Words>
  <Characters>17503</Characters>
  <Lines>128</Lines>
  <Paragraphs>36</Paragraphs>
  <TotalTime>30</TotalTime>
  <ScaleCrop>false</ScaleCrop>
  <LinksUpToDate>false</LinksUpToDate>
  <CharactersWithSpaces>17527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2021-10-21T03:00:00Z</dcterms:created>
  <dc:creator>Administrator</dc:creator>
  <cp:lastModifiedBy>丫丫</cp:lastModifiedBy>
  <dcterms:modified xsi:type="dcterms:W3CDTF">2024-09-09T07:58:58Z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468AD0BE178647B8A11101D3B6DBC189</vt:lpwstr>
  </property>
</Properties>
</file>