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32"/>
          <w:szCs w:val="32"/>
          <w:highlight w:val="white"/>
        </w:rPr>
      </w:pPr>
    </w:p>
    <w:p>
      <w:pPr>
        <w:spacing w:line="560" w:lineRule="exact"/>
        <w:jc w:val="center"/>
        <w:rPr>
          <w:rFonts w:ascii="方正小标宋简体" w:eastAsia="方正小标宋简体"/>
          <w:sz w:val="44"/>
          <w:szCs w:val="44"/>
          <w:highlight w:val="white"/>
        </w:rPr>
      </w:pPr>
      <w:r>
        <w:rPr>
          <w:rFonts w:hint="eastAsia" w:ascii="方正小标宋简体" w:eastAsia="方正小标宋简体"/>
          <w:sz w:val="44"/>
          <w:szCs w:val="44"/>
          <w:highlight w:val="white"/>
        </w:rPr>
        <w:t>2020年度益阳市赫山区工商联合会部门决算</w:t>
      </w:r>
    </w:p>
    <w:p>
      <w:pPr>
        <w:spacing w:line="560" w:lineRule="exact"/>
        <w:rPr>
          <w:rFonts w:ascii="仿宋_GB2312" w:eastAsia="仿宋_GB2312"/>
          <w:sz w:val="32"/>
          <w:szCs w:val="32"/>
          <w:highlight w:val="white"/>
        </w:rPr>
      </w:pPr>
    </w:p>
    <w:p>
      <w:pPr>
        <w:spacing w:line="560" w:lineRule="exact"/>
        <w:jc w:val="center"/>
        <w:rPr>
          <w:rFonts w:ascii="黑体" w:eastAsia="黑体"/>
          <w:sz w:val="32"/>
          <w:szCs w:val="32"/>
          <w:highlight w:val="white"/>
        </w:rPr>
      </w:pPr>
      <w:r>
        <w:rPr>
          <w:rFonts w:hint="eastAsia" w:ascii="黑体" w:eastAsia="黑体"/>
          <w:sz w:val="32"/>
          <w:szCs w:val="32"/>
          <w:highlight w:val="white"/>
        </w:rPr>
        <w:t>目 录</w:t>
      </w:r>
      <w:bookmarkStart w:id="1" w:name="_GoBack"/>
      <w:bookmarkEnd w:id="1"/>
    </w:p>
    <w:p>
      <w:pPr>
        <w:spacing w:line="560" w:lineRule="exact"/>
        <w:ind w:firstLine="640" w:firstLineChars="200"/>
        <w:rPr>
          <w:rFonts w:ascii="黑体" w:eastAsia="黑体"/>
          <w:sz w:val="32"/>
          <w:szCs w:val="32"/>
          <w:highlight w:val="white"/>
        </w:rPr>
      </w:pPr>
      <w:r>
        <w:rPr>
          <w:rFonts w:hint="eastAsia" w:ascii="黑体" w:eastAsia="黑体"/>
          <w:sz w:val="32"/>
          <w:szCs w:val="32"/>
          <w:highlight w:val="white"/>
        </w:rPr>
        <w:t>第一部分  益阳市赫山区工商联合会概况</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一、部门职责</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二、机构设置</w:t>
      </w:r>
    </w:p>
    <w:p>
      <w:pPr>
        <w:spacing w:line="560" w:lineRule="exact"/>
        <w:ind w:firstLine="640" w:firstLineChars="200"/>
        <w:rPr>
          <w:rFonts w:ascii="黑体" w:eastAsia="黑体"/>
          <w:sz w:val="32"/>
          <w:szCs w:val="32"/>
          <w:highlight w:val="white"/>
        </w:rPr>
      </w:pPr>
      <w:r>
        <w:rPr>
          <w:rFonts w:hint="eastAsia" w:ascii="黑体" w:eastAsia="黑体"/>
          <w:sz w:val="32"/>
          <w:szCs w:val="32"/>
          <w:highlight w:val="white"/>
        </w:rPr>
        <w:t>第二部分  2020年度部门决算表</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一、收入支出决算总表</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二、收入决算表</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三、支出决算表</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四、财政拨款收入支出决算总表</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五、一般公共预算财政拨款支出决算表</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六、一般公共预算财政拨款基本支出决算表</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七、一般公共预算财政拨款“三公”经费支出决算表</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八、政府性基金预算财政拨款收入支出决算表</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九、国有资本经营预算财政拨款收入支出决算表</w:t>
      </w:r>
    </w:p>
    <w:p>
      <w:pPr>
        <w:spacing w:line="560" w:lineRule="exact"/>
        <w:ind w:firstLine="640" w:firstLineChars="200"/>
        <w:rPr>
          <w:rFonts w:ascii="仿宋_GB2312" w:eastAsia="仿宋_GB2312"/>
          <w:sz w:val="32"/>
          <w:szCs w:val="32"/>
          <w:highlight w:val="white"/>
        </w:rPr>
      </w:pPr>
      <w:r>
        <w:rPr>
          <w:rFonts w:hint="eastAsia" w:ascii="仿宋_GB2312" w:eastAsia="仿宋_GB2312"/>
          <w:bCs/>
          <w:sz w:val="32"/>
          <w:szCs w:val="32"/>
        </w:rPr>
        <w:t>注：以上部门预算报表中，空表表示本部门无相关收支情况</w:t>
      </w:r>
    </w:p>
    <w:p>
      <w:pPr>
        <w:spacing w:line="560" w:lineRule="exact"/>
        <w:ind w:firstLine="640" w:firstLineChars="200"/>
        <w:rPr>
          <w:rFonts w:ascii="黑体" w:eastAsia="黑体"/>
          <w:sz w:val="32"/>
          <w:szCs w:val="32"/>
          <w:highlight w:val="white"/>
        </w:rPr>
      </w:pPr>
      <w:r>
        <w:rPr>
          <w:rFonts w:hint="eastAsia" w:ascii="黑体" w:eastAsia="黑体"/>
          <w:sz w:val="32"/>
          <w:szCs w:val="32"/>
          <w:highlight w:val="white"/>
        </w:rPr>
        <w:t>第三部分  2020年度部门决算情况说明</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一、收入支出决算总体情况说明</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二、收入决算情况说明</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三、支出决算情况说明</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四、财政拨款收入支出决算总体情况说明</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五、一般公共预算财政拨款支出决算情况说明</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六、一般公共预算财政拨款基本支出决算情况说明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七、一般公共预算财政拨款三公经费支出决算情况说明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八、政府性基金预算收入支出决算情况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九、国有资本经营预算财政拨款支出决算情况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十、关于机关运行经费支出说明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十一、一般性支出情况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十二、关于政府采购支出说明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十三、关于国有资产占用情况说明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十四、关于2020年度预算绩效情况的说明</w:t>
      </w:r>
    </w:p>
    <w:p>
      <w:pPr>
        <w:spacing w:line="560" w:lineRule="exact"/>
        <w:ind w:firstLine="640" w:firstLineChars="200"/>
        <w:rPr>
          <w:rFonts w:ascii="黑体" w:eastAsia="黑体"/>
          <w:sz w:val="32"/>
          <w:szCs w:val="32"/>
          <w:highlight w:val="white"/>
        </w:rPr>
      </w:pPr>
      <w:r>
        <w:rPr>
          <w:rFonts w:hint="eastAsia" w:ascii="黑体" w:eastAsia="黑体"/>
          <w:sz w:val="32"/>
          <w:szCs w:val="32"/>
          <w:highlight w:val="white"/>
        </w:rPr>
        <w:t>第四部分  名词解释</w:t>
      </w:r>
    </w:p>
    <w:p>
      <w:pPr>
        <w:spacing w:line="560" w:lineRule="exact"/>
        <w:ind w:firstLine="640" w:firstLineChars="200"/>
        <w:rPr>
          <w:rFonts w:ascii="黑体" w:eastAsia="黑体"/>
          <w:sz w:val="32"/>
          <w:szCs w:val="32"/>
          <w:highlight w:val="white"/>
        </w:rPr>
      </w:pPr>
      <w:r>
        <w:rPr>
          <w:rFonts w:hint="eastAsia" w:ascii="黑体" w:eastAsia="黑体"/>
          <w:sz w:val="32"/>
          <w:szCs w:val="32"/>
          <w:highlight w:val="white"/>
        </w:rPr>
        <w:t>第五部分  附  件</w:t>
      </w:r>
    </w:p>
    <w:p>
      <w:pPr>
        <w:jc w:val="left"/>
        <w:rPr>
          <w:rFonts w:ascii="仿宋_GB2312" w:eastAsia="仿宋_GB2312"/>
          <w:sz w:val="32"/>
          <w:szCs w:val="32"/>
          <w:highlight w:val="white"/>
        </w:rPr>
      </w:pPr>
      <w:r>
        <w:rPr>
          <w:rFonts w:ascii="仿宋_GB2312" w:eastAsia="仿宋_GB2312"/>
          <w:sz w:val="32"/>
          <w:szCs w:val="32"/>
          <w:highlight w:val="white"/>
        </w:rPr>
        <w:br w:type="page"/>
      </w:r>
    </w:p>
    <w:p>
      <w:pPr>
        <w:spacing w:line="560" w:lineRule="exact"/>
        <w:rPr>
          <w:rFonts w:ascii="黑体" w:eastAsia="黑体"/>
          <w:sz w:val="32"/>
          <w:szCs w:val="32"/>
          <w:highlight w:val="white"/>
        </w:rPr>
      </w:pPr>
      <w:r>
        <w:rPr>
          <w:rFonts w:hint="eastAsia" w:ascii="黑体" w:eastAsia="黑体"/>
          <w:sz w:val="32"/>
          <w:szCs w:val="32"/>
          <w:highlight w:val="white"/>
        </w:rPr>
        <w:t>第一部分：</w:t>
      </w:r>
    </w:p>
    <w:p>
      <w:pPr>
        <w:spacing w:line="560" w:lineRule="exact"/>
        <w:jc w:val="center"/>
        <w:rPr>
          <w:rFonts w:ascii="方正小标宋简体" w:eastAsia="方正小标宋简体"/>
          <w:sz w:val="44"/>
          <w:szCs w:val="44"/>
          <w:highlight w:val="white"/>
        </w:rPr>
      </w:pPr>
      <w:r>
        <w:rPr>
          <w:rFonts w:hint="eastAsia" w:ascii="方正小标宋简体" w:eastAsia="方正小标宋简体"/>
          <w:sz w:val="44"/>
          <w:szCs w:val="44"/>
          <w:highlight w:val="white"/>
        </w:rPr>
        <w:t>益阳市赫山区工商联合会概况</w:t>
      </w:r>
    </w:p>
    <w:p>
      <w:pPr>
        <w:spacing w:line="560" w:lineRule="exact"/>
        <w:ind w:firstLine="640" w:firstLineChars="200"/>
        <w:rPr>
          <w:rFonts w:ascii="仿宋_GB2312" w:eastAsia="仿宋_GB2312"/>
          <w:sz w:val="32"/>
          <w:szCs w:val="32"/>
          <w:highlight w:val="white"/>
        </w:rPr>
      </w:pPr>
    </w:p>
    <w:p>
      <w:pPr>
        <w:spacing w:line="560" w:lineRule="exact"/>
        <w:ind w:firstLine="640" w:firstLineChars="200"/>
        <w:rPr>
          <w:rFonts w:ascii="黑体" w:eastAsia="黑体"/>
          <w:sz w:val="32"/>
          <w:szCs w:val="32"/>
          <w:highlight w:val="white"/>
        </w:rPr>
      </w:pPr>
      <w:r>
        <w:rPr>
          <w:rFonts w:hint="eastAsia" w:ascii="黑体" w:eastAsia="黑体"/>
          <w:sz w:val="32"/>
          <w:szCs w:val="32"/>
          <w:highlight w:val="white"/>
        </w:rPr>
        <w:t>一、部门职责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加强非公有制经济人士的思想政治工作；参加政治协商，发挥民主监督作用，积极参政议政；推动经贸交流和协作，促进经济社会发展；加强行业商会建设，服务非公有制企业发展；参与协调劳动关系，促进社会和谐稳定；反映非公有制企业和非公有制经济人士利益诉求，维护其合法权益。</w:t>
      </w:r>
    </w:p>
    <w:p>
      <w:pPr>
        <w:spacing w:line="560" w:lineRule="exact"/>
        <w:ind w:firstLine="640" w:firstLineChars="200"/>
        <w:rPr>
          <w:rFonts w:ascii="黑体" w:eastAsia="黑体"/>
          <w:sz w:val="32"/>
          <w:szCs w:val="32"/>
          <w:highlight w:val="white"/>
        </w:rPr>
      </w:pPr>
      <w:r>
        <w:rPr>
          <w:rFonts w:hint="eastAsia" w:ascii="黑体" w:eastAsia="黑体"/>
          <w:sz w:val="32"/>
          <w:szCs w:val="32"/>
          <w:highlight w:val="white"/>
        </w:rPr>
        <w:t>二、机构设置</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（一）内设机构设置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机构设置情况：赫山区工商业联合会为机关行政单位，本单位执行行政单位财务会计制度，内设办公室，宣教股，会员部、非公有制企业服务中心。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人员情况：核定全额拨款8名,其中行政编制5名、事业编制3名，设主席1名（副处级）、副主席2名。</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（二）决算单位构成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赫山区工商业联合会只有本级，没有其他二级预算单位，因此，纳入2020年部门决算编制范围的只有赫山区工商业联合会本级。</w:t>
      </w:r>
    </w:p>
    <w:p>
      <w:pPr>
        <w:spacing w:line="560" w:lineRule="exact"/>
        <w:rPr>
          <w:rFonts w:ascii="仿宋_GB2312" w:eastAsia="仿宋_GB2312"/>
          <w:sz w:val="32"/>
          <w:szCs w:val="32"/>
        </w:rPr>
      </w:pPr>
    </w:p>
    <w:p>
      <w:pPr>
        <w:spacing w:line="560" w:lineRule="exact"/>
        <w:rPr>
          <w:rFonts w:ascii="黑体" w:eastAsia="黑体"/>
          <w:sz w:val="32"/>
          <w:szCs w:val="32"/>
          <w:highlight w:val="white"/>
        </w:rPr>
      </w:pPr>
      <w:r>
        <w:rPr>
          <w:rFonts w:hint="eastAsia" w:ascii="黑体" w:eastAsia="黑体"/>
          <w:sz w:val="32"/>
          <w:szCs w:val="32"/>
          <w:highlight w:val="white"/>
        </w:rPr>
        <w:t>第二部分：</w:t>
      </w:r>
    </w:p>
    <w:p>
      <w:pPr>
        <w:spacing w:line="560" w:lineRule="exact"/>
        <w:jc w:val="center"/>
        <w:rPr>
          <w:rFonts w:ascii="方正小标宋简体" w:eastAsia="方正小标宋简体"/>
          <w:sz w:val="36"/>
          <w:szCs w:val="36"/>
          <w:highlight w:val="white"/>
        </w:rPr>
      </w:pPr>
      <w:r>
        <w:rPr>
          <w:rFonts w:hint="eastAsia" w:ascii="方正小标宋简体" w:eastAsia="方正小标宋简体"/>
          <w:sz w:val="36"/>
          <w:szCs w:val="36"/>
          <w:highlight w:val="white"/>
        </w:rPr>
        <w:t>益阳市赫山区工商联合会</w:t>
      </w:r>
    </w:p>
    <w:p>
      <w:pPr>
        <w:spacing w:line="560" w:lineRule="exact"/>
        <w:jc w:val="center"/>
        <w:rPr>
          <w:rFonts w:ascii="方正小标宋简体" w:eastAsia="方正小标宋简体"/>
          <w:sz w:val="36"/>
          <w:szCs w:val="36"/>
          <w:highlight w:val="white"/>
        </w:rPr>
      </w:pPr>
      <w:r>
        <w:rPr>
          <w:rFonts w:hint="eastAsia" w:ascii="方正小标宋简体" w:eastAsia="方正小标宋简体"/>
          <w:sz w:val="36"/>
          <w:szCs w:val="36"/>
          <w:highlight w:val="white"/>
        </w:rPr>
        <w:t>2020年度部门决算表（见附表）</w:t>
      </w:r>
    </w:p>
    <w:p>
      <w:pPr>
        <w:spacing w:line="560" w:lineRule="exact"/>
        <w:ind w:firstLine="640" w:firstLineChars="200"/>
        <w:rPr>
          <w:rFonts w:ascii="仿宋_GB2312" w:eastAsia="仿宋_GB2312"/>
          <w:sz w:val="32"/>
          <w:szCs w:val="32"/>
          <w:highlight w:val="white"/>
        </w:rPr>
      </w:pPr>
    </w:p>
    <w:p>
      <w:pPr>
        <w:spacing w:line="560" w:lineRule="exact"/>
        <w:rPr>
          <w:rFonts w:ascii="黑体" w:eastAsia="黑体"/>
          <w:sz w:val="32"/>
          <w:szCs w:val="32"/>
          <w:highlight w:val="white"/>
        </w:rPr>
      </w:pPr>
      <w:r>
        <w:rPr>
          <w:rFonts w:hint="eastAsia" w:ascii="黑体" w:eastAsia="黑体"/>
          <w:sz w:val="32"/>
          <w:szCs w:val="32"/>
          <w:highlight w:val="white"/>
        </w:rPr>
        <w:t>第三部分：</w:t>
      </w:r>
    </w:p>
    <w:p>
      <w:pPr>
        <w:spacing w:line="560" w:lineRule="exact"/>
        <w:jc w:val="center"/>
        <w:rPr>
          <w:rFonts w:ascii="方正小标宋简体" w:eastAsia="方正小标宋简体"/>
          <w:sz w:val="38"/>
          <w:szCs w:val="38"/>
          <w:highlight w:val="white"/>
        </w:rPr>
      </w:pPr>
      <w:r>
        <w:rPr>
          <w:rFonts w:hint="eastAsia" w:ascii="方正小标宋简体" w:eastAsia="方正小标宋简体"/>
          <w:sz w:val="38"/>
          <w:szCs w:val="38"/>
          <w:highlight w:val="white"/>
        </w:rPr>
        <w:t>益阳市赫山区工商联合会</w:t>
      </w:r>
    </w:p>
    <w:p>
      <w:pPr>
        <w:spacing w:line="560" w:lineRule="exact"/>
        <w:jc w:val="center"/>
        <w:rPr>
          <w:rFonts w:ascii="方正小标宋简体" w:eastAsia="方正小标宋简体"/>
          <w:sz w:val="38"/>
          <w:szCs w:val="38"/>
          <w:highlight w:val="white"/>
        </w:rPr>
      </w:pPr>
      <w:r>
        <w:rPr>
          <w:rFonts w:hint="eastAsia" w:ascii="方正小标宋简体" w:eastAsia="方正小标宋简体"/>
          <w:sz w:val="38"/>
          <w:szCs w:val="38"/>
          <w:highlight w:val="white"/>
        </w:rPr>
        <w:t>2020年度部门决算情况说明</w:t>
      </w:r>
    </w:p>
    <w:p>
      <w:pPr>
        <w:spacing w:line="560" w:lineRule="exact"/>
        <w:ind w:firstLine="640" w:firstLineChars="200"/>
        <w:rPr>
          <w:rFonts w:ascii="黑体" w:eastAsia="黑体"/>
          <w:sz w:val="32"/>
          <w:szCs w:val="32"/>
          <w:highlight w:val="white"/>
        </w:rPr>
      </w:pPr>
    </w:p>
    <w:p>
      <w:pPr>
        <w:spacing w:line="560" w:lineRule="exact"/>
        <w:ind w:firstLine="640" w:firstLineChars="200"/>
        <w:rPr>
          <w:rFonts w:ascii="黑体" w:eastAsia="黑体"/>
          <w:sz w:val="32"/>
          <w:szCs w:val="32"/>
          <w:highlight w:val="white"/>
        </w:rPr>
      </w:pPr>
      <w:r>
        <w:rPr>
          <w:rFonts w:hint="eastAsia" w:ascii="黑体" w:eastAsia="黑体"/>
          <w:sz w:val="32"/>
          <w:szCs w:val="32"/>
          <w:highlight w:val="white"/>
        </w:rPr>
        <w:t>一、收入支出决算总体情况说明</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2020年度收入127.4万元，年初结转和结余8.23万元，总计135.63万元，与2019年度收入（110.41万元）相比，收入</w:t>
      </w:r>
      <w:r>
        <w:rPr>
          <w:rFonts w:hint="eastAsia" w:ascii="仿宋_GB2312" w:eastAsia="仿宋_GB2312"/>
          <w:sz w:val="32"/>
          <w:szCs w:val="32"/>
        </w:rPr>
        <w:t>增加</w:t>
      </w:r>
      <w:r>
        <w:rPr>
          <w:rFonts w:hint="eastAsia" w:ascii="仿宋_GB2312" w:eastAsia="仿宋_GB2312"/>
          <w:sz w:val="32"/>
          <w:szCs w:val="32"/>
          <w:highlight w:val="white"/>
        </w:rPr>
        <w:t>16.99万元，增长15.39%，主要原因是</w:t>
      </w:r>
      <w:r>
        <w:rPr>
          <w:rFonts w:hint="eastAsia" w:ascii="仿宋_GB2312" w:eastAsia="仿宋_GB2312"/>
          <w:sz w:val="32"/>
          <w:szCs w:val="32"/>
        </w:rPr>
        <w:t xml:space="preserve">: </w:t>
      </w:r>
      <w:r>
        <w:rPr>
          <w:rFonts w:hint="eastAsia" w:ascii="仿宋_GB2312" w:eastAsia="仿宋_GB2312"/>
          <w:sz w:val="32"/>
          <w:szCs w:val="32"/>
          <w:highlight w:val="white"/>
        </w:rPr>
        <w:t>人员经费、小型专项经费等增加。</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2020年度支出130.85万元，年初结转和结余4.78万元，总计135.63万元，与2019年支出（112.11万元）相比，</w:t>
      </w:r>
      <w:r>
        <w:rPr>
          <w:rFonts w:hint="eastAsia" w:ascii="仿宋_GB2312" w:eastAsia="仿宋_GB2312"/>
          <w:sz w:val="32"/>
          <w:szCs w:val="32"/>
        </w:rPr>
        <w:t>增加</w:t>
      </w:r>
      <w:r>
        <w:rPr>
          <w:rFonts w:hint="eastAsia" w:ascii="仿宋_GB2312" w:eastAsia="仿宋_GB2312"/>
          <w:sz w:val="32"/>
          <w:szCs w:val="32"/>
          <w:highlight w:val="white"/>
        </w:rPr>
        <w:t>18.74万元，增长16.72%，主要原因是人员经费、小型专项经费增加和上年支出下移。</w:t>
      </w:r>
    </w:p>
    <w:p>
      <w:pPr>
        <w:spacing w:line="560" w:lineRule="exact"/>
        <w:ind w:firstLine="640" w:firstLineChars="200"/>
        <w:rPr>
          <w:rFonts w:ascii="黑体" w:eastAsia="黑体"/>
          <w:sz w:val="32"/>
          <w:szCs w:val="32"/>
          <w:highlight w:val="white"/>
        </w:rPr>
      </w:pPr>
      <w:r>
        <w:rPr>
          <w:rFonts w:hint="eastAsia" w:ascii="黑体" w:eastAsia="黑体"/>
          <w:sz w:val="32"/>
          <w:szCs w:val="32"/>
          <w:highlight w:val="white"/>
        </w:rPr>
        <w:t>二、收入决算情况说明</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本年收入合计127.4万元，其中：一般公共预算财政拨款收入124.8万元，占97.96%；其他收入2.6万元，占2.04%。</w:t>
      </w:r>
    </w:p>
    <w:p>
      <w:pPr>
        <w:spacing w:line="560" w:lineRule="exact"/>
        <w:ind w:firstLine="640" w:firstLineChars="200"/>
        <w:rPr>
          <w:rFonts w:ascii="黑体" w:eastAsia="黑体"/>
          <w:sz w:val="32"/>
          <w:szCs w:val="32"/>
          <w:highlight w:val="white"/>
        </w:rPr>
      </w:pPr>
      <w:r>
        <w:rPr>
          <w:rFonts w:hint="eastAsia" w:ascii="黑体" w:eastAsia="黑体"/>
          <w:sz w:val="32"/>
          <w:szCs w:val="32"/>
          <w:highlight w:val="white"/>
        </w:rPr>
        <w:t>三、支出决算情况说明</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本年支出合计130.85万元，其中：基本支出130.85万元，占100%；</w:t>
      </w:r>
    </w:p>
    <w:p>
      <w:pPr>
        <w:spacing w:line="560" w:lineRule="exact"/>
        <w:ind w:firstLine="640" w:firstLineChars="200"/>
        <w:rPr>
          <w:rFonts w:ascii="黑体" w:eastAsia="黑体"/>
          <w:sz w:val="32"/>
          <w:szCs w:val="32"/>
          <w:highlight w:val="white"/>
        </w:rPr>
      </w:pPr>
      <w:r>
        <w:rPr>
          <w:rFonts w:hint="eastAsia" w:ascii="黑体" w:eastAsia="黑体"/>
          <w:sz w:val="32"/>
          <w:szCs w:val="32"/>
          <w:highlight w:val="white"/>
        </w:rPr>
        <w:t xml:space="preserve">四、财政拨款收入支出决算总体情况说明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2020年度财政拨款收入总计124.80万元，年初财政拨款结转和结余6.35万元，总计131.15万元，与2019年收入（110.41万元）相比，增加14.39万元，增长13.03%,</w:t>
      </w:r>
      <w:r>
        <w:rPr>
          <w:rFonts w:hint="eastAsia" w:ascii="仿宋_GB2312" w:eastAsia="仿宋_GB2312"/>
          <w:sz w:val="32"/>
          <w:szCs w:val="32"/>
          <w:highlight w:val="white"/>
        </w:rPr>
        <w:t>主要原因是：人员经费、小型专项经费增加。</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rPr>
        <w:t>2020年度财政拨款支出130.85万元，年初财政拨款结转和结余0.3万元，总计131.15万元，与2019年支出（112.11万元）相比，增加18.74万元，增长16.72%。</w:t>
      </w:r>
      <w:r>
        <w:rPr>
          <w:rFonts w:hint="eastAsia" w:ascii="仿宋_GB2312" w:eastAsia="仿宋_GB2312"/>
          <w:sz w:val="32"/>
          <w:szCs w:val="32"/>
          <w:highlight w:val="white"/>
        </w:rPr>
        <w:t>主要原因是：人员经费、小型专项经费增加和上年支出下移。</w:t>
      </w:r>
    </w:p>
    <w:p>
      <w:pPr>
        <w:spacing w:line="560" w:lineRule="exact"/>
        <w:ind w:firstLine="640" w:firstLineChars="200"/>
        <w:rPr>
          <w:rFonts w:ascii="黑体" w:eastAsia="黑体"/>
          <w:sz w:val="32"/>
          <w:szCs w:val="32"/>
          <w:highlight w:val="white"/>
        </w:rPr>
      </w:pPr>
      <w:r>
        <w:rPr>
          <w:rFonts w:hint="eastAsia" w:ascii="黑体" w:eastAsia="黑体"/>
          <w:sz w:val="32"/>
          <w:szCs w:val="32"/>
          <w:highlight w:val="white"/>
        </w:rPr>
        <w:t>五、一般公共预算财政拨款支出决算情况说明</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（一）一般公共预算财政拨款支出决算总体情况</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2020年度一般公共预算财政拨款支出130.85万元，占本年支出合计的100%。与2019年度相比，一般公共预算财政拨款支出增加18.74万元，增长16.72%,主要原因是人员经费及会议等支出增多。</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（二）一般公共预算财政拨款支出决算结构情况</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2020年度一般公共预算财政拨款支出130.85万元，主要用于以下方面：一般公共服务（类）支出130.85万元，占100%；</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（三）一般公共预算财政拨款支出决算具体情况</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2020年度一般公共预算财政拨款支出年初预算为104.52万元，支出决算为130.85万元，完成年初预算的125.19%</w:t>
      </w:r>
      <w:r>
        <w:rPr>
          <w:rFonts w:ascii="仿宋_GB2312" w:eastAsia="仿宋_GB2312"/>
          <w:sz w:val="32"/>
          <w:szCs w:val="32"/>
          <w:highlight w:val="white"/>
        </w:rPr>
        <w:t>。其中：</w:t>
      </w:r>
    </w:p>
    <w:p>
      <w:pPr>
        <w:spacing w:line="560" w:lineRule="exact"/>
        <w:ind w:firstLine="640" w:firstLineChars="200"/>
        <w:rPr>
          <w:rFonts w:ascii="仿宋_GB2312" w:eastAsia="仿宋_GB2312"/>
          <w:sz w:val="32"/>
          <w:szCs w:val="32"/>
        </w:rPr>
      </w:pPr>
      <w:r>
        <w:rPr>
          <w:rFonts w:ascii="仿宋_GB2312" w:eastAsia="仿宋_GB2312"/>
          <w:sz w:val="32"/>
          <w:szCs w:val="32"/>
          <w:highlight w:val="white"/>
        </w:rPr>
        <w:t>1.201一般公共服务支出28</w:t>
      </w:r>
      <w:r>
        <w:rPr>
          <w:rFonts w:ascii="仿宋_GB2312" w:eastAsia="仿宋_GB2312"/>
          <w:sz w:val="32"/>
          <w:szCs w:val="32"/>
        </w:rPr>
        <w:t>民主党派及工商联事务01行政运行</w:t>
      </w:r>
      <w:r>
        <w:rPr>
          <w:rFonts w:hint="eastAsia" w:ascii="仿宋_GB2312" w:eastAsia="仿宋_GB2312"/>
          <w:sz w:val="32"/>
          <w:szCs w:val="32"/>
          <w:highlight w:val="white"/>
        </w:rPr>
        <w:t>年初预算为</w:t>
      </w:r>
      <w:r>
        <w:rPr>
          <w:rFonts w:ascii="仿宋_GB2312" w:eastAsia="仿宋_GB2312"/>
          <w:sz w:val="32"/>
          <w:szCs w:val="32"/>
          <w:highlight w:val="white"/>
        </w:rPr>
        <w:t>104.52</w:t>
      </w:r>
      <w:r>
        <w:rPr>
          <w:rFonts w:hint="eastAsia" w:ascii="仿宋_GB2312" w:eastAsia="仿宋_GB2312"/>
          <w:sz w:val="32"/>
          <w:szCs w:val="32"/>
          <w:highlight w:val="white"/>
        </w:rPr>
        <w:t>元，支出决算为</w:t>
      </w:r>
      <w:r>
        <w:rPr>
          <w:rFonts w:ascii="仿宋_GB2312" w:eastAsia="仿宋_GB2312"/>
          <w:sz w:val="32"/>
          <w:szCs w:val="32"/>
          <w:highlight w:val="white"/>
        </w:rPr>
        <w:t>130.85</w:t>
      </w:r>
      <w:r>
        <w:rPr>
          <w:rFonts w:hint="eastAsia" w:ascii="仿宋_GB2312" w:eastAsia="仿宋_GB2312"/>
          <w:sz w:val="32"/>
          <w:szCs w:val="32"/>
          <w:highlight w:val="white"/>
        </w:rPr>
        <w:t>万元，完成年初预算的</w:t>
      </w:r>
      <w:r>
        <w:rPr>
          <w:rFonts w:ascii="仿宋_GB2312" w:eastAsia="仿宋_GB2312"/>
          <w:sz w:val="32"/>
          <w:szCs w:val="32"/>
          <w:highlight w:val="white"/>
        </w:rPr>
        <w:t>125.19%</w:t>
      </w:r>
      <w:r>
        <w:rPr>
          <w:rFonts w:hint="eastAsia" w:ascii="仿宋_GB2312" w:eastAsia="仿宋_GB2312"/>
          <w:sz w:val="32"/>
          <w:szCs w:val="32"/>
          <w:highlight w:val="white"/>
        </w:rPr>
        <w:t>，</w:t>
      </w:r>
      <w:r>
        <w:rPr>
          <w:rFonts w:ascii="仿宋_GB2312" w:eastAsia="仿宋_GB2312"/>
          <w:sz w:val="32"/>
          <w:szCs w:val="32"/>
          <w:highlight w:val="white"/>
        </w:rPr>
        <w:t>决算数大于年初预算数的</w:t>
      </w:r>
      <w:r>
        <w:rPr>
          <w:rFonts w:hint="eastAsia" w:ascii="仿宋_GB2312" w:eastAsia="仿宋_GB2312"/>
          <w:sz w:val="32"/>
          <w:szCs w:val="32"/>
          <w:highlight w:val="white"/>
        </w:rPr>
        <w:t>主要原因是</w:t>
      </w:r>
      <w:r>
        <w:rPr>
          <w:rFonts w:ascii="仿宋_GB2312" w:eastAsia="仿宋_GB2312"/>
          <w:sz w:val="32"/>
          <w:szCs w:val="32"/>
          <w:highlight w:val="white"/>
        </w:rPr>
        <w:t>：</w:t>
      </w:r>
      <w:r>
        <w:rPr>
          <w:rFonts w:hint="eastAsia" w:ascii="仿宋_GB2312" w:eastAsia="仿宋_GB2312"/>
          <w:sz w:val="32"/>
          <w:szCs w:val="32"/>
          <w:highlight w:val="white"/>
        </w:rPr>
        <w:t>增加人员经费及专项会议支出</w:t>
      </w:r>
      <w:r>
        <w:rPr>
          <w:rFonts w:ascii="仿宋_GB2312" w:eastAsia="仿宋_GB2312"/>
          <w:sz w:val="32"/>
          <w:szCs w:val="32"/>
          <w:highlight w:val="white"/>
        </w:rPr>
        <w:t>，调整预算增加26.33万元</w:t>
      </w:r>
      <w:r>
        <w:rPr>
          <w:rFonts w:hint="eastAsia" w:ascii="仿宋_GB2312" w:eastAsia="仿宋_GB2312"/>
          <w:sz w:val="32"/>
          <w:szCs w:val="32"/>
          <w:highlight w:val="white"/>
        </w:rPr>
        <w:t>。</w:t>
      </w:r>
      <w:r>
        <w:rPr>
          <w:rFonts w:hint="eastAsia" w:ascii="仿宋_GB2312" w:eastAsia="仿宋_GB2312"/>
          <w:sz w:val="32"/>
          <w:szCs w:val="32"/>
        </w:rPr>
        <w:t xml:space="preserve"> </w:t>
      </w:r>
    </w:p>
    <w:p>
      <w:pPr>
        <w:spacing w:line="560" w:lineRule="exact"/>
        <w:ind w:firstLine="640" w:firstLineChars="200"/>
        <w:rPr>
          <w:rFonts w:ascii="黑体" w:eastAsia="黑体"/>
          <w:sz w:val="32"/>
          <w:szCs w:val="32"/>
          <w:highlight w:val="white"/>
        </w:rPr>
      </w:pPr>
      <w:r>
        <w:rPr>
          <w:rFonts w:hint="eastAsia" w:ascii="黑体" w:eastAsia="黑体"/>
          <w:sz w:val="32"/>
          <w:szCs w:val="32"/>
          <w:highlight w:val="white"/>
        </w:rPr>
        <w:t>六、一般公共预算财政拨款基本支出决算情况说明</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 xml:space="preserve">2020年度一般公共预算财政拨款基本支出130.85万元，其中:人员经费108.62万元，占基本支出的83.01%，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公用经费22.23万元，占基本支出的16.99%，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     </w:t>
      </w:r>
    </w:p>
    <w:p>
      <w:pPr>
        <w:spacing w:line="560" w:lineRule="exact"/>
        <w:ind w:firstLine="640" w:firstLineChars="200"/>
        <w:rPr>
          <w:rFonts w:ascii="黑体" w:eastAsia="黑体"/>
          <w:sz w:val="32"/>
          <w:szCs w:val="32"/>
          <w:highlight w:val="white"/>
        </w:rPr>
      </w:pPr>
      <w:r>
        <w:rPr>
          <w:rFonts w:hint="eastAsia" w:ascii="黑体" w:eastAsia="黑体"/>
          <w:sz w:val="32"/>
          <w:szCs w:val="32"/>
          <w:highlight w:val="white"/>
        </w:rPr>
        <w:t>七</w:t>
      </w:r>
      <w:r>
        <w:rPr>
          <w:rFonts w:ascii="黑体" w:eastAsia="黑体"/>
          <w:sz w:val="32"/>
          <w:szCs w:val="32"/>
          <w:highlight w:val="white"/>
        </w:rPr>
        <w:t>、</w:t>
      </w:r>
      <w:r>
        <w:rPr>
          <w:rFonts w:hint="eastAsia" w:ascii="黑体" w:eastAsia="黑体"/>
          <w:sz w:val="32"/>
          <w:szCs w:val="32"/>
          <w:highlight w:val="white"/>
        </w:rPr>
        <w:t>一般公共预算财政拨款“三公”经费支出决算情况说明</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（一）“三公”经费财政拨款支出决算总体情况说明。</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2020年“三公”经费一般公共预算财政拨款支出预算为1</w:t>
      </w:r>
      <w:r>
        <w:rPr>
          <w:rFonts w:ascii="仿宋_GB2312" w:eastAsia="仿宋_GB2312"/>
          <w:sz w:val="32"/>
          <w:szCs w:val="32"/>
          <w:highlight w:val="white"/>
        </w:rPr>
        <w:t>.00</w:t>
      </w:r>
      <w:r>
        <w:rPr>
          <w:rFonts w:hint="eastAsia" w:ascii="仿宋_GB2312" w:eastAsia="仿宋_GB2312"/>
          <w:sz w:val="32"/>
          <w:szCs w:val="32"/>
          <w:highlight w:val="white"/>
        </w:rPr>
        <w:t>万元，</w:t>
      </w:r>
      <w:r>
        <w:rPr>
          <w:rFonts w:hint="eastAsia" w:ascii="仿宋_GB2312" w:eastAsia="仿宋_GB2312"/>
          <w:sz w:val="32"/>
          <w:szCs w:val="32"/>
        </w:rPr>
        <w:t>与2019年度持平，</w:t>
      </w:r>
      <w:r>
        <w:rPr>
          <w:rFonts w:hint="eastAsia" w:ascii="仿宋_GB2312" w:eastAsia="仿宋_GB2312"/>
          <w:sz w:val="32"/>
          <w:szCs w:val="32"/>
          <w:highlight w:val="white"/>
        </w:rPr>
        <w:t>支出决算为0万元，与2019年度</w:t>
      </w:r>
      <w:r>
        <w:rPr>
          <w:rFonts w:hint="eastAsia" w:ascii="仿宋_GB2312" w:eastAsia="仿宋_GB2312"/>
          <w:sz w:val="32"/>
          <w:szCs w:val="32"/>
        </w:rPr>
        <w:t>“三公”经费支出决算（0万元）</w:t>
      </w:r>
      <w:r>
        <w:rPr>
          <w:rFonts w:ascii="仿宋_GB2312" w:eastAsia="仿宋_GB2312"/>
          <w:sz w:val="32"/>
          <w:szCs w:val="32"/>
        </w:rPr>
        <w:t>相比</w:t>
      </w:r>
      <w:r>
        <w:rPr>
          <w:rFonts w:hint="eastAsia" w:ascii="仿宋_GB2312" w:eastAsia="仿宋_GB2312"/>
          <w:sz w:val="32"/>
          <w:szCs w:val="32"/>
        </w:rPr>
        <w:t>，</w:t>
      </w:r>
      <w:r>
        <w:rPr>
          <w:rFonts w:hint="eastAsia" w:ascii="仿宋_GB2312" w:eastAsia="仿宋_GB2312"/>
          <w:sz w:val="32"/>
          <w:szCs w:val="32"/>
          <w:highlight w:val="white"/>
        </w:rPr>
        <w:t>持平。</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 xml:space="preserve">无因公出国（境）费支出预算与决算；   </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 xml:space="preserve">无公务用车购置费及运行维护费支出预算与决算；   </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无公务接待费支出预算与决算。</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（二）“三公”经费财政拨款支出决算具体情况说明。</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2020年度“三公”经费财政拨款支出决算中，因公出国（境）费支出决算0万元，公务用车购置费及运行维护费支出决算0万元，公务接待费支出决算0万元。</w:t>
      </w:r>
    </w:p>
    <w:p>
      <w:pPr>
        <w:spacing w:line="560" w:lineRule="exact"/>
        <w:ind w:firstLine="640" w:firstLineChars="200"/>
        <w:rPr>
          <w:rFonts w:ascii="黑体" w:eastAsia="黑体"/>
          <w:sz w:val="32"/>
          <w:szCs w:val="32"/>
          <w:highlight w:val="white"/>
        </w:rPr>
      </w:pPr>
      <w:r>
        <w:rPr>
          <w:rFonts w:hint="eastAsia" w:ascii="黑体" w:eastAsia="黑体"/>
          <w:sz w:val="32"/>
          <w:szCs w:val="32"/>
          <w:highlight w:val="white"/>
        </w:rPr>
        <w:t>八、政府性基金预算收入支出决算情况</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2020年本单位没有政府性基金预算财政拨款安排的收支。</w:t>
      </w:r>
    </w:p>
    <w:p>
      <w:pPr>
        <w:spacing w:line="560" w:lineRule="exact"/>
        <w:ind w:firstLine="640" w:firstLineChars="200"/>
        <w:rPr>
          <w:rFonts w:ascii="黑体" w:eastAsia="黑体"/>
          <w:sz w:val="32"/>
          <w:szCs w:val="32"/>
          <w:highlight w:val="white"/>
        </w:rPr>
      </w:pPr>
      <w:r>
        <w:rPr>
          <w:rFonts w:hint="eastAsia" w:ascii="黑体" w:eastAsia="黑体"/>
          <w:sz w:val="32"/>
          <w:szCs w:val="32"/>
          <w:highlight w:val="white"/>
        </w:rPr>
        <w:t>九、国有资本经营预算财政拨款支出决算情况</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2020年本单位没有国有资本经营预算财政拨款支出。</w:t>
      </w:r>
    </w:p>
    <w:p>
      <w:pPr>
        <w:spacing w:line="560" w:lineRule="exact"/>
        <w:ind w:firstLine="640" w:firstLineChars="200"/>
        <w:rPr>
          <w:rFonts w:ascii="黑体" w:eastAsia="黑体"/>
          <w:sz w:val="32"/>
          <w:szCs w:val="32"/>
          <w:highlight w:val="white"/>
        </w:rPr>
      </w:pPr>
      <w:r>
        <w:rPr>
          <w:rFonts w:hint="eastAsia" w:ascii="黑体" w:eastAsia="黑体"/>
          <w:sz w:val="32"/>
          <w:szCs w:val="32"/>
          <w:highlight w:val="white"/>
        </w:rPr>
        <w:t>十、关于机关运行经费支出说明</w:t>
      </w:r>
    </w:p>
    <w:p>
      <w:pPr>
        <w:spacing w:line="560" w:lineRule="exact"/>
        <w:ind w:firstLine="640" w:firstLineChars="200"/>
        <w:rPr>
          <w:rFonts w:ascii="仿宋_GB2312" w:eastAsia="仿宋_GB2312"/>
          <w:sz w:val="32"/>
          <w:szCs w:val="32"/>
          <w:highlight w:val="yellow"/>
        </w:rPr>
      </w:pPr>
      <w:r>
        <w:rPr>
          <w:rFonts w:hint="eastAsia" w:ascii="仿宋_GB2312" w:eastAsia="仿宋_GB2312"/>
          <w:sz w:val="32"/>
          <w:szCs w:val="32"/>
          <w:highlight w:val="white"/>
        </w:rPr>
        <w:t>益阳市赫山</w:t>
      </w:r>
      <w:r>
        <w:rPr>
          <w:rFonts w:hint="eastAsia" w:ascii="仿宋_GB2312" w:eastAsia="仿宋_GB2312"/>
          <w:sz w:val="32"/>
          <w:szCs w:val="32"/>
        </w:rPr>
        <w:t>区工商联合会2020年机关运行经费支出22.23万元。比年初预算数增加11.53万元。增长106.86%，主要原因是：疫情防控工作等临时性工作费用开支。</w:t>
      </w:r>
    </w:p>
    <w:p>
      <w:pPr>
        <w:spacing w:line="560" w:lineRule="exact"/>
        <w:ind w:firstLine="640" w:firstLineChars="200"/>
        <w:rPr>
          <w:rFonts w:ascii="黑体" w:eastAsia="黑体"/>
          <w:sz w:val="32"/>
          <w:szCs w:val="32"/>
          <w:highlight w:val="white"/>
        </w:rPr>
      </w:pPr>
      <w:r>
        <w:rPr>
          <w:rFonts w:hint="eastAsia" w:ascii="黑体" w:eastAsia="黑体"/>
          <w:sz w:val="32"/>
          <w:szCs w:val="32"/>
          <w:highlight w:val="white"/>
        </w:rPr>
        <w:t>十一、一般性支出情况</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2020年本部门开支专项会议费2.98万元，用于召开执委会、</w:t>
      </w:r>
      <w:r>
        <w:rPr>
          <w:rFonts w:hint="eastAsia" w:ascii="仿宋_GB2312" w:eastAsia="仿宋_GB2312"/>
          <w:sz w:val="32"/>
          <w:szCs w:val="32"/>
        </w:rPr>
        <w:t>临时性会议</w:t>
      </w:r>
      <w:r>
        <w:rPr>
          <w:rFonts w:hint="eastAsia" w:ascii="仿宋_GB2312" w:eastAsia="仿宋_GB2312"/>
          <w:sz w:val="32"/>
          <w:szCs w:val="32"/>
          <w:highlight w:val="white"/>
        </w:rPr>
        <w:t>等，参加人数300人，内容为</w:t>
      </w:r>
      <w:r>
        <w:rPr>
          <w:rFonts w:hint="eastAsia" w:ascii="仿宋_GB2312" w:eastAsia="仿宋_GB2312"/>
          <w:sz w:val="32"/>
          <w:szCs w:val="32"/>
        </w:rPr>
        <w:t>会议相关开支</w:t>
      </w:r>
      <w:r>
        <w:rPr>
          <w:rFonts w:ascii="仿宋_GB2312" w:eastAsia="仿宋_GB2312"/>
          <w:sz w:val="32"/>
          <w:szCs w:val="32"/>
        </w:rPr>
        <w:t>；开支</w:t>
      </w:r>
      <w:r>
        <w:rPr>
          <w:rFonts w:hint="eastAsia" w:ascii="仿宋_GB2312" w:eastAsia="仿宋_GB2312"/>
          <w:sz w:val="32"/>
          <w:szCs w:val="32"/>
          <w:highlight w:val="white"/>
        </w:rPr>
        <w:t>培训费0.10万元，用于组织民营企业家培训支出。</w:t>
      </w:r>
    </w:p>
    <w:p>
      <w:pPr>
        <w:spacing w:line="560" w:lineRule="exact"/>
        <w:ind w:firstLine="640" w:firstLineChars="200"/>
        <w:rPr>
          <w:rFonts w:ascii="黑体" w:eastAsia="黑体"/>
          <w:sz w:val="32"/>
          <w:szCs w:val="32"/>
          <w:highlight w:val="white"/>
        </w:rPr>
      </w:pPr>
      <w:r>
        <w:rPr>
          <w:rFonts w:hint="eastAsia" w:ascii="黑体" w:eastAsia="黑体"/>
          <w:sz w:val="32"/>
          <w:szCs w:val="32"/>
          <w:highlight w:val="white"/>
        </w:rPr>
        <w:t>十二、关于政府采购支出说明</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 xml:space="preserve">本年度无政府采购。   </w:t>
      </w:r>
    </w:p>
    <w:p>
      <w:pPr>
        <w:spacing w:line="560" w:lineRule="exact"/>
        <w:ind w:firstLine="640" w:firstLineChars="200"/>
        <w:rPr>
          <w:rFonts w:ascii="黑体" w:eastAsia="黑体"/>
          <w:sz w:val="32"/>
          <w:szCs w:val="32"/>
          <w:highlight w:val="white"/>
        </w:rPr>
      </w:pPr>
      <w:r>
        <w:rPr>
          <w:rFonts w:hint="eastAsia" w:ascii="黑体" w:eastAsia="黑体"/>
          <w:sz w:val="32"/>
          <w:szCs w:val="32"/>
          <w:highlight w:val="white"/>
        </w:rPr>
        <w:t>十三、关于国有资产占有情况说明</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本单位年末无车辆</w:t>
      </w:r>
      <w:r>
        <w:rPr>
          <w:rFonts w:ascii="仿宋_GB2312" w:eastAsia="仿宋_GB2312"/>
          <w:sz w:val="32"/>
          <w:szCs w:val="32"/>
          <w:highlight w:val="white"/>
        </w:rPr>
        <w:t>，</w:t>
      </w:r>
      <w:r>
        <w:rPr>
          <w:rFonts w:hint="eastAsia" w:ascii="仿宋_GB2312" w:eastAsia="仿宋_GB2312"/>
          <w:sz w:val="32"/>
          <w:szCs w:val="32"/>
          <w:highlight w:val="white"/>
        </w:rPr>
        <w:t>年末无单价50万元以上通用设备，年末无单价100万元以上专用设备。</w:t>
      </w:r>
    </w:p>
    <w:p>
      <w:pPr>
        <w:spacing w:line="560" w:lineRule="exact"/>
        <w:ind w:firstLine="640" w:firstLineChars="200"/>
        <w:rPr>
          <w:rFonts w:ascii="黑体" w:eastAsia="黑体"/>
          <w:sz w:val="32"/>
          <w:szCs w:val="32"/>
          <w:highlight w:val="white"/>
        </w:rPr>
      </w:pPr>
      <w:r>
        <w:rPr>
          <w:rFonts w:hint="eastAsia" w:ascii="黑体" w:eastAsia="黑体"/>
          <w:sz w:val="32"/>
          <w:szCs w:val="32"/>
          <w:highlight w:val="white"/>
        </w:rPr>
        <w:t>十四、关于2020年度预算绩效情况的说明</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（一）绩效管理工作开展情况</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高度重视，成立绩效自评工作小组，实行网上公开，国库集中支付，建立固定资产台账，加强内部控制制度，全面实施绩效管理。</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（二）部门决算中项目绩效自评结果</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1.单位年初预算编制科学，重大财务事项经由集体研究决定，财务制度健全。</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2.预算执行方面，严格实行统一核算和管理，经费开支合理，开源节流，公务接待凭公函列支。</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3.预算管理方面，制定内部管理制度和经费支出控制方案，增强内控风险意识，各项开支得到有效控制。</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（三）以部门为主体开展的重点绩效评价结果</w:t>
      </w:r>
    </w:p>
    <w:p>
      <w:pPr>
        <w:spacing w:line="560" w:lineRule="exact"/>
        <w:ind w:firstLine="640" w:firstLineChars="200"/>
        <w:rPr>
          <w:rFonts w:hint="eastAsia" w:ascii="仿宋_GB2312" w:eastAsia="仿宋_GB2312"/>
          <w:sz w:val="32"/>
          <w:szCs w:val="32"/>
          <w:highlight w:val="white"/>
        </w:rPr>
      </w:pPr>
      <w:r>
        <w:rPr>
          <w:rFonts w:hint="eastAsia" w:ascii="仿宋_GB2312" w:eastAsia="仿宋_GB2312"/>
          <w:sz w:val="32"/>
          <w:szCs w:val="32"/>
          <w:highlight w:val="white"/>
        </w:rPr>
        <w:t>2020年区工商联围绕中心，服务大局，积极履行服务非公企业“两个健康”、参政议政职能，全面完成了全年绩效工作目标，按照财政绩效部门要求进行单位绩效自评并公示。</w:t>
      </w:r>
    </w:p>
    <w:p>
      <w:pPr>
        <w:spacing w:line="560" w:lineRule="exact"/>
        <w:ind w:firstLine="640" w:firstLineChars="200"/>
        <w:rPr>
          <w:rFonts w:ascii="仿宋_GB2312" w:eastAsia="仿宋_GB2312"/>
          <w:sz w:val="32"/>
          <w:szCs w:val="32"/>
          <w:highlight w:val="white"/>
        </w:rPr>
      </w:pPr>
    </w:p>
    <w:p>
      <w:pPr>
        <w:spacing w:line="560" w:lineRule="exact"/>
        <w:rPr>
          <w:rFonts w:hint="eastAsia" w:ascii="仿宋_GB2312" w:eastAsia="仿宋_GB2312"/>
          <w:sz w:val="32"/>
          <w:szCs w:val="32"/>
          <w:highlight w:val="white"/>
        </w:rPr>
      </w:pPr>
      <w:r>
        <w:rPr>
          <w:rFonts w:hint="eastAsia" w:ascii="黑体" w:hAnsi="黑体" w:eastAsia="黑体"/>
          <w:sz w:val="32"/>
          <w:szCs w:val="32"/>
          <w:highlight w:val="white"/>
        </w:rPr>
        <w:t>第四部分</w:t>
      </w:r>
      <w:r>
        <w:rPr>
          <w:rFonts w:hint="eastAsia" w:ascii="仿宋_GB2312" w:eastAsia="仿宋_GB2312"/>
          <w:sz w:val="32"/>
          <w:szCs w:val="32"/>
          <w:highlight w:val="white"/>
        </w:rPr>
        <w:t>：</w:t>
      </w:r>
    </w:p>
    <w:p>
      <w:pPr>
        <w:spacing w:line="560" w:lineRule="exact"/>
        <w:jc w:val="center"/>
        <w:rPr>
          <w:rFonts w:ascii="方正小标宋简体" w:eastAsia="方正小标宋简体"/>
          <w:sz w:val="38"/>
          <w:szCs w:val="38"/>
          <w:highlight w:val="white"/>
        </w:rPr>
      </w:pPr>
      <w:r>
        <w:rPr>
          <w:rFonts w:hint="eastAsia" w:ascii="方正小标宋简体" w:eastAsia="方正小标宋简体"/>
          <w:sz w:val="38"/>
          <w:szCs w:val="38"/>
          <w:highlight w:val="white"/>
        </w:rPr>
        <w:t>名词解释</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财政拨款收入：指本级财政当年拨付的资金。</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其他收入：指除上述“财政拨款收入”、“上级补助收入”、“事业收入”、“经营收入”、“附属单位上缴收入”等以外的收入。</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上年结转和结余：指以前年度尚未完成、结转到本年按有关规定继续使用的资金。</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年末结转和结余资金：指本年度或以前年度预算安排、因客观条件发生变化无法按原计划实施，需要延迟到以后年度按有关规定继续使用的资金。</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联事务、群众团体事务、党委办公厅（室）及相关机构事务、组织事务、宣传事务、统战事务、其他一般公共服务等方面的支出，包括保障机构正常运转、完成日常和特定的工作任务或事业发展目标的支出。</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基本支出：指保障机构正常运转、完成支日常工作任务而发生的人员支出和公用支出。</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工资福利支出：反映单位开支的在职职工和编制外长期聘用人员的各类劳动报酬，以及为上述人员缴纳的各项社会保险费等。</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军衔（级别）工资、基础工资和军龄工资；军队士官的军衔等级工资、基础工资和军龄工资等。</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津贴补贴：反映经国家批准建立的机关事业单位艰苦边远地区津贴、机关工作人员地区附加津贴、机关工作人员岗位津贴、事业单位工作人员特殊岗位津贴补贴等。</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奖金：反映机关工作人员年终一次性奖金。</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伙食补助费：反映单位发给职工的伙食补助费，如误餐补助等。</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机关事业单位基本养老保险缴费：反映机关事业单位缴纳的基本养老保险费。由单位代扣的工作人员基本养老保险缴费，不在此科目反映。</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职工基本医疗保险缴费：反映单位为职工缴纳的基本医疗保险费。</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其他社会保障缴费：反映单位为职工缴纳的基本医疗、失业、工伤、生育等社会保险费，残疾人就业保障金，军队（含武警）为军人缴纳的伤亡、退役医疗等社会保险费。</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住房公积金：反映行政事业单位按人力资源和社会保障部、财政部规定的基本工资和津贴补贴以及规定比例为职工缴纳的住房公积金。</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医疗费：反映未参加医疗保险单位的医疗经费和单位按规定为职工支出的其他医疗费用。</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商品和服务支出：反映单位购买商品和服务的支出（不包括用于购置固定资产的支出、战略性和应急储备支出）。</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办公费：反映单位购买按财务会计制度规定不符合固定资产确认标准的日常办公用品、书报杂志等支出。</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印刷费：反映单位的印刷费支出。</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邮电费：反映单位开支的信函、包裹、货物等物品的邮寄费及电话费、电报费、传真费、网络通讯费等。</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物业管理费：反映单位开支的办公用房以及未实行职工住宅物业服务改革的在职职工和离退休人员宿舍等的物业管理费，包括综合治理、绿化、卫生等方面的支出。</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差旅费：反映单位工作人员出差发生的城市间交通费、住宿费、伙食补贴费和市内交通费。</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会议费：反映会议中按规定开支的住宿费、伙食费、会议室租金、交通费、文件印刷费、医药费等。</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培训费：反映除因公出国（境）培训费以外的各类培训支出。</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工会经费：反映单位按规定提取的工会经费。</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其他商品和服务支出：反映上述科目未包括的日常公用支出。如行政赔偿费和诉讼费、国内组织的会员费、来访费、广告宣传、其他劳务费及离休人员特需费、公用经费等。</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对个人和家庭的补助：反映政府用于对个人和家庭的补助支出。</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办公设备购置：反映用于购置并按财务会计制度规定纳入固定资产核算范围的办公家具和办公设备的支出，以及按规定提取的修购基金。</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 办公用房物业管理费、 公务用车运行维护费以及其他费用。</w:t>
      </w:r>
    </w:p>
    <w:p>
      <w:pPr>
        <w:spacing w:line="560" w:lineRule="exact"/>
        <w:rPr>
          <w:rFonts w:ascii="仿宋_GB2312" w:eastAsia="仿宋_GB2312"/>
          <w:sz w:val="32"/>
          <w:szCs w:val="32"/>
          <w:highlight w:val="white"/>
        </w:rPr>
      </w:pPr>
    </w:p>
    <w:p>
      <w:pPr>
        <w:spacing w:line="560" w:lineRule="exact"/>
        <w:rPr>
          <w:rFonts w:ascii="黑体" w:eastAsia="黑体"/>
          <w:sz w:val="32"/>
          <w:szCs w:val="32"/>
          <w:highlight w:val="white"/>
        </w:rPr>
      </w:pPr>
      <w:r>
        <w:rPr>
          <w:rFonts w:hint="eastAsia" w:ascii="黑体" w:eastAsia="黑体"/>
          <w:sz w:val="32"/>
          <w:szCs w:val="32"/>
          <w:highlight w:val="white"/>
        </w:rPr>
        <w:t>第五部分 附件</w:t>
      </w:r>
    </w:p>
    <w:p>
      <w:pPr>
        <w:spacing w:line="560" w:lineRule="exact"/>
        <w:jc w:val="center"/>
        <w:rPr>
          <w:rFonts w:ascii="方正小标宋简体" w:eastAsia="方正小标宋简体"/>
          <w:sz w:val="40"/>
          <w:szCs w:val="40"/>
        </w:rPr>
      </w:pPr>
      <w:r>
        <w:rPr>
          <w:rFonts w:hint="eastAsia" w:ascii="方正小标宋简体" w:eastAsia="方正小标宋简体"/>
          <w:sz w:val="40"/>
          <w:szCs w:val="40"/>
        </w:rPr>
        <w:t>赫山区工商联</w:t>
      </w:r>
    </w:p>
    <w:p>
      <w:pPr>
        <w:spacing w:line="560" w:lineRule="exact"/>
        <w:jc w:val="center"/>
        <w:rPr>
          <w:rFonts w:ascii="方正小标宋简体" w:eastAsia="方正小标宋简体"/>
          <w:sz w:val="40"/>
          <w:szCs w:val="40"/>
        </w:rPr>
      </w:pPr>
      <w:r>
        <w:rPr>
          <w:rFonts w:hint="eastAsia" w:ascii="方正小标宋简体" w:eastAsia="方正小标宋简体"/>
          <w:sz w:val="40"/>
          <w:szCs w:val="40"/>
        </w:rPr>
        <w:t>2020年部门整体支出绩效评价报告</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根据《益阳市赫山区人民政府关于全面推进预算绩效管理的实施意见》（益赫政发〔2016〕12号）、《中共中央 国务院关于全面实施预算绩效管理的意见》（中发〔2018〕34号）、《财政部关于印发&lt;项目支出绩效评价管理办法&gt;的通知》（财预〔2020〕10号）和《中共湖南省委办公厅 湖南省人民政府办公厅关于全面实施预算绩效管理的实施意见》（湘政发〔2019〕10号）、《益阳市赫山区财政局关于做好2020年度预算绩效自评工作的通知》（益赫财绩〔2021〕1号）等有关文件精神，本着独立、客观、公正、科学的原则，按照公认的绩效评价方法，我联积极组织，对2020年度本单位整体支出进行了绩效自评，现将具体绩效评价情况报告如下：</w:t>
      </w:r>
    </w:p>
    <w:p>
      <w:pPr>
        <w:spacing w:line="560" w:lineRule="exact"/>
        <w:ind w:firstLine="640" w:firstLineChars="200"/>
        <w:rPr>
          <w:rFonts w:ascii="黑体" w:eastAsia="黑体"/>
          <w:sz w:val="32"/>
          <w:szCs w:val="32"/>
          <w:highlight w:val="white"/>
        </w:rPr>
      </w:pPr>
      <w:r>
        <w:rPr>
          <w:rFonts w:hint="eastAsia" w:ascii="黑体" w:eastAsia="黑体"/>
          <w:sz w:val="32"/>
          <w:szCs w:val="32"/>
          <w:highlight w:val="white"/>
        </w:rPr>
        <w:t>一、基本概况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（一）内设机构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赫山区工商联为机关行政单位，核定全额拨款8名,其中行政编制5名、事业编制3名，设主席1名（副处级）、副主席2名、主任科员1名；内设办公室、宣教股、非公企业服务中心（股级二级机构）。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（二）主要职责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1.做工商界代表人士政治安排的推荐工作。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2.提倡爱国、敬业、诚信、守法，提高会员素质，培养积极分子队伍。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3.代表并维护会员的合法权益，反映会员的意见、要求和建议。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4.引导会员弘扬中华民族传统美德，先富帮后富，走共同富裕的道路，热心社会公益事业。</w:t>
      </w:r>
    </w:p>
    <w:p>
      <w:pPr>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为会员提供信息和科技、管理、法律、会计、审计、融资、咨询等服务。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6.开展专业培训，帮助会员改进经营、完善管理、照章纳税，提高生产技术和产品质量。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7.组织会员举办和参加展销会、交易会，组织会员出国、出境考察访问。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8.增进与各工商社团及工商经济界人士的联系和友谊，促进经济、技术和贸易合作，协助引进资金、技术、人才。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9.为会员提供有关证明，协调关系，调整经济纠纷。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10.办好会办企业、事业。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11.承办区委、区政府及有关部门委托事项。</w:t>
      </w:r>
    </w:p>
    <w:p>
      <w:pPr>
        <w:spacing w:line="560" w:lineRule="exact"/>
        <w:ind w:firstLine="640" w:firstLineChars="200"/>
        <w:rPr>
          <w:rFonts w:ascii="黑体" w:eastAsia="黑体"/>
          <w:sz w:val="32"/>
          <w:szCs w:val="32"/>
          <w:highlight w:val="white"/>
        </w:rPr>
      </w:pPr>
      <w:r>
        <w:rPr>
          <w:rFonts w:hint="eastAsia" w:ascii="黑体" w:eastAsia="黑体"/>
          <w:sz w:val="32"/>
          <w:szCs w:val="32"/>
          <w:highlight w:val="white"/>
        </w:rPr>
        <w:t xml:space="preserve"> 二、部门整体支出规模、使用方向和管理状况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（一）部门整体收支情况。2020年年初财政拨款结转结余8</w:t>
      </w:r>
      <w:r>
        <w:rPr>
          <w:rFonts w:ascii="仿宋_GB2312" w:eastAsia="仿宋_GB2312"/>
          <w:sz w:val="32"/>
          <w:szCs w:val="32"/>
        </w:rPr>
        <w:t>.23万</w:t>
      </w:r>
      <w:r>
        <w:rPr>
          <w:rFonts w:hint="eastAsia" w:ascii="仿宋_GB2312" w:eastAsia="仿宋_GB2312"/>
          <w:sz w:val="32"/>
          <w:szCs w:val="32"/>
        </w:rPr>
        <w:t>元（2019年年底会议费等没有及时入账），2020年全年经费收入127</w:t>
      </w:r>
      <w:r>
        <w:rPr>
          <w:rFonts w:ascii="仿宋_GB2312" w:eastAsia="仿宋_GB2312"/>
          <w:sz w:val="32"/>
          <w:szCs w:val="32"/>
        </w:rPr>
        <w:t>.40万</w:t>
      </w:r>
      <w:r>
        <w:rPr>
          <w:rFonts w:hint="eastAsia" w:ascii="仿宋_GB2312" w:eastAsia="仿宋_GB2312"/>
          <w:sz w:val="32"/>
          <w:szCs w:val="32"/>
        </w:rPr>
        <w:t>元；2020年实际决算支出130</w:t>
      </w:r>
      <w:r>
        <w:rPr>
          <w:rFonts w:ascii="仿宋_GB2312" w:eastAsia="仿宋_GB2312"/>
          <w:sz w:val="32"/>
          <w:szCs w:val="32"/>
        </w:rPr>
        <w:t>.85万</w:t>
      </w:r>
      <w:r>
        <w:rPr>
          <w:rFonts w:hint="eastAsia" w:ascii="仿宋_GB2312" w:eastAsia="仿宋_GB2312"/>
          <w:sz w:val="32"/>
          <w:szCs w:val="32"/>
        </w:rPr>
        <w:t>元，年末结余4</w:t>
      </w:r>
      <w:r>
        <w:rPr>
          <w:rFonts w:ascii="仿宋_GB2312" w:eastAsia="仿宋_GB2312"/>
          <w:sz w:val="32"/>
          <w:szCs w:val="32"/>
        </w:rPr>
        <w:t>.78万</w:t>
      </w:r>
      <w:r>
        <w:rPr>
          <w:rFonts w:hint="eastAsia" w:ascii="仿宋_GB2312" w:eastAsia="仿宋_GB2312"/>
          <w:sz w:val="32"/>
          <w:szCs w:val="32"/>
        </w:rPr>
        <w:t>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2020年我单位实际完成支出130</w:t>
      </w:r>
      <w:r>
        <w:rPr>
          <w:rFonts w:ascii="仿宋_GB2312" w:eastAsia="仿宋_GB2312"/>
          <w:sz w:val="32"/>
          <w:szCs w:val="32"/>
        </w:rPr>
        <w:t>.85万</w:t>
      </w:r>
      <w:r>
        <w:rPr>
          <w:rFonts w:hint="eastAsia" w:ascii="仿宋_GB2312" w:eastAsia="仿宋_GB2312"/>
          <w:sz w:val="32"/>
          <w:szCs w:val="32"/>
        </w:rPr>
        <w:t>元，其中，工资福利支出103</w:t>
      </w:r>
      <w:r>
        <w:rPr>
          <w:rFonts w:ascii="仿宋_GB2312" w:eastAsia="仿宋_GB2312"/>
          <w:sz w:val="32"/>
          <w:szCs w:val="32"/>
        </w:rPr>
        <w:t>.16万</w:t>
      </w:r>
      <w:r>
        <w:rPr>
          <w:rFonts w:hint="eastAsia" w:ascii="仿宋_GB2312" w:eastAsia="仿宋_GB2312"/>
          <w:sz w:val="32"/>
          <w:szCs w:val="32"/>
        </w:rPr>
        <w:t>元，商品和服务支出21</w:t>
      </w:r>
      <w:r>
        <w:rPr>
          <w:rFonts w:ascii="仿宋_GB2312" w:eastAsia="仿宋_GB2312"/>
          <w:sz w:val="32"/>
          <w:szCs w:val="32"/>
        </w:rPr>
        <w:t>.64万</w:t>
      </w:r>
      <w:r>
        <w:rPr>
          <w:rFonts w:hint="eastAsia" w:ascii="仿宋_GB2312" w:eastAsia="仿宋_GB2312"/>
          <w:sz w:val="32"/>
          <w:szCs w:val="32"/>
        </w:rPr>
        <w:t>元，对个人和家庭的补助支出5</w:t>
      </w:r>
      <w:r>
        <w:rPr>
          <w:rFonts w:ascii="仿宋_GB2312" w:eastAsia="仿宋_GB2312"/>
          <w:sz w:val="32"/>
          <w:szCs w:val="32"/>
        </w:rPr>
        <w:t>.46万</w:t>
      </w:r>
      <w:r>
        <w:rPr>
          <w:rFonts w:hint="eastAsia" w:ascii="仿宋_GB2312" w:eastAsia="仿宋_GB2312"/>
          <w:sz w:val="32"/>
          <w:szCs w:val="32"/>
        </w:rPr>
        <w:t>元。2020年“三公经费”公共预算财政拨款支出2.3</w:t>
      </w:r>
      <w:r>
        <w:rPr>
          <w:rFonts w:ascii="仿宋_GB2312" w:eastAsia="仿宋_GB2312"/>
          <w:sz w:val="32"/>
          <w:szCs w:val="32"/>
        </w:rPr>
        <w:t>0</w:t>
      </w:r>
      <w:r>
        <w:rPr>
          <w:rFonts w:hint="eastAsia" w:ascii="仿宋_GB2312" w:eastAsia="仿宋_GB2312"/>
          <w:sz w:val="32"/>
          <w:szCs w:val="32"/>
        </w:rPr>
        <w:t>万元，实际支出0元。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部门整体支出管理状况。我单位财务支出管理严格依法依规依程序，努力做到公开公平公正。在严格执行国家、省财政财纪有关法律法规的同时，先后制定了《赫山区工商联财务管理制度》、《赫山区工商联固定资产管理制度》、《赫山区工商联接待管理制度》等制度，明确了经费审批权限及程序，经费预算管理、财务经费管理、资产购置与处置、财务监督，开展公用经费使用监督和绩效评估，进一步落实厉行节约的各项规定，确保“三公经费”使用合理合规。上述制度规定基本执行到位。</w:t>
      </w:r>
    </w:p>
    <w:p>
      <w:pPr>
        <w:spacing w:line="560" w:lineRule="exact"/>
        <w:ind w:firstLine="640" w:firstLineChars="200"/>
        <w:rPr>
          <w:rFonts w:ascii="黑体" w:eastAsia="黑体"/>
          <w:sz w:val="32"/>
          <w:szCs w:val="32"/>
          <w:highlight w:val="white"/>
        </w:rPr>
      </w:pPr>
      <w:bookmarkStart w:id="0" w:name="_Toc390113216"/>
      <w:r>
        <w:rPr>
          <w:rFonts w:hint="eastAsia" w:ascii="黑体" w:eastAsia="黑体"/>
          <w:sz w:val="32"/>
          <w:szCs w:val="32"/>
          <w:highlight w:val="white"/>
        </w:rPr>
        <w:t>三、绩效评价工作情况</w:t>
      </w:r>
      <w:bookmarkEnd w:id="0"/>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绩效自评工作要求，我单位成立了绩效评价工作领导小组，负责绩效评价工作的组织领导和具体实施。评价小组采取座谈等方式听取情况，检查基本支出、项目支出有关账目，收集整理支出相关资料，并根据各部门报送的绩效自评材料进行分析，形成评价结论。</w:t>
      </w:r>
    </w:p>
    <w:p>
      <w:pPr>
        <w:spacing w:line="560" w:lineRule="exact"/>
        <w:ind w:firstLine="640" w:firstLineChars="200"/>
        <w:rPr>
          <w:rFonts w:ascii="黑体" w:eastAsia="黑体"/>
          <w:sz w:val="32"/>
          <w:szCs w:val="32"/>
          <w:highlight w:val="white"/>
        </w:rPr>
      </w:pPr>
      <w:r>
        <w:rPr>
          <w:rFonts w:hint="eastAsia" w:ascii="黑体" w:eastAsia="黑体"/>
          <w:sz w:val="32"/>
          <w:szCs w:val="32"/>
          <w:highlight w:val="white"/>
        </w:rPr>
        <w:t>四、部门整体支出绩效情况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通过加强预算收支的管理，不断建立健全内部管理制度，理顺内部管理流程，部门整体支出管理情况得到了提升。部门整体支出绩效情况如下：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（一）经济性评价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1.本年预算安排控制较好，财政供养人员控制率100%，编制内在职人员控制率100%，控制在预算编制以内；“三公”经费预算总额未突破上年。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2.预算执行方面，支出总额控制在预算总额以内；本年无转移资金支付，不存在截留或滞留专项资金情况。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（二）行政效能评价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为强化部门整体支出，加强国有资产管理，提高资金使用效益，提升财务管理，建立节约型机关，2020年我单位在强化业务管理、财务管理和厉行节约方面开展了大量工作，行政效能显著。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1.在原有相对健全的财务管理制度基础上，适时地、针对性的进行了相关制度的增补，制度的建立更为完善。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重视制度的学习和宣讲工作，并已逐步形成了崇尚厉行节约反对浪费的机关文化。</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中央、湖南省人民政府下发的《党政机关厉行节约反对浪费条例》、《湖南省党政机关国内公务接待管理办法》、《关于厉行节约反对浪费的实施意见》、《关于党政机关停止新建楼堂馆所和清理办公用房的实施意见》等一系列文件精神，及时将上述文件精神在机关各室进行转发，并组织机关人员学习，将厉行节约反对浪费教育作为机关作风建设的重要内容，极大强化了机关厉行节约管理意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3.建立了经费支出定期汇报和公示机制，经费支出的公开透明性得到提高。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除按照财政要求对部门预算、“三公”经费进行例行公示外，根据经费支出情况，定期进行经费支出财务统计和分析，并及时向分管领导和绩效评价领导小组进行汇报，对经费支出的管理状况提出建设性的意见；使各项经费管理和监督发挥了较好的作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4.严格执行了国库集中支付、公务卡结算制度、政府采购等有关规定，政府采购目录内的货物与服务全部按要求实施了政府采购，确保了支出管理流程、审批手续的完整。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5.加强了会计核算工作。根据新印发的《行政单位会计制度》，进行了全面系统的学习，按照新制度的要求，对财务管理软件进行优化升级，对相关科目的设置进行了补充和调整，提高了财务核算质量。</w:t>
      </w:r>
    </w:p>
    <w:p>
      <w:pPr>
        <w:spacing w:line="560" w:lineRule="exact"/>
        <w:ind w:firstLine="640" w:firstLineChars="200"/>
        <w:rPr>
          <w:rFonts w:ascii="黑体" w:eastAsia="黑体"/>
          <w:sz w:val="32"/>
          <w:szCs w:val="32"/>
          <w:highlight w:val="white"/>
        </w:rPr>
      </w:pPr>
      <w:r>
        <w:rPr>
          <w:rFonts w:hint="eastAsia" w:ascii="黑体" w:eastAsia="黑体"/>
          <w:sz w:val="32"/>
          <w:szCs w:val="32"/>
          <w:highlight w:val="white"/>
        </w:rPr>
        <w:t>五、存在的主要问题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（一）财务工作人员专业化程度不高。因现行会计制度的改革，财务工作人员没有经过系统的培训，且会计出纳均不是专业的财务人员，对新业务不熟悉，加上其他工作的冲突，各项财务工作还有待进一步规范。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（二）资产管理方面存在不完善的方面。因账务处理等原因，其固定资产台账未及时更新、修改、登记，导致我单位2020年末资产台账与账面资产金额存在差异，固定资产管理有待加强。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（三）账务处理不及时。2020年年末，由于部分账务没有及时处理，在拟制决算报表时没有全面客观的反映全年各项经济指标，存在资金结转偏大的现象。</w:t>
      </w:r>
    </w:p>
    <w:p>
      <w:pPr>
        <w:spacing w:line="560" w:lineRule="exact"/>
        <w:ind w:firstLine="640" w:firstLineChars="200"/>
        <w:rPr>
          <w:rFonts w:ascii="黑体" w:eastAsia="黑体"/>
          <w:sz w:val="32"/>
          <w:szCs w:val="32"/>
          <w:highlight w:val="white"/>
        </w:rPr>
      </w:pPr>
      <w:r>
        <w:rPr>
          <w:rFonts w:hint="eastAsia" w:ascii="黑体" w:eastAsia="黑体"/>
          <w:sz w:val="32"/>
          <w:szCs w:val="32"/>
          <w:highlight w:val="white"/>
        </w:rPr>
        <w:t>六、改进措施和建议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（一）加强财务人员的培养培训力度，特别是对新的财务制度加强学习。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细化预算编制工作，认真做好预算的编制。进一步加强内部机构的预算管理意识，严格按照预算编制的相关制度和要求，本着“勤俭节约、保障运转”的原则进行预算的编制；编制范围尽可能的全面、不漏项，进一步提高预算编制的科学性、合理性、严谨性和可控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（三）在日常预算管理过程中，进一步加强预算支出的审核、跟踪及预算执行情况分析。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（四）完善管理制度，进一步加强资产管理 。进一步贯彻落实</w:t>
      </w:r>
      <w:r>
        <w:rPr>
          <w:rFonts w:hint="eastAsia" w:ascii="仿宋_GB2312" w:eastAsia="仿宋_GB2312"/>
          <w:sz w:val="32"/>
          <w:szCs w:val="32"/>
          <w:lang w:eastAsia="zh-CN"/>
        </w:rPr>
        <w:t>中央八项规定</w:t>
      </w:r>
      <w:r>
        <w:rPr>
          <w:rFonts w:hint="eastAsia" w:ascii="仿宋_GB2312" w:eastAsia="仿宋_GB2312"/>
          <w:sz w:val="32"/>
          <w:szCs w:val="32"/>
        </w:rPr>
        <w:t>和湖南省委“九条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益</w:t>
      </w:r>
      <w:r>
        <w:rPr>
          <w:rFonts w:ascii="仿宋_GB2312" w:eastAsia="仿宋_GB2312"/>
          <w:sz w:val="32"/>
          <w:szCs w:val="32"/>
        </w:rPr>
        <w:t>阳市</w:t>
      </w:r>
      <w:r>
        <w:rPr>
          <w:rFonts w:hint="eastAsia" w:ascii="仿宋_GB2312" w:eastAsia="仿宋_GB2312"/>
          <w:sz w:val="32"/>
          <w:szCs w:val="32"/>
        </w:rPr>
        <w:t>赫山区工商联</w:t>
      </w:r>
    </w:p>
    <w:p>
      <w:pPr>
        <w:spacing w:line="560" w:lineRule="exact"/>
        <w:ind w:firstLine="4320" w:firstLineChars="1350"/>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2021年6月10日</w:t>
      </w:r>
    </w:p>
    <w:p>
      <w:pPr>
        <w:jc w:val="left"/>
        <w:rPr>
          <w:rFonts w:hint="eastAsia" w:ascii="仿宋" w:eastAsia="仿宋"/>
          <w:sz w:val="32"/>
          <w:szCs w:val="32"/>
        </w:rPr>
      </w:pPr>
    </w:p>
    <w:p>
      <w:pPr>
        <w:jc w:val="center"/>
        <w:rPr>
          <w:rFonts w:ascii="方正小标宋简体" w:eastAsia="方正小标宋简体" w:cs="方正小标宋_GBK"/>
          <w:sz w:val="28"/>
          <w:szCs w:val="28"/>
        </w:rPr>
      </w:pPr>
      <w:r>
        <w:rPr>
          <w:rFonts w:hint="eastAsia" w:ascii="方正小标宋简体" w:eastAsia="方正小标宋简体" w:cs="方正小标宋_GBK"/>
          <w:sz w:val="36"/>
          <w:szCs w:val="36"/>
        </w:rPr>
        <w:t>2020年度部门整体支出绩效自评指标计分表</w:t>
      </w:r>
    </w:p>
    <w:tbl>
      <w:tblPr>
        <w:tblStyle w:val="8"/>
        <w:tblW w:w="53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02"/>
        <w:gridCol w:w="737"/>
        <w:gridCol w:w="982"/>
        <w:gridCol w:w="737"/>
        <w:gridCol w:w="3095"/>
        <w:gridCol w:w="3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blHeader/>
          <w:jc w:val="center"/>
        </w:trPr>
        <w:tc>
          <w:tcPr>
            <w:tcW w:w="307" w:type="pct"/>
            <w:tcMar>
              <w:top w:w="10" w:type="dxa"/>
              <w:left w:w="10" w:type="dxa"/>
              <w:right w:w="10" w:type="dxa"/>
            </w:tcMar>
            <w:vAlign w:val="center"/>
          </w:tcPr>
          <w:p>
            <w:pPr>
              <w:spacing w:line="240" w:lineRule="exact"/>
              <w:jc w:val="center"/>
              <w:rPr>
                <w:rFonts w:ascii="宋体" w:cs="宋体"/>
                <w:b/>
                <w:bCs/>
              </w:rPr>
            </w:pPr>
            <w:r>
              <w:rPr>
                <w:rFonts w:hint="eastAsia" w:ascii="宋体" w:cs="宋体"/>
                <w:b/>
                <w:bCs/>
              </w:rPr>
              <w:t>一级</w:t>
            </w:r>
            <w:r>
              <w:rPr>
                <w:rFonts w:ascii="宋体" w:cs="宋体"/>
                <w:b/>
                <w:bCs/>
              </w:rPr>
              <w:br w:type="textWrapping"/>
            </w:r>
            <w:r>
              <w:rPr>
                <w:rFonts w:hint="eastAsia" w:ascii="宋体" w:cs="宋体"/>
                <w:b/>
                <w:bCs/>
              </w:rPr>
              <w:t>指标</w:t>
            </w:r>
          </w:p>
        </w:tc>
        <w:tc>
          <w:tcPr>
            <w:tcW w:w="375" w:type="pct"/>
            <w:tcMar>
              <w:top w:w="10" w:type="dxa"/>
              <w:left w:w="10" w:type="dxa"/>
              <w:right w:w="10" w:type="dxa"/>
            </w:tcMar>
            <w:vAlign w:val="center"/>
          </w:tcPr>
          <w:p>
            <w:pPr>
              <w:spacing w:line="240" w:lineRule="exact"/>
              <w:ind w:right="-174" w:rightChars="-83"/>
              <w:jc w:val="center"/>
              <w:rPr>
                <w:rFonts w:ascii="宋体" w:cs="宋体"/>
                <w:b/>
                <w:bCs/>
              </w:rPr>
            </w:pPr>
            <w:r>
              <w:rPr>
                <w:rFonts w:hint="eastAsia" w:ascii="宋体" w:cs="宋体"/>
                <w:b/>
                <w:bCs/>
              </w:rPr>
              <w:t>二级</w:t>
            </w:r>
          </w:p>
          <w:p>
            <w:pPr>
              <w:spacing w:line="240" w:lineRule="exact"/>
              <w:ind w:right="-174" w:rightChars="-83"/>
              <w:jc w:val="center"/>
              <w:rPr>
                <w:rFonts w:ascii="宋体" w:cs="宋体"/>
                <w:b/>
                <w:bCs/>
              </w:rPr>
            </w:pPr>
            <w:r>
              <w:rPr>
                <w:rFonts w:hint="eastAsia" w:ascii="宋体" w:cs="宋体"/>
                <w:b/>
                <w:bCs/>
              </w:rPr>
              <w:t>指标</w:t>
            </w:r>
          </w:p>
        </w:tc>
        <w:tc>
          <w:tcPr>
            <w:tcW w:w="500" w:type="pct"/>
            <w:tcMar>
              <w:top w:w="10" w:type="dxa"/>
              <w:left w:w="10" w:type="dxa"/>
              <w:right w:w="10" w:type="dxa"/>
            </w:tcMar>
            <w:vAlign w:val="center"/>
          </w:tcPr>
          <w:p>
            <w:pPr>
              <w:spacing w:line="240" w:lineRule="exact"/>
              <w:jc w:val="center"/>
              <w:rPr>
                <w:rFonts w:ascii="宋体" w:cs="宋体"/>
                <w:b/>
                <w:bCs/>
              </w:rPr>
            </w:pPr>
            <w:r>
              <w:rPr>
                <w:rFonts w:hint="eastAsia" w:ascii="宋体" w:cs="宋体"/>
                <w:b/>
                <w:bCs/>
              </w:rPr>
              <w:t>三级</w:t>
            </w:r>
          </w:p>
          <w:p>
            <w:pPr>
              <w:spacing w:line="240" w:lineRule="exact"/>
              <w:jc w:val="center"/>
              <w:rPr>
                <w:rFonts w:ascii="宋体" w:cs="宋体"/>
                <w:b/>
                <w:bCs/>
              </w:rPr>
            </w:pPr>
            <w:r>
              <w:rPr>
                <w:rFonts w:hint="eastAsia" w:ascii="宋体" w:cs="宋体"/>
                <w:b/>
                <w:bCs/>
              </w:rPr>
              <w:t>指标</w:t>
            </w:r>
          </w:p>
        </w:tc>
        <w:tc>
          <w:tcPr>
            <w:tcW w:w="375" w:type="pct"/>
            <w:vAlign w:val="center"/>
          </w:tcPr>
          <w:p>
            <w:pPr>
              <w:spacing w:line="240" w:lineRule="exact"/>
              <w:ind w:left="105" w:leftChars="50" w:right="105" w:rightChars="50"/>
              <w:jc w:val="center"/>
              <w:rPr>
                <w:rFonts w:ascii="宋体" w:cs="宋体"/>
                <w:b/>
                <w:bCs/>
              </w:rPr>
            </w:pPr>
            <w:r>
              <w:rPr>
                <w:rFonts w:hint="eastAsia" w:ascii="宋体" w:cs="宋体"/>
                <w:b/>
                <w:bCs/>
              </w:rPr>
              <w:t>自评分</w:t>
            </w:r>
          </w:p>
        </w:tc>
        <w:tc>
          <w:tcPr>
            <w:tcW w:w="1576" w:type="pct"/>
            <w:tcMar>
              <w:top w:w="10" w:type="dxa"/>
              <w:left w:w="10" w:type="dxa"/>
              <w:right w:w="10" w:type="dxa"/>
            </w:tcMar>
            <w:vAlign w:val="center"/>
          </w:tcPr>
          <w:p>
            <w:pPr>
              <w:spacing w:line="240" w:lineRule="exact"/>
              <w:ind w:left="105" w:leftChars="50" w:right="105" w:rightChars="50"/>
              <w:jc w:val="center"/>
              <w:rPr>
                <w:rFonts w:ascii="宋体" w:cs="宋体"/>
                <w:b/>
                <w:bCs/>
              </w:rPr>
            </w:pPr>
            <w:r>
              <w:rPr>
                <w:rFonts w:hint="eastAsia" w:ascii="宋体" w:cs="宋体"/>
                <w:b/>
                <w:bCs/>
              </w:rPr>
              <w:t>指标解释</w:t>
            </w:r>
          </w:p>
        </w:tc>
        <w:tc>
          <w:tcPr>
            <w:tcW w:w="1867" w:type="pct"/>
            <w:tcMar>
              <w:top w:w="10" w:type="dxa"/>
              <w:left w:w="10" w:type="dxa"/>
              <w:right w:w="10" w:type="dxa"/>
            </w:tcMar>
            <w:vAlign w:val="center"/>
          </w:tcPr>
          <w:p>
            <w:pPr>
              <w:spacing w:line="240" w:lineRule="exact"/>
              <w:ind w:left="105" w:leftChars="50" w:right="105" w:rightChars="50"/>
              <w:jc w:val="center"/>
              <w:rPr>
                <w:rFonts w:ascii="宋体" w:cs="宋体"/>
                <w:b/>
                <w:bCs/>
              </w:rPr>
            </w:pPr>
            <w:r>
              <w:rPr>
                <w:rFonts w:hint="eastAsia" w:ascii="宋体" w:cs="宋体"/>
                <w:b/>
                <w:bCs/>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2" w:hRule="atLeast"/>
          <w:jc w:val="center"/>
        </w:trPr>
        <w:tc>
          <w:tcPr>
            <w:tcW w:w="307" w:type="pct"/>
            <w:vMerge w:val="restart"/>
            <w:noWrap/>
            <w:tcMar>
              <w:top w:w="10" w:type="dxa"/>
              <w:left w:w="10" w:type="dxa"/>
              <w:right w:w="10" w:type="dxa"/>
            </w:tcMar>
            <w:textDirection w:val="tbRlV"/>
            <w:vAlign w:val="center"/>
          </w:tcPr>
          <w:p>
            <w:pPr>
              <w:spacing w:line="240" w:lineRule="exact"/>
              <w:jc w:val="center"/>
              <w:rPr>
                <w:rFonts w:ascii="宋体" w:cs="宋体"/>
              </w:rPr>
            </w:pPr>
            <w:r>
              <w:rPr>
                <w:rFonts w:hint="eastAsia" w:ascii="宋体" w:cs="宋体"/>
              </w:rPr>
              <w:t>投</w:t>
            </w:r>
            <w:r>
              <w:rPr>
                <w:rFonts w:ascii="宋体" w:cs="宋体"/>
              </w:rPr>
              <w:t xml:space="preserve">   </w:t>
            </w:r>
            <w:r>
              <w:rPr>
                <w:rFonts w:hint="eastAsia" w:ascii="宋体" w:cs="宋体"/>
              </w:rPr>
              <w:t>入（</w:t>
            </w:r>
            <w:r>
              <w:rPr>
                <w:rFonts w:ascii="宋体" w:cs="宋体"/>
              </w:rPr>
              <w:t>20</w:t>
            </w:r>
            <w:r>
              <w:rPr>
                <w:rFonts w:hint="eastAsia" w:ascii="宋体" w:cs="宋体"/>
              </w:rPr>
              <w:t>分）</w:t>
            </w:r>
          </w:p>
        </w:tc>
        <w:tc>
          <w:tcPr>
            <w:tcW w:w="375" w:type="pct"/>
            <w:vMerge w:val="restart"/>
            <w:tcMar>
              <w:top w:w="10" w:type="dxa"/>
              <w:left w:w="10" w:type="dxa"/>
              <w:right w:w="10" w:type="dxa"/>
            </w:tcMar>
            <w:vAlign w:val="center"/>
          </w:tcPr>
          <w:p>
            <w:pPr>
              <w:spacing w:line="240" w:lineRule="exact"/>
              <w:jc w:val="center"/>
              <w:rPr>
                <w:rFonts w:ascii="宋体" w:cs="宋体"/>
              </w:rPr>
            </w:pPr>
            <w:r>
              <w:rPr>
                <w:rFonts w:hint="eastAsia" w:ascii="宋体" w:cs="宋体"/>
              </w:rPr>
              <w:t>目标</w:t>
            </w:r>
            <w:r>
              <w:rPr>
                <w:rFonts w:ascii="宋体" w:cs="宋体"/>
              </w:rPr>
              <w:br w:type="textWrapping"/>
            </w:r>
            <w:r>
              <w:rPr>
                <w:rFonts w:hint="eastAsia" w:ascii="宋体" w:cs="宋体"/>
              </w:rPr>
              <w:t>设定（</w:t>
            </w:r>
            <w:r>
              <w:rPr>
                <w:rFonts w:ascii="宋体" w:cs="宋体"/>
              </w:rPr>
              <w:t>5</w:t>
            </w:r>
            <w:r>
              <w:rPr>
                <w:rFonts w:hint="eastAsia" w:ascii="宋体" w:cs="宋体"/>
              </w:rPr>
              <w:t>分）</w:t>
            </w:r>
          </w:p>
        </w:tc>
        <w:tc>
          <w:tcPr>
            <w:tcW w:w="500" w:type="pct"/>
            <w:tcMar>
              <w:top w:w="10" w:type="dxa"/>
              <w:left w:w="10" w:type="dxa"/>
              <w:right w:w="10" w:type="dxa"/>
            </w:tcMar>
            <w:vAlign w:val="center"/>
          </w:tcPr>
          <w:p>
            <w:pPr>
              <w:spacing w:line="240" w:lineRule="exact"/>
              <w:jc w:val="center"/>
              <w:rPr>
                <w:rFonts w:ascii="宋体" w:cs="宋体"/>
              </w:rPr>
            </w:pPr>
            <w:r>
              <w:rPr>
                <w:rFonts w:hint="eastAsia" w:ascii="宋体" w:cs="宋体"/>
              </w:rPr>
              <w:t>绩效目标</w:t>
            </w:r>
          </w:p>
          <w:p>
            <w:pPr>
              <w:spacing w:line="240" w:lineRule="exact"/>
              <w:jc w:val="center"/>
              <w:rPr>
                <w:rFonts w:ascii="宋体" w:cs="宋体"/>
              </w:rPr>
            </w:pPr>
            <w:r>
              <w:rPr>
                <w:rFonts w:hint="eastAsia" w:ascii="宋体" w:cs="宋体"/>
              </w:rPr>
              <w:t>合理性（</w:t>
            </w:r>
            <w:r>
              <w:rPr>
                <w:rFonts w:ascii="宋体" w:cs="宋体"/>
              </w:rPr>
              <w:t>2</w:t>
            </w:r>
            <w:r>
              <w:rPr>
                <w:rFonts w:hint="eastAsia" w:asci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2</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cs="宋体"/>
              </w:rPr>
              <w:t>部门所设立的整体绩效目标依据是否充分，是否符合客观实际，用以反映和考核部门整体绩效目标与部门履职、年度工作任务的相符性情况。</w:t>
            </w:r>
          </w:p>
        </w:tc>
        <w:tc>
          <w:tcPr>
            <w:tcW w:w="1867" w:type="pct"/>
            <w:tcMar>
              <w:top w:w="10" w:type="dxa"/>
              <w:left w:w="10" w:type="dxa"/>
              <w:right w:w="10" w:type="dxa"/>
            </w:tcMar>
            <w:vAlign w:val="center"/>
          </w:tcPr>
          <w:p>
            <w:pPr>
              <w:spacing w:line="240" w:lineRule="exact"/>
              <w:ind w:left="105" w:leftChars="50" w:right="105" w:rightChars="50"/>
              <w:rPr>
                <w:rFonts w:ascii="宋体" w:cs="宋体"/>
              </w:rPr>
            </w:pPr>
            <w:r>
              <w:rPr>
                <w:rFonts w:hint="eastAsia" w:ascii="宋体" w:cs="宋体"/>
              </w:rPr>
              <w:t>评价要点：</w:t>
            </w:r>
            <w:r>
              <w:rPr>
                <w:rFonts w:ascii="宋体" w:cs="宋体"/>
              </w:rPr>
              <w:br w:type="textWrapping"/>
            </w:r>
            <w:r>
              <w:rPr>
                <w:rFonts w:hint="eastAsia" w:ascii="宋体" w:cs="宋体"/>
              </w:rPr>
              <w:t>①是否符合国家法律法规、国民经济和社会发展总体规划；</w:t>
            </w:r>
            <w:r>
              <w:rPr>
                <w:rFonts w:ascii="宋体" w:cs="宋体"/>
              </w:rPr>
              <w:br w:type="textWrapping"/>
            </w:r>
            <w:r>
              <w:rPr>
                <w:rFonts w:hint="eastAsia" w:ascii="宋体" w:cs="宋体"/>
              </w:rPr>
              <w:t>②是否符合部门“三定”方案确定的职责；</w:t>
            </w:r>
            <w:r>
              <w:rPr>
                <w:rFonts w:ascii="宋体" w:cs="宋体"/>
              </w:rPr>
              <w:br w:type="textWrapping"/>
            </w:r>
            <w:r>
              <w:rPr>
                <w:rFonts w:hint="eastAsia" w:ascii="宋体" w:cs="宋体"/>
              </w:rPr>
              <w:t>③是否符合部门制定的中长期实施规划。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1" w:hRule="atLeast"/>
          <w:jc w:val="center"/>
        </w:trPr>
        <w:tc>
          <w:tcPr>
            <w:tcW w:w="307" w:type="pct"/>
            <w:vMerge w:val="continue"/>
            <w:vAlign w:val="center"/>
          </w:tcPr>
          <w:p/>
        </w:tc>
        <w:tc>
          <w:tcPr>
            <w:tcW w:w="375" w:type="pct"/>
            <w:vMerge w:val="continue"/>
            <w:vAlign w:val="center"/>
          </w:tcPr>
          <w:p/>
        </w:tc>
        <w:tc>
          <w:tcPr>
            <w:tcW w:w="500" w:type="pct"/>
            <w:tcMar>
              <w:top w:w="10" w:type="dxa"/>
              <w:left w:w="10" w:type="dxa"/>
              <w:right w:w="10" w:type="dxa"/>
            </w:tcMar>
            <w:vAlign w:val="center"/>
          </w:tcPr>
          <w:p>
            <w:pPr>
              <w:spacing w:line="240" w:lineRule="exact"/>
              <w:jc w:val="center"/>
              <w:rPr>
                <w:rFonts w:ascii="宋体" w:cs="宋体"/>
              </w:rPr>
            </w:pPr>
            <w:r>
              <w:rPr>
                <w:rFonts w:hint="eastAsia" w:ascii="宋体" w:cs="宋体"/>
              </w:rPr>
              <w:t>绩效指标</w:t>
            </w:r>
          </w:p>
          <w:p>
            <w:pPr>
              <w:spacing w:line="240" w:lineRule="exact"/>
              <w:jc w:val="center"/>
              <w:rPr>
                <w:rFonts w:ascii="宋体" w:cs="宋体"/>
              </w:rPr>
            </w:pPr>
            <w:r>
              <w:rPr>
                <w:rFonts w:hint="eastAsia" w:ascii="宋体" w:cs="宋体"/>
              </w:rPr>
              <w:t>明确性（</w:t>
            </w:r>
            <w:r>
              <w:rPr>
                <w:rFonts w:ascii="宋体" w:cs="宋体"/>
              </w:rPr>
              <w:t>3</w:t>
            </w:r>
            <w:r>
              <w:rPr>
                <w:rFonts w:hint="eastAsia" w:asci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3</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cs="宋体"/>
              </w:rPr>
              <w:t>部门依据整体绩效目标所设定的绩效指标是否清晰、细化、可衡量，用以反映和考核部门整体绩效目标的明细化情况。</w:t>
            </w:r>
          </w:p>
        </w:tc>
        <w:tc>
          <w:tcPr>
            <w:tcW w:w="1867" w:type="pct"/>
            <w:tcMar>
              <w:top w:w="10" w:type="dxa"/>
              <w:left w:w="10" w:type="dxa"/>
              <w:right w:w="10" w:type="dxa"/>
            </w:tcMar>
            <w:vAlign w:val="center"/>
          </w:tcPr>
          <w:p>
            <w:pPr>
              <w:spacing w:line="240" w:lineRule="exact"/>
              <w:ind w:left="105" w:leftChars="50" w:right="105" w:rightChars="50"/>
              <w:rPr>
                <w:rFonts w:ascii="宋体" w:cs="宋体"/>
              </w:rPr>
            </w:pPr>
            <w:r>
              <w:rPr>
                <w:rFonts w:hint="eastAsia" w:ascii="宋体" w:cs="宋体"/>
              </w:rPr>
              <w:t>评价要点：</w:t>
            </w:r>
            <w:r>
              <w:rPr>
                <w:rFonts w:ascii="宋体" w:cs="宋体"/>
              </w:rPr>
              <w:br w:type="textWrapping"/>
            </w:r>
            <w:r>
              <w:rPr>
                <w:rFonts w:hint="eastAsia" w:ascii="宋体" w:cs="宋体"/>
              </w:rPr>
              <w:t>①是否将部门整体的绩效目标细化分解为具体的工作任务；</w:t>
            </w:r>
            <w:r>
              <w:rPr>
                <w:rFonts w:ascii="宋体" w:cs="宋体"/>
              </w:rPr>
              <w:br w:type="textWrapping"/>
            </w:r>
            <w:r>
              <w:rPr>
                <w:rFonts w:hint="eastAsia" w:ascii="宋体" w:cs="宋体"/>
              </w:rPr>
              <w:t>②是否通过清晰、可衡量的指标值予以体现。</w:t>
            </w:r>
            <w:r>
              <w:rPr>
                <w:rFonts w:ascii="宋体" w:cs="宋体"/>
              </w:rPr>
              <w:t xml:space="preserve">    </w:t>
            </w:r>
            <w:r>
              <w:rPr>
                <w:rFonts w:hint="eastAsia" w:ascii="宋体" w:cs="宋体"/>
              </w:rPr>
              <w:t>③是否与部门年度的任务数或计划数相对应；</w:t>
            </w:r>
            <w:r>
              <w:rPr>
                <w:rFonts w:ascii="宋体" w:cs="宋体"/>
              </w:rPr>
              <w:br w:type="textWrapping"/>
            </w:r>
            <w:r>
              <w:rPr>
                <w:rFonts w:hint="eastAsia" w:ascii="宋体" w:cs="宋体"/>
              </w:rPr>
              <w:t>④是否与本年度部门预算资金相匹配。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3" w:hRule="atLeast"/>
          <w:jc w:val="center"/>
        </w:trPr>
        <w:tc>
          <w:tcPr>
            <w:tcW w:w="307" w:type="pct"/>
            <w:vMerge w:val="continue"/>
            <w:vAlign w:val="center"/>
          </w:tcPr>
          <w:p/>
        </w:tc>
        <w:tc>
          <w:tcPr>
            <w:tcW w:w="375" w:type="pct"/>
            <w:vMerge w:val="restart"/>
            <w:tcMar>
              <w:top w:w="10" w:type="dxa"/>
              <w:left w:w="10" w:type="dxa"/>
              <w:right w:w="10" w:type="dxa"/>
            </w:tcMar>
            <w:vAlign w:val="center"/>
          </w:tcPr>
          <w:p>
            <w:pPr>
              <w:spacing w:line="240" w:lineRule="exact"/>
              <w:jc w:val="center"/>
              <w:rPr>
                <w:rFonts w:ascii="宋体" w:cs="宋体"/>
              </w:rPr>
            </w:pPr>
            <w:r>
              <w:rPr>
                <w:rFonts w:hint="eastAsia" w:ascii="宋体" w:cs="宋体"/>
              </w:rPr>
              <w:t>预算</w:t>
            </w:r>
            <w:r>
              <w:rPr>
                <w:rFonts w:ascii="宋体" w:cs="宋体"/>
              </w:rPr>
              <w:br w:type="textWrapping"/>
            </w:r>
            <w:r>
              <w:rPr>
                <w:rFonts w:hint="eastAsia" w:ascii="宋体" w:cs="宋体"/>
              </w:rPr>
              <w:t>配置（</w:t>
            </w:r>
            <w:r>
              <w:rPr>
                <w:rFonts w:ascii="宋体" w:cs="宋体"/>
              </w:rPr>
              <w:t>15</w:t>
            </w:r>
            <w:r>
              <w:rPr>
                <w:rFonts w:hint="eastAsia" w:ascii="宋体" w:cs="宋体"/>
              </w:rPr>
              <w:t>分）</w:t>
            </w:r>
          </w:p>
        </w:tc>
        <w:tc>
          <w:tcPr>
            <w:tcW w:w="500" w:type="pct"/>
            <w:tcMar>
              <w:top w:w="10" w:type="dxa"/>
              <w:left w:w="10" w:type="dxa"/>
              <w:right w:w="10" w:type="dxa"/>
            </w:tcMar>
            <w:vAlign w:val="center"/>
          </w:tcPr>
          <w:p>
            <w:pPr>
              <w:spacing w:line="240" w:lineRule="exact"/>
              <w:jc w:val="center"/>
              <w:rPr>
                <w:rFonts w:ascii="宋体" w:cs="宋体"/>
              </w:rPr>
            </w:pPr>
            <w:r>
              <w:rPr>
                <w:rFonts w:hint="eastAsia" w:ascii="宋体" w:cs="宋体"/>
              </w:rPr>
              <w:t>在职人员</w:t>
            </w:r>
          </w:p>
          <w:p>
            <w:pPr>
              <w:spacing w:line="240" w:lineRule="exact"/>
              <w:jc w:val="center"/>
              <w:rPr>
                <w:rFonts w:ascii="宋体" w:cs="宋体"/>
              </w:rPr>
            </w:pPr>
            <w:r>
              <w:rPr>
                <w:rFonts w:hint="eastAsia" w:ascii="宋体" w:cs="宋体"/>
              </w:rPr>
              <w:t>控制率（</w:t>
            </w:r>
            <w:r>
              <w:rPr>
                <w:rFonts w:ascii="宋体" w:cs="宋体"/>
              </w:rPr>
              <w:t>5</w:t>
            </w:r>
            <w:r>
              <w:rPr>
                <w:rFonts w:hint="eastAsia" w:asci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5</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cs="宋体"/>
              </w:rPr>
              <w:t>部门本年度实际在职人员数与编制数的比率，用以反映和考核部门对人员成本的控制程度。</w:t>
            </w:r>
          </w:p>
        </w:tc>
        <w:tc>
          <w:tcPr>
            <w:tcW w:w="1867" w:type="pct"/>
            <w:tcMar>
              <w:top w:w="10" w:type="dxa"/>
              <w:left w:w="10" w:type="dxa"/>
              <w:right w:w="10" w:type="dxa"/>
            </w:tcMar>
            <w:vAlign w:val="center"/>
          </w:tcPr>
          <w:p>
            <w:pPr>
              <w:spacing w:line="240" w:lineRule="exact"/>
              <w:ind w:left="105" w:leftChars="50" w:right="105" w:rightChars="50"/>
              <w:rPr>
                <w:rFonts w:ascii="宋体" w:cs="宋体"/>
              </w:rPr>
            </w:pPr>
            <w:r>
              <w:rPr>
                <w:rFonts w:hint="eastAsia" w:ascii="宋体" w:cs="宋体"/>
              </w:rPr>
              <w:t>在职人员控制率</w:t>
            </w:r>
            <w:r>
              <w:rPr>
                <w:rFonts w:ascii="宋体" w:cs="宋体"/>
              </w:rPr>
              <w:t>=</w:t>
            </w:r>
            <w:r>
              <w:rPr>
                <w:rFonts w:hint="eastAsia" w:ascii="宋体" w:cs="宋体"/>
              </w:rPr>
              <w:t>（在职人员数</w:t>
            </w:r>
            <w:r>
              <w:rPr>
                <w:rFonts w:ascii="宋体" w:cs="宋体"/>
              </w:rPr>
              <w:t>/</w:t>
            </w:r>
            <w:r>
              <w:rPr>
                <w:rFonts w:hint="eastAsia" w:ascii="宋体" w:cs="宋体"/>
              </w:rPr>
              <w:t>编制数）×</w:t>
            </w:r>
            <w:r>
              <w:rPr>
                <w:rFonts w:ascii="宋体" w:cs="宋体"/>
              </w:rPr>
              <w:t>100%</w:t>
            </w:r>
            <w:r>
              <w:rPr>
                <w:rFonts w:hint="eastAsia" w:ascii="宋体" w:cs="宋体"/>
              </w:rPr>
              <w:t>。</w:t>
            </w:r>
            <w:r>
              <w:rPr>
                <w:rFonts w:ascii="宋体" w:cs="宋体"/>
              </w:rPr>
              <w:br w:type="textWrapping"/>
            </w:r>
            <w:r>
              <w:rPr>
                <w:rFonts w:hint="eastAsia" w:ascii="宋体" w:cs="宋体"/>
              </w:rPr>
              <w:t>在职人员数：部门实际在职人数，以财政部确定的部门决算编制口径为准。</w:t>
            </w:r>
            <w:r>
              <w:rPr>
                <w:rFonts w:ascii="宋体" w:cs="宋体"/>
              </w:rPr>
              <w:br w:type="textWrapping"/>
            </w:r>
            <w:r>
              <w:rPr>
                <w:rFonts w:hint="eastAsia" w:ascii="宋体" w:cs="宋体"/>
              </w:rPr>
              <w:t>编制数：机构编制部门核定批复的部门的人员编制数。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0" w:hRule="atLeast"/>
          <w:jc w:val="center"/>
        </w:trPr>
        <w:tc>
          <w:tcPr>
            <w:tcW w:w="307" w:type="pct"/>
            <w:vMerge w:val="continue"/>
            <w:vAlign w:val="center"/>
          </w:tcPr>
          <w:p/>
        </w:tc>
        <w:tc>
          <w:tcPr>
            <w:tcW w:w="375" w:type="pct"/>
            <w:vMerge w:val="continue"/>
            <w:vAlign w:val="center"/>
          </w:tcPr>
          <w:p/>
        </w:tc>
        <w:tc>
          <w:tcPr>
            <w:tcW w:w="500" w:type="pct"/>
            <w:tcMar>
              <w:top w:w="10" w:type="dxa"/>
              <w:left w:w="10" w:type="dxa"/>
              <w:right w:w="10" w:type="dxa"/>
            </w:tcMar>
            <w:vAlign w:val="center"/>
          </w:tcPr>
          <w:p>
            <w:pPr>
              <w:spacing w:line="240" w:lineRule="exact"/>
              <w:jc w:val="center"/>
              <w:rPr>
                <w:rFonts w:ascii="宋体" w:cs="宋体"/>
              </w:rPr>
            </w:pPr>
            <w:r>
              <w:rPr>
                <w:rFonts w:hint="eastAsia" w:ascii="宋体" w:cs="宋体"/>
              </w:rPr>
              <w:t>“三公经费”</w:t>
            </w:r>
          </w:p>
          <w:p>
            <w:pPr>
              <w:spacing w:line="240" w:lineRule="exact"/>
              <w:jc w:val="center"/>
              <w:rPr>
                <w:rFonts w:ascii="宋体" w:cs="宋体"/>
              </w:rPr>
            </w:pPr>
            <w:r>
              <w:rPr>
                <w:rFonts w:hint="eastAsia" w:ascii="宋体" w:cs="宋体"/>
              </w:rPr>
              <w:t>变动率（</w:t>
            </w:r>
            <w:r>
              <w:rPr>
                <w:rFonts w:ascii="宋体" w:cs="宋体"/>
              </w:rPr>
              <w:t>5</w:t>
            </w:r>
            <w:r>
              <w:rPr>
                <w:rFonts w:hint="eastAsia" w:asci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5</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cs="宋体"/>
              </w:rPr>
              <w:t>部门本年度“三公经费”预算数与上年度“三公经费”预算数的变动比率，用以反映和考核部门对控制重点行政成本的努力程度。</w:t>
            </w:r>
          </w:p>
        </w:tc>
        <w:tc>
          <w:tcPr>
            <w:tcW w:w="1867" w:type="pct"/>
            <w:tcMar>
              <w:top w:w="10" w:type="dxa"/>
              <w:left w:w="10" w:type="dxa"/>
              <w:right w:w="10" w:type="dxa"/>
            </w:tcMar>
            <w:vAlign w:val="center"/>
          </w:tcPr>
          <w:p>
            <w:pPr>
              <w:spacing w:line="240" w:lineRule="exact"/>
              <w:ind w:left="105" w:leftChars="50" w:right="105" w:rightChars="50"/>
              <w:rPr>
                <w:rFonts w:ascii="宋体" w:cs="宋体"/>
              </w:rPr>
            </w:pPr>
            <w:r>
              <w:rPr>
                <w:rFonts w:hint="eastAsia" w:ascii="宋体" w:cs="宋体"/>
              </w:rPr>
              <w:t>“三公经费”变动率</w:t>
            </w:r>
            <w:r>
              <w:rPr>
                <w:rFonts w:ascii="宋体" w:cs="宋体"/>
              </w:rPr>
              <w:t>=[</w:t>
            </w:r>
            <w:r>
              <w:rPr>
                <w:rFonts w:hint="eastAsia" w:ascii="宋体" w:cs="宋体"/>
              </w:rPr>
              <w:t>（本年度“三公经费”总额</w:t>
            </w:r>
            <w:r>
              <w:rPr>
                <w:rFonts w:ascii="宋体" w:cs="宋体"/>
              </w:rPr>
              <w:t>-</w:t>
            </w:r>
            <w:r>
              <w:rPr>
                <w:rFonts w:hint="eastAsia" w:ascii="宋体" w:cs="宋体"/>
              </w:rPr>
              <w:t>上年度“三公经费”总额）</w:t>
            </w:r>
            <w:r>
              <w:rPr>
                <w:rFonts w:ascii="宋体" w:cs="宋体"/>
              </w:rPr>
              <w:t>/</w:t>
            </w:r>
            <w:r>
              <w:rPr>
                <w:rFonts w:hint="eastAsia" w:ascii="宋体" w:cs="宋体"/>
              </w:rPr>
              <w:t>上年度“三公经费”总额</w:t>
            </w:r>
            <w:r>
              <w:rPr>
                <w:rFonts w:ascii="宋体" w:cs="宋体"/>
              </w:rPr>
              <w:t>]</w:t>
            </w:r>
            <w:r>
              <w:rPr>
                <w:rFonts w:hint="eastAsia" w:ascii="宋体" w:cs="宋体"/>
              </w:rPr>
              <w:t>×</w:t>
            </w:r>
            <w:r>
              <w:rPr>
                <w:rFonts w:ascii="宋体" w:cs="宋体"/>
              </w:rPr>
              <w:t>100%</w:t>
            </w:r>
            <w:r>
              <w:rPr>
                <w:rFonts w:hint="eastAsia" w:ascii="宋体" w:cs="宋体"/>
              </w:rPr>
              <w:t>。</w:t>
            </w:r>
            <w:r>
              <w:rPr>
                <w:rFonts w:ascii="宋体" w:cs="宋体"/>
              </w:rPr>
              <w:br w:type="textWrapping"/>
            </w:r>
            <w:r>
              <w:rPr>
                <w:rFonts w:hint="eastAsia" w:ascii="宋体" w:cs="宋体"/>
              </w:rPr>
              <w:t>“三公经费”：年度预算安排的因公出国（境）费、公务车辆购置及运行费和公务招待费。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4" w:hRule="atLeast"/>
          <w:jc w:val="center"/>
        </w:trPr>
        <w:tc>
          <w:tcPr>
            <w:tcW w:w="307" w:type="pct"/>
            <w:vMerge w:val="continue"/>
            <w:vAlign w:val="center"/>
          </w:tcPr>
          <w:p/>
        </w:tc>
        <w:tc>
          <w:tcPr>
            <w:tcW w:w="375" w:type="pct"/>
            <w:vMerge w:val="continue"/>
            <w:vAlign w:val="center"/>
          </w:tcPr>
          <w:p/>
        </w:tc>
        <w:tc>
          <w:tcPr>
            <w:tcW w:w="500" w:type="pct"/>
            <w:tcMar>
              <w:top w:w="10" w:type="dxa"/>
              <w:left w:w="10" w:type="dxa"/>
              <w:right w:w="10" w:type="dxa"/>
            </w:tcMar>
            <w:vAlign w:val="center"/>
          </w:tcPr>
          <w:p>
            <w:pPr>
              <w:spacing w:line="240" w:lineRule="exact"/>
              <w:jc w:val="center"/>
              <w:rPr>
                <w:rFonts w:ascii="宋体" w:cs="宋体"/>
              </w:rPr>
            </w:pPr>
            <w:r>
              <w:rPr>
                <w:rFonts w:hint="eastAsia" w:ascii="宋体" w:cs="宋体"/>
              </w:rPr>
              <w:t>重点支出</w:t>
            </w:r>
          </w:p>
          <w:p>
            <w:pPr>
              <w:spacing w:line="240" w:lineRule="exact"/>
              <w:jc w:val="center"/>
              <w:rPr>
                <w:rFonts w:ascii="宋体" w:cs="宋体"/>
              </w:rPr>
            </w:pPr>
            <w:r>
              <w:rPr>
                <w:rFonts w:hint="eastAsia" w:ascii="宋体" w:cs="宋体"/>
              </w:rPr>
              <w:t>安排率（</w:t>
            </w:r>
            <w:r>
              <w:rPr>
                <w:rFonts w:ascii="宋体" w:cs="宋体"/>
              </w:rPr>
              <w:t>5</w:t>
            </w:r>
            <w:r>
              <w:rPr>
                <w:rFonts w:hint="eastAsia" w:asci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5</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cs="宋体"/>
              </w:rPr>
              <w:t>部门本年度预算安排的重点预算支出与部门预算总支出的比率，用以反映和考核部门对履行主要职责或完成重点任务的保障程度。</w:t>
            </w:r>
          </w:p>
        </w:tc>
        <w:tc>
          <w:tcPr>
            <w:tcW w:w="1867" w:type="pct"/>
            <w:tcMar>
              <w:top w:w="10" w:type="dxa"/>
              <w:left w:w="10" w:type="dxa"/>
              <w:right w:w="10" w:type="dxa"/>
            </w:tcMar>
            <w:vAlign w:val="center"/>
          </w:tcPr>
          <w:p>
            <w:pPr>
              <w:spacing w:line="240" w:lineRule="exact"/>
              <w:ind w:left="105" w:leftChars="50" w:right="105" w:rightChars="50"/>
              <w:rPr>
                <w:rFonts w:ascii="宋体" w:cs="宋体"/>
              </w:rPr>
            </w:pPr>
            <w:r>
              <w:rPr>
                <w:rFonts w:hint="eastAsia" w:ascii="宋体" w:cs="宋体"/>
              </w:rPr>
              <w:t>重点支出安排率</w:t>
            </w:r>
            <w:r>
              <w:rPr>
                <w:rFonts w:ascii="宋体" w:cs="宋体"/>
              </w:rPr>
              <w:t>=</w:t>
            </w:r>
            <w:r>
              <w:rPr>
                <w:rFonts w:hint="eastAsia" w:ascii="宋体" w:cs="宋体"/>
              </w:rPr>
              <w:t>（重点预算支出</w:t>
            </w:r>
            <w:r>
              <w:rPr>
                <w:rFonts w:ascii="宋体" w:cs="宋体"/>
              </w:rPr>
              <w:t>/</w:t>
            </w:r>
            <w:r>
              <w:rPr>
                <w:rFonts w:hint="eastAsia" w:ascii="宋体" w:cs="宋体"/>
              </w:rPr>
              <w:t>预算总支出）×</w:t>
            </w:r>
            <w:r>
              <w:rPr>
                <w:rFonts w:ascii="宋体" w:cs="宋体"/>
              </w:rPr>
              <w:t>100%</w:t>
            </w:r>
            <w:r>
              <w:rPr>
                <w:rFonts w:hint="eastAsia" w:ascii="宋体" w:cs="宋体"/>
              </w:rPr>
              <w:t>。</w:t>
            </w:r>
            <w:r>
              <w:rPr>
                <w:rFonts w:ascii="宋体" w:cs="宋体"/>
              </w:rPr>
              <w:br w:type="textWrapping"/>
            </w:r>
            <w:r>
              <w:rPr>
                <w:rFonts w:hint="eastAsia" w:ascii="宋体" w:cs="宋体"/>
              </w:rPr>
              <w:t>重点预算支出：部门年度预算安排的，与本部门履职和发展密切相关、具有明显社会和经济影响、党委政府关心或社会比较关注的预算支出支出总额。</w:t>
            </w:r>
            <w:r>
              <w:rPr>
                <w:rFonts w:ascii="宋体" w:cs="宋体"/>
              </w:rPr>
              <w:br w:type="textWrapping"/>
            </w:r>
            <w:r>
              <w:rPr>
                <w:rFonts w:hint="eastAsia" w:ascii="宋体" w:cs="宋体"/>
              </w:rPr>
              <w:t>预算总支出：部门年度预算安排的预算支出支出总额。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2" w:hRule="atLeast"/>
          <w:jc w:val="center"/>
        </w:trPr>
        <w:tc>
          <w:tcPr>
            <w:tcW w:w="307" w:type="pct"/>
            <w:vMerge w:val="restart"/>
            <w:noWrap/>
            <w:tcMar>
              <w:top w:w="10" w:type="dxa"/>
              <w:left w:w="10" w:type="dxa"/>
              <w:right w:w="10" w:type="dxa"/>
            </w:tcMar>
            <w:textDirection w:val="tbRlV"/>
            <w:vAlign w:val="center"/>
          </w:tcPr>
          <w:p>
            <w:pPr>
              <w:spacing w:line="240" w:lineRule="exact"/>
              <w:jc w:val="center"/>
              <w:rPr>
                <w:rFonts w:ascii="宋体" w:cs="宋体"/>
              </w:rPr>
            </w:pPr>
            <w:r>
              <w:rPr>
                <w:rFonts w:hint="eastAsia" w:ascii="宋体" w:cs="宋体"/>
              </w:rPr>
              <w:t>过</w:t>
            </w:r>
            <w:r>
              <w:rPr>
                <w:rFonts w:ascii="宋体" w:cs="宋体"/>
              </w:rPr>
              <w:t xml:space="preserve">   </w:t>
            </w:r>
            <w:r>
              <w:rPr>
                <w:rFonts w:hint="eastAsia" w:ascii="宋体" w:cs="宋体"/>
              </w:rPr>
              <w:t>程（</w:t>
            </w:r>
            <w:r>
              <w:rPr>
                <w:rFonts w:ascii="宋体" w:cs="宋体"/>
              </w:rPr>
              <w:t>30</w:t>
            </w:r>
            <w:r>
              <w:rPr>
                <w:rFonts w:hint="eastAsia" w:ascii="宋体" w:cs="宋体"/>
              </w:rPr>
              <w:t>分）</w:t>
            </w:r>
          </w:p>
        </w:tc>
        <w:tc>
          <w:tcPr>
            <w:tcW w:w="375" w:type="pct"/>
            <w:vMerge w:val="restart"/>
            <w:tcMar>
              <w:top w:w="10" w:type="dxa"/>
              <w:left w:w="10" w:type="dxa"/>
              <w:right w:w="10" w:type="dxa"/>
            </w:tcMar>
            <w:vAlign w:val="center"/>
          </w:tcPr>
          <w:p>
            <w:pPr>
              <w:spacing w:line="240" w:lineRule="exact"/>
              <w:jc w:val="center"/>
              <w:rPr>
                <w:rFonts w:ascii="宋体" w:cs="宋体"/>
              </w:rPr>
            </w:pPr>
            <w:r>
              <w:rPr>
                <w:rFonts w:hint="eastAsia" w:ascii="宋体" w:cs="宋体"/>
              </w:rPr>
              <w:t>预算</w:t>
            </w:r>
            <w:r>
              <w:rPr>
                <w:rFonts w:ascii="宋体" w:cs="宋体"/>
              </w:rPr>
              <w:br w:type="textWrapping"/>
            </w:r>
            <w:r>
              <w:rPr>
                <w:rFonts w:hint="eastAsia" w:ascii="宋体" w:cs="宋体"/>
              </w:rPr>
              <w:t>执行（</w:t>
            </w:r>
            <w:r>
              <w:rPr>
                <w:rFonts w:ascii="宋体" w:cs="宋体"/>
              </w:rPr>
              <w:t>20</w:t>
            </w:r>
            <w:r>
              <w:rPr>
                <w:rFonts w:hint="eastAsia" w:ascii="宋体" w:cs="宋体"/>
              </w:rPr>
              <w:t>分）</w:t>
            </w:r>
          </w:p>
        </w:tc>
        <w:tc>
          <w:tcPr>
            <w:tcW w:w="500" w:type="pct"/>
            <w:tcMar>
              <w:top w:w="10" w:type="dxa"/>
              <w:left w:w="10" w:type="dxa"/>
              <w:right w:w="10" w:type="dxa"/>
            </w:tcMar>
            <w:vAlign w:val="center"/>
          </w:tcPr>
          <w:p>
            <w:pPr>
              <w:spacing w:line="240" w:lineRule="exact"/>
              <w:jc w:val="center"/>
              <w:rPr>
                <w:rFonts w:ascii="宋体" w:cs="宋体"/>
              </w:rPr>
            </w:pPr>
            <w:r>
              <w:rPr>
                <w:rFonts w:hint="eastAsia" w:ascii="宋体" w:cs="宋体"/>
              </w:rPr>
              <w:t>预算</w:t>
            </w:r>
          </w:p>
          <w:p>
            <w:pPr>
              <w:spacing w:line="240" w:lineRule="exact"/>
              <w:jc w:val="center"/>
              <w:rPr>
                <w:rFonts w:ascii="宋体" w:cs="宋体"/>
              </w:rPr>
            </w:pPr>
            <w:r>
              <w:rPr>
                <w:rFonts w:hint="eastAsia" w:ascii="宋体" w:cs="宋体"/>
              </w:rPr>
              <w:t>执行率（</w:t>
            </w:r>
            <w:r>
              <w:rPr>
                <w:rFonts w:ascii="宋体" w:cs="宋体"/>
              </w:rPr>
              <w:t>4</w:t>
            </w:r>
            <w:r>
              <w:rPr>
                <w:rFonts w:hint="eastAsia" w:asci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4</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cs="宋体"/>
              </w:rPr>
              <w:t>部门本年度预算完成数与预算数的比率，用以反映和考核部门预算完成程度。</w:t>
            </w:r>
          </w:p>
        </w:tc>
        <w:tc>
          <w:tcPr>
            <w:tcW w:w="1867" w:type="pct"/>
            <w:tcMar>
              <w:top w:w="10" w:type="dxa"/>
              <w:left w:w="10" w:type="dxa"/>
              <w:right w:w="10" w:type="dxa"/>
            </w:tcMar>
            <w:vAlign w:val="center"/>
          </w:tcPr>
          <w:p>
            <w:pPr>
              <w:spacing w:line="240" w:lineRule="exact"/>
              <w:ind w:left="105" w:leftChars="50" w:right="105" w:rightChars="50"/>
              <w:rPr>
                <w:rFonts w:ascii="宋体" w:cs="宋体"/>
              </w:rPr>
            </w:pPr>
            <w:r>
              <w:rPr>
                <w:rFonts w:hint="eastAsia" w:ascii="宋体" w:cs="宋体"/>
              </w:rPr>
              <w:t>预算执行率</w:t>
            </w:r>
            <w:r>
              <w:rPr>
                <w:rFonts w:ascii="宋体" w:cs="宋体"/>
              </w:rPr>
              <w:t>=</w:t>
            </w:r>
            <w:r>
              <w:rPr>
                <w:rFonts w:hint="eastAsia" w:ascii="宋体" w:cs="宋体"/>
              </w:rPr>
              <w:t>（预算执行数</w:t>
            </w:r>
            <w:r>
              <w:rPr>
                <w:rFonts w:ascii="宋体" w:cs="宋体"/>
              </w:rPr>
              <w:t>/</w:t>
            </w:r>
            <w:r>
              <w:rPr>
                <w:rFonts w:hint="eastAsia" w:ascii="宋体" w:cs="宋体"/>
              </w:rPr>
              <w:t>预算数）×</w:t>
            </w:r>
            <w:r>
              <w:rPr>
                <w:rFonts w:ascii="宋体" w:cs="宋体"/>
              </w:rPr>
              <w:t>100%</w:t>
            </w:r>
            <w:r>
              <w:rPr>
                <w:rFonts w:hint="eastAsia" w:ascii="宋体" w:cs="宋体"/>
              </w:rPr>
              <w:t>。</w:t>
            </w:r>
            <w:r>
              <w:rPr>
                <w:rFonts w:ascii="宋体" w:cs="宋体"/>
              </w:rPr>
              <w:br w:type="textWrapping"/>
            </w:r>
            <w:r>
              <w:rPr>
                <w:rFonts w:hint="eastAsia" w:ascii="宋体" w:cs="宋体"/>
              </w:rPr>
              <w:t>预算执行数：部门本年度实际完成的预算数。</w:t>
            </w:r>
            <w:r>
              <w:rPr>
                <w:rFonts w:ascii="宋体" w:cs="宋体"/>
              </w:rPr>
              <w:br w:type="textWrapping"/>
            </w:r>
            <w:r>
              <w:rPr>
                <w:rFonts w:hint="eastAsia" w:ascii="宋体" w:cs="宋体"/>
              </w:rPr>
              <w:t>预算数：财政部门批复的本年度部门预算数。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4" w:hRule="atLeast"/>
          <w:jc w:val="center"/>
        </w:trPr>
        <w:tc>
          <w:tcPr>
            <w:tcW w:w="307" w:type="pct"/>
            <w:vMerge w:val="continue"/>
            <w:vAlign w:val="center"/>
          </w:tcPr>
          <w:p/>
        </w:tc>
        <w:tc>
          <w:tcPr>
            <w:tcW w:w="375" w:type="pct"/>
            <w:vMerge w:val="continue"/>
            <w:vAlign w:val="center"/>
          </w:tcPr>
          <w:p/>
        </w:tc>
        <w:tc>
          <w:tcPr>
            <w:tcW w:w="500" w:type="pct"/>
            <w:tcMar>
              <w:top w:w="10" w:type="dxa"/>
              <w:left w:w="10" w:type="dxa"/>
              <w:right w:w="10" w:type="dxa"/>
            </w:tcMar>
            <w:vAlign w:val="center"/>
          </w:tcPr>
          <w:p>
            <w:pPr>
              <w:spacing w:line="240" w:lineRule="exact"/>
              <w:jc w:val="center"/>
              <w:rPr>
                <w:rFonts w:ascii="宋体" w:cs="宋体"/>
              </w:rPr>
            </w:pPr>
            <w:r>
              <w:rPr>
                <w:rFonts w:hint="eastAsia" w:ascii="宋体" w:cs="宋体"/>
              </w:rPr>
              <w:t>预算</w:t>
            </w:r>
          </w:p>
          <w:p>
            <w:pPr>
              <w:spacing w:line="240" w:lineRule="exact"/>
              <w:jc w:val="center"/>
              <w:rPr>
                <w:rFonts w:ascii="宋体" w:cs="宋体"/>
              </w:rPr>
            </w:pPr>
            <w:r>
              <w:rPr>
                <w:rFonts w:hint="eastAsia" w:ascii="宋体" w:cs="宋体"/>
              </w:rPr>
              <w:t>调整率（</w:t>
            </w:r>
            <w:r>
              <w:rPr>
                <w:rFonts w:ascii="宋体" w:cs="宋体"/>
              </w:rPr>
              <w:t>2</w:t>
            </w:r>
            <w:r>
              <w:rPr>
                <w:rFonts w:hint="eastAsia" w:asci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2</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cs="宋体"/>
              </w:rPr>
              <w:t>部门本年度预算调整数与预算数的比率，用以反映和考核部门预算的调整程度。</w:t>
            </w:r>
          </w:p>
        </w:tc>
        <w:tc>
          <w:tcPr>
            <w:tcW w:w="1867" w:type="pct"/>
            <w:tcMar>
              <w:top w:w="10" w:type="dxa"/>
              <w:left w:w="10" w:type="dxa"/>
              <w:right w:w="10" w:type="dxa"/>
            </w:tcMar>
            <w:vAlign w:val="center"/>
          </w:tcPr>
          <w:p>
            <w:pPr>
              <w:spacing w:line="240" w:lineRule="exact"/>
              <w:ind w:left="105" w:leftChars="50" w:right="105" w:rightChars="50"/>
              <w:rPr>
                <w:rFonts w:ascii="宋体" w:cs="宋体"/>
              </w:rPr>
            </w:pPr>
            <w:r>
              <w:rPr>
                <w:rFonts w:hint="eastAsia" w:ascii="宋体" w:cs="宋体"/>
              </w:rPr>
              <w:t>预算调整率</w:t>
            </w:r>
            <w:r>
              <w:rPr>
                <w:rFonts w:ascii="宋体" w:cs="宋体"/>
              </w:rPr>
              <w:t>=</w:t>
            </w:r>
            <w:r>
              <w:rPr>
                <w:rFonts w:hint="eastAsia" w:ascii="宋体" w:cs="宋体"/>
              </w:rPr>
              <w:t>（预算调整数</w:t>
            </w:r>
            <w:r>
              <w:rPr>
                <w:rFonts w:ascii="宋体" w:cs="宋体"/>
              </w:rPr>
              <w:t>/</w:t>
            </w:r>
            <w:r>
              <w:rPr>
                <w:rFonts w:hint="eastAsia" w:ascii="宋体" w:cs="宋体"/>
              </w:rPr>
              <w:t>预算数）×</w:t>
            </w:r>
            <w:r>
              <w:rPr>
                <w:rFonts w:ascii="宋体" w:cs="宋体"/>
              </w:rPr>
              <w:t>100%</w:t>
            </w:r>
            <w:r>
              <w:rPr>
                <w:rFonts w:hint="eastAsia" w:ascii="宋体" w:cs="宋体"/>
              </w:rPr>
              <w:t>。</w:t>
            </w:r>
            <w:r>
              <w:rPr>
                <w:rFonts w:ascii="宋体" w:cs="宋体"/>
              </w:rPr>
              <w:br w:type="textWrapping"/>
            </w:r>
            <w:r>
              <w:rPr>
                <w:rFonts w:hint="eastAsia" w:ascii="宋体" w:cs="宋体"/>
              </w:rPr>
              <w:t>预算调整数：部门在本年度内涉及预算的追加、追减或结构调整的资金总和（因落实国家政策、发生不可抗力、上级部门或本级党委政府临时交办而产生的调整除外）。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3" w:hRule="atLeast"/>
          <w:jc w:val="center"/>
        </w:trPr>
        <w:tc>
          <w:tcPr>
            <w:tcW w:w="307" w:type="pct"/>
            <w:vMerge w:val="continue"/>
            <w:vAlign w:val="center"/>
          </w:tcPr>
          <w:p/>
        </w:tc>
        <w:tc>
          <w:tcPr>
            <w:tcW w:w="375" w:type="pct"/>
            <w:vMerge w:val="continue"/>
            <w:vAlign w:val="center"/>
          </w:tcPr>
          <w:p/>
        </w:tc>
        <w:tc>
          <w:tcPr>
            <w:tcW w:w="500" w:type="pct"/>
            <w:tcMar>
              <w:top w:w="10" w:type="dxa"/>
              <w:left w:w="10" w:type="dxa"/>
              <w:right w:w="10" w:type="dxa"/>
            </w:tcMar>
            <w:vAlign w:val="center"/>
          </w:tcPr>
          <w:p>
            <w:pPr>
              <w:spacing w:line="240" w:lineRule="exact"/>
              <w:jc w:val="center"/>
              <w:rPr>
                <w:rFonts w:ascii="宋体" w:cs="宋体"/>
              </w:rPr>
            </w:pPr>
            <w:r>
              <w:rPr>
                <w:rFonts w:hint="eastAsia" w:ascii="宋体" w:cs="宋体"/>
              </w:rPr>
              <w:t>支付</w:t>
            </w:r>
          </w:p>
          <w:p>
            <w:pPr>
              <w:spacing w:line="240" w:lineRule="exact"/>
              <w:jc w:val="center"/>
              <w:rPr>
                <w:rFonts w:ascii="宋体" w:cs="宋体"/>
              </w:rPr>
            </w:pPr>
            <w:r>
              <w:rPr>
                <w:rFonts w:hint="eastAsia" w:ascii="宋体" w:cs="宋体"/>
              </w:rPr>
              <w:t>进度率（</w:t>
            </w:r>
            <w:r>
              <w:rPr>
                <w:rFonts w:ascii="宋体" w:cs="宋体"/>
              </w:rPr>
              <w:t>2</w:t>
            </w:r>
            <w:r>
              <w:rPr>
                <w:rFonts w:hint="eastAsia" w:asci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2</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cs="宋体"/>
              </w:rPr>
              <w:t>部门实际支付进度与既定支付进度的比率，用以反映和考核部门预算执行的及时性和均衡性程度。</w:t>
            </w:r>
          </w:p>
        </w:tc>
        <w:tc>
          <w:tcPr>
            <w:tcW w:w="1867" w:type="pct"/>
            <w:tcMar>
              <w:top w:w="10" w:type="dxa"/>
              <w:left w:w="10" w:type="dxa"/>
              <w:right w:w="10" w:type="dxa"/>
            </w:tcMar>
            <w:vAlign w:val="center"/>
          </w:tcPr>
          <w:p>
            <w:pPr>
              <w:spacing w:line="240" w:lineRule="exact"/>
              <w:ind w:left="105" w:leftChars="50" w:right="105" w:rightChars="50"/>
              <w:rPr>
                <w:rFonts w:ascii="宋体" w:cs="宋体"/>
              </w:rPr>
            </w:pPr>
            <w:r>
              <w:rPr>
                <w:rFonts w:hint="eastAsia" w:ascii="宋体" w:cs="宋体"/>
              </w:rPr>
              <w:t>支付进度率</w:t>
            </w:r>
            <w:r>
              <w:rPr>
                <w:rFonts w:ascii="宋体" w:cs="宋体"/>
              </w:rPr>
              <w:t>=</w:t>
            </w:r>
            <w:r>
              <w:rPr>
                <w:rFonts w:hint="eastAsia" w:ascii="宋体" w:cs="宋体"/>
              </w:rPr>
              <w:t>（实际支付进度</w:t>
            </w:r>
            <w:r>
              <w:rPr>
                <w:rFonts w:ascii="宋体" w:cs="宋体"/>
              </w:rPr>
              <w:t>/</w:t>
            </w:r>
            <w:r>
              <w:rPr>
                <w:rFonts w:hint="eastAsia" w:ascii="宋体" w:cs="宋体"/>
              </w:rPr>
              <w:t>既定支付进度）×</w:t>
            </w:r>
            <w:r>
              <w:rPr>
                <w:rFonts w:ascii="宋体" w:cs="宋体"/>
              </w:rPr>
              <w:t>100%</w:t>
            </w:r>
            <w:r>
              <w:rPr>
                <w:rFonts w:hint="eastAsia" w:ascii="宋体" w:cs="宋体"/>
              </w:rPr>
              <w:t>。</w:t>
            </w:r>
            <w:r>
              <w:rPr>
                <w:rFonts w:ascii="宋体" w:cs="宋体"/>
              </w:rPr>
              <w:br w:type="textWrapping"/>
            </w:r>
            <w:r>
              <w:rPr>
                <w:rFonts w:hint="eastAsia" w:ascii="宋体" w:cs="宋体"/>
              </w:rPr>
              <w:t>实际支付进度：部门在某一时点的支出预算执行总数与年度支出预算数的比率。</w:t>
            </w:r>
            <w:r>
              <w:rPr>
                <w:rFonts w:ascii="宋体" w:cs="宋体"/>
              </w:rPr>
              <w:br w:type="textWrapping"/>
            </w:r>
            <w:r>
              <w:rPr>
                <w:rFonts w:hint="eastAsia" w:ascii="宋体" w:cs="宋体"/>
              </w:rPr>
              <w:t>既定支付进度：由部门在申报部门整体绩效目标时，参照序时支付进度、前三年支付进度、本级部门平均支付进度水平等确定的，在某一时点应达到的支付进度（比率）。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7" w:hRule="atLeast"/>
          <w:jc w:val="center"/>
        </w:trPr>
        <w:tc>
          <w:tcPr>
            <w:tcW w:w="307" w:type="pct"/>
            <w:vMerge w:val="continue"/>
            <w:noWrap/>
            <w:tcMar>
              <w:top w:w="10" w:type="dxa"/>
              <w:left w:w="10" w:type="dxa"/>
              <w:right w:w="10" w:type="dxa"/>
            </w:tcMar>
            <w:textDirection w:val="tbRlV"/>
            <w:vAlign w:val="center"/>
          </w:tcPr>
          <w:p/>
        </w:tc>
        <w:tc>
          <w:tcPr>
            <w:tcW w:w="375" w:type="pct"/>
            <w:vMerge w:val="continue"/>
            <w:tcMar>
              <w:top w:w="10" w:type="dxa"/>
              <w:left w:w="10" w:type="dxa"/>
              <w:right w:w="10" w:type="dxa"/>
            </w:tcMar>
            <w:vAlign w:val="center"/>
          </w:tcPr>
          <w:p/>
        </w:tc>
        <w:tc>
          <w:tcPr>
            <w:tcW w:w="500" w:type="pct"/>
            <w:tcMar>
              <w:top w:w="10" w:type="dxa"/>
              <w:left w:w="10" w:type="dxa"/>
              <w:right w:w="10" w:type="dxa"/>
            </w:tcMar>
            <w:vAlign w:val="center"/>
          </w:tcPr>
          <w:p>
            <w:pPr>
              <w:spacing w:line="240" w:lineRule="exact"/>
              <w:jc w:val="center"/>
              <w:rPr>
                <w:rFonts w:ascii="宋体" w:cs="宋体"/>
              </w:rPr>
            </w:pPr>
            <w:r>
              <w:rPr>
                <w:rFonts w:hint="eastAsia" w:ascii="宋体" w:cs="宋体"/>
              </w:rPr>
              <w:t>结转</w:t>
            </w:r>
          </w:p>
          <w:p>
            <w:pPr>
              <w:spacing w:line="240" w:lineRule="exact"/>
              <w:jc w:val="center"/>
              <w:rPr>
                <w:rFonts w:ascii="宋体" w:cs="宋体"/>
              </w:rPr>
            </w:pPr>
            <w:r>
              <w:rPr>
                <w:rFonts w:hint="eastAsia" w:ascii="宋体" w:cs="宋体"/>
              </w:rPr>
              <w:t>结余率（</w:t>
            </w:r>
            <w:r>
              <w:rPr>
                <w:rFonts w:ascii="宋体" w:cs="宋体"/>
              </w:rPr>
              <w:t>2</w:t>
            </w:r>
            <w:r>
              <w:rPr>
                <w:rFonts w:hint="eastAsia" w:asci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1</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cs="宋体"/>
              </w:rPr>
              <w:t>部门本年度结转结余总额与支出预算数的比率，用以反映和考核部门对本年度结转结余资金的实际控制程度。</w:t>
            </w:r>
          </w:p>
        </w:tc>
        <w:tc>
          <w:tcPr>
            <w:tcW w:w="1867" w:type="pct"/>
            <w:tcMar>
              <w:top w:w="10" w:type="dxa"/>
              <w:left w:w="10" w:type="dxa"/>
              <w:right w:w="10" w:type="dxa"/>
            </w:tcMar>
            <w:vAlign w:val="center"/>
          </w:tcPr>
          <w:p>
            <w:pPr>
              <w:spacing w:line="240" w:lineRule="exact"/>
              <w:ind w:left="105" w:leftChars="50" w:right="105" w:rightChars="50"/>
              <w:rPr>
                <w:rFonts w:ascii="宋体" w:cs="宋体"/>
              </w:rPr>
            </w:pPr>
            <w:r>
              <w:rPr>
                <w:rFonts w:hint="eastAsia" w:ascii="宋体" w:cs="宋体"/>
              </w:rPr>
              <w:t>结转结余率</w:t>
            </w:r>
            <w:r>
              <w:rPr>
                <w:rFonts w:ascii="宋体" w:cs="宋体"/>
              </w:rPr>
              <w:t>=</w:t>
            </w:r>
            <w:r>
              <w:rPr>
                <w:rFonts w:hint="eastAsia" w:ascii="宋体" w:cs="宋体"/>
              </w:rPr>
              <w:t>结转结余总额</w:t>
            </w:r>
            <w:r>
              <w:rPr>
                <w:rFonts w:ascii="宋体" w:cs="宋体"/>
              </w:rPr>
              <w:t>/</w:t>
            </w:r>
            <w:r>
              <w:rPr>
                <w:rFonts w:hint="eastAsia" w:ascii="宋体" w:cs="宋体"/>
              </w:rPr>
              <w:t>支出预算数×</w:t>
            </w:r>
            <w:r>
              <w:rPr>
                <w:rFonts w:ascii="宋体" w:cs="宋体"/>
              </w:rPr>
              <w:t>100%</w:t>
            </w:r>
            <w:r>
              <w:rPr>
                <w:rFonts w:hint="eastAsia" w:ascii="宋体" w:cs="宋体"/>
              </w:rPr>
              <w:t>。</w:t>
            </w:r>
            <w:r>
              <w:rPr>
                <w:rFonts w:ascii="宋体" w:cs="宋体"/>
              </w:rPr>
              <w:br w:type="textWrapping"/>
            </w:r>
            <w:r>
              <w:rPr>
                <w:rFonts w:hint="eastAsia" w:ascii="宋体" w:cs="宋体"/>
              </w:rPr>
              <w:t>结转结余总额：部门本年度的结转资金与结余资金之和（以决算数为准）。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5" w:hRule="atLeast"/>
          <w:jc w:val="center"/>
        </w:trPr>
        <w:tc>
          <w:tcPr>
            <w:tcW w:w="307" w:type="pct"/>
            <w:vMerge w:val="continue"/>
            <w:vAlign w:val="center"/>
          </w:tcPr>
          <w:p/>
        </w:tc>
        <w:tc>
          <w:tcPr>
            <w:tcW w:w="375" w:type="pct"/>
            <w:vMerge w:val="continue"/>
            <w:vAlign w:val="center"/>
          </w:tcPr>
          <w:p/>
        </w:tc>
        <w:tc>
          <w:tcPr>
            <w:tcW w:w="500" w:type="pct"/>
            <w:tcMar>
              <w:top w:w="10" w:type="dxa"/>
              <w:left w:w="10" w:type="dxa"/>
              <w:right w:w="10" w:type="dxa"/>
            </w:tcMar>
            <w:vAlign w:val="center"/>
          </w:tcPr>
          <w:p>
            <w:pPr>
              <w:spacing w:line="240" w:lineRule="exact"/>
              <w:jc w:val="center"/>
              <w:rPr>
                <w:rFonts w:ascii="宋体" w:cs="宋体"/>
              </w:rPr>
            </w:pPr>
            <w:r>
              <w:rPr>
                <w:rFonts w:hint="eastAsia" w:ascii="宋体" w:cs="宋体"/>
              </w:rPr>
              <w:t>结转结余</w:t>
            </w:r>
          </w:p>
          <w:p>
            <w:pPr>
              <w:spacing w:line="240" w:lineRule="exact"/>
              <w:jc w:val="center"/>
              <w:rPr>
                <w:rFonts w:ascii="宋体" w:cs="宋体"/>
              </w:rPr>
            </w:pPr>
            <w:r>
              <w:rPr>
                <w:rFonts w:hint="eastAsia" w:ascii="宋体" w:cs="宋体"/>
              </w:rPr>
              <w:t>变动率（</w:t>
            </w:r>
            <w:r>
              <w:rPr>
                <w:rFonts w:ascii="宋体" w:cs="宋体"/>
              </w:rPr>
              <w:t>2</w:t>
            </w:r>
            <w:r>
              <w:rPr>
                <w:rFonts w:hint="eastAsia" w:asci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2</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1" w:firstLineChars="46"/>
              <w:rPr>
                <w:rFonts w:ascii="宋体" w:cs="宋体"/>
                <w:spacing w:val="-6"/>
              </w:rPr>
            </w:pPr>
            <w:r>
              <w:rPr>
                <w:rFonts w:hint="eastAsia" w:ascii="宋体" w:cs="宋体"/>
                <w:spacing w:val="-6"/>
              </w:rPr>
              <w:t>部门本年度结转结余资金总额与上年度结转结余资金总额的变动比率，用以反映和考核部门对控制结转结余资金的努力程度。</w:t>
            </w:r>
          </w:p>
        </w:tc>
        <w:tc>
          <w:tcPr>
            <w:tcW w:w="1867" w:type="pct"/>
            <w:tcMar>
              <w:top w:w="10" w:type="dxa"/>
              <w:left w:w="10" w:type="dxa"/>
              <w:right w:w="10" w:type="dxa"/>
            </w:tcMar>
            <w:vAlign w:val="center"/>
          </w:tcPr>
          <w:p>
            <w:pPr>
              <w:spacing w:line="240" w:lineRule="exact"/>
              <w:ind w:left="105" w:leftChars="50" w:right="105" w:rightChars="50"/>
              <w:rPr>
                <w:rFonts w:ascii="宋体" w:cs="宋体"/>
              </w:rPr>
            </w:pPr>
            <w:r>
              <w:rPr>
                <w:rFonts w:hint="eastAsia" w:ascii="宋体" w:cs="宋体"/>
              </w:rPr>
              <w:t>结转结余变动率</w:t>
            </w:r>
            <w:r>
              <w:rPr>
                <w:rFonts w:ascii="宋体" w:cs="宋体"/>
              </w:rPr>
              <w:t>=[</w:t>
            </w:r>
            <w:r>
              <w:rPr>
                <w:rFonts w:hint="eastAsia" w:ascii="宋体" w:cs="宋体"/>
              </w:rPr>
              <w:t>（本年度累计结转结余资金总额</w:t>
            </w:r>
            <w:r>
              <w:rPr>
                <w:rFonts w:ascii="宋体" w:cs="宋体"/>
              </w:rPr>
              <w:t>-</w:t>
            </w:r>
            <w:r>
              <w:rPr>
                <w:rFonts w:hint="eastAsia" w:ascii="宋体" w:cs="宋体"/>
              </w:rPr>
              <w:t>上年度累计结转结余资金总额）</w:t>
            </w:r>
            <w:r>
              <w:rPr>
                <w:rFonts w:ascii="宋体" w:cs="宋体"/>
              </w:rPr>
              <w:t>/</w:t>
            </w:r>
            <w:r>
              <w:rPr>
                <w:rFonts w:hint="eastAsia" w:ascii="宋体" w:cs="宋体"/>
              </w:rPr>
              <w:t>上年度累计结转结余资金总额</w:t>
            </w:r>
            <w:r>
              <w:rPr>
                <w:rFonts w:ascii="宋体" w:cs="宋体"/>
              </w:rPr>
              <w:t>]</w:t>
            </w:r>
            <w:r>
              <w:rPr>
                <w:rFonts w:hint="eastAsia" w:ascii="宋体" w:cs="宋体"/>
              </w:rPr>
              <w:t>×</w:t>
            </w:r>
            <w:r>
              <w:rPr>
                <w:rFonts w:ascii="宋体" w:cs="宋体"/>
              </w:rPr>
              <w:t>100%</w:t>
            </w:r>
            <w:r>
              <w:rPr>
                <w:rFonts w:hint="eastAsia" w:asci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2" w:hRule="atLeast"/>
          <w:jc w:val="center"/>
        </w:trPr>
        <w:tc>
          <w:tcPr>
            <w:tcW w:w="307" w:type="pct"/>
            <w:vMerge w:val="continue"/>
            <w:vAlign w:val="center"/>
          </w:tcPr>
          <w:p/>
        </w:tc>
        <w:tc>
          <w:tcPr>
            <w:tcW w:w="375" w:type="pct"/>
            <w:vMerge w:val="continue"/>
            <w:vAlign w:val="center"/>
          </w:tcPr>
          <w:p/>
        </w:tc>
        <w:tc>
          <w:tcPr>
            <w:tcW w:w="500" w:type="pct"/>
            <w:tcMar>
              <w:top w:w="10" w:type="dxa"/>
              <w:left w:w="10" w:type="dxa"/>
              <w:right w:w="10" w:type="dxa"/>
            </w:tcMar>
            <w:vAlign w:val="center"/>
          </w:tcPr>
          <w:p>
            <w:pPr>
              <w:spacing w:line="240" w:lineRule="exact"/>
              <w:jc w:val="center"/>
              <w:rPr>
                <w:rFonts w:ascii="宋体" w:cs="宋体"/>
              </w:rPr>
            </w:pPr>
            <w:r>
              <w:rPr>
                <w:rFonts w:hint="eastAsia" w:ascii="宋体" w:cs="宋体"/>
              </w:rPr>
              <w:t>公用经费</w:t>
            </w:r>
          </w:p>
          <w:p>
            <w:pPr>
              <w:spacing w:line="240" w:lineRule="exact"/>
              <w:jc w:val="center"/>
              <w:rPr>
                <w:rFonts w:ascii="宋体" w:cs="宋体"/>
              </w:rPr>
            </w:pPr>
            <w:r>
              <w:rPr>
                <w:rFonts w:hint="eastAsia" w:ascii="宋体" w:cs="宋体"/>
              </w:rPr>
              <w:t>控制率（</w:t>
            </w:r>
            <w:r>
              <w:rPr>
                <w:rFonts w:ascii="宋体" w:cs="宋体"/>
              </w:rPr>
              <w:t>2</w:t>
            </w:r>
            <w:r>
              <w:rPr>
                <w:rFonts w:hint="eastAsia" w:asci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2</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cs="宋体"/>
              </w:rPr>
              <w:t>部门本年度实际支出的公用经费总额与预算安排的公用经费总额的比率，用以反映和考核部门对机构运转成本的实际控制程度。</w:t>
            </w:r>
          </w:p>
        </w:tc>
        <w:tc>
          <w:tcPr>
            <w:tcW w:w="1867" w:type="pct"/>
            <w:tcMar>
              <w:top w:w="10" w:type="dxa"/>
              <w:left w:w="10" w:type="dxa"/>
              <w:right w:w="10" w:type="dxa"/>
            </w:tcMar>
            <w:vAlign w:val="center"/>
          </w:tcPr>
          <w:p>
            <w:pPr>
              <w:spacing w:line="240" w:lineRule="exact"/>
              <w:ind w:left="105" w:leftChars="50" w:right="105" w:rightChars="50"/>
              <w:rPr>
                <w:rFonts w:ascii="宋体" w:cs="宋体"/>
              </w:rPr>
            </w:pPr>
            <w:r>
              <w:rPr>
                <w:rFonts w:hint="eastAsia" w:ascii="宋体" w:cs="宋体"/>
              </w:rPr>
              <w:t>公用经费控制率</w:t>
            </w:r>
            <w:r>
              <w:rPr>
                <w:rFonts w:ascii="宋体" w:cs="宋体"/>
              </w:rPr>
              <w:t>=</w:t>
            </w:r>
            <w:r>
              <w:rPr>
                <w:rFonts w:hint="eastAsia" w:ascii="宋体" w:cs="宋体"/>
              </w:rPr>
              <w:t>（实际支出公用经费总额</w:t>
            </w:r>
            <w:r>
              <w:rPr>
                <w:rFonts w:ascii="宋体" w:cs="宋体"/>
              </w:rPr>
              <w:t>/</w:t>
            </w:r>
            <w:r>
              <w:rPr>
                <w:rFonts w:hint="eastAsia" w:ascii="宋体" w:cs="宋体"/>
              </w:rPr>
              <w:t>预算安排公用经费总额）×</w:t>
            </w:r>
            <w:r>
              <w:rPr>
                <w:rFonts w:ascii="宋体" w:cs="宋体"/>
              </w:rPr>
              <w:t>100%</w:t>
            </w:r>
            <w:r>
              <w:rPr>
                <w:rFonts w:hint="eastAsia" w:asci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307" w:type="pct"/>
            <w:vMerge w:val="continue"/>
            <w:vAlign w:val="center"/>
          </w:tcPr>
          <w:p/>
        </w:tc>
        <w:tc>
          <w:tcPr>
            <w:tcW w:w="375" w:type="pct"/>
            <w:vMerge w:val="continue"/>
            <w:vAlign w:val="center"/>
          </w:tcPr>
          <w:p/>
        </w:tc>
        <w:tc>
          <w:tcPr>
            <w:tcW w:w="500" w:type="pct"/>
            <w:tcMar>
              <w:top w:w="10" w:type="dxa"/>
              <w:left w:w="10" w:type="dxa"/>
              <w:right w:w="10" w:type="dxa"/>
            </w:tcMar>
            <w:vAlign w:val="center"/>
          </w:tcPr>
          <w:p>
            <w:pPr>
              <w:spacing w:line="240" w:lineRule="exact"/>
              <w:jc w:val="center"/>
              <w:rPr>
                <w:rFonts w:ascii="宋体" w:cs="宋体"/>
              </w:rPr>
            </w:pPr>
            <w:r>
              <w:rPr>
                <w:rFonts w:hint="eastAsia" w:ascii="宋体" w:cs="宋体"/>
              </w:rPr>
              <w:t>“三公经费”控制率（</w:t>
            </w:r>
            <w:r>
              <w:rPr>
                <w:rFonts w:ascii="宋体" w:cs="宋体"/>
              </w:rPr>
              <w:t>2</w:t>
            </w:r>
            <w:r>
              <w:rPr>
                <w:rFonts w:hint="eastAsia" w:asci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2</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cs="宋体"/>
              </w:rPr>
              <w:t>部门本年度“三公经费”实际支出数与预算安排数的比率，用以反映和考核部门对“三公经费”的实际控制程度。</w:t>
            </w:r>
          </w:p>
        </w:tc>
        <w:tc>
          <w:tcPr>
            <w:tcW w:w="1867" w:type="pct"/>
            <w:tcMar>
              <w:top w:w="10" w:type="dxa"/>
              <w:left w:w="10" w:type="dxa"/>
              <w:right w:w="10" w:type="dxa"/>
            </w:tcMar>
            <w:vAlign w:val="center"/>
          </w:tcPr>
          <w:p>
            <w:pPr>
              <w:spacing w:line="240" w:lineRule="exact"/>
              <w:ind w:left="105" w:leftChars="50" w:right="105" w:rightChars="50"/>
              <w:rPr>
                <w:rFonts w:ascii="宋体" w:cs="宋体"/>
              </w:rPr>
            </w:pPr>
            <w:r>
              <w:rPr>
                <w:rFonts w:hint="eastAsia" w:ascii="宋体" w:cs="宋体"/>
              </w:rPr>
              <w:t>“三公经费”控制率</w:t>
            </w:r>
            <w:r>
              <w:rPr>
                <w:rFonts w:ascii="宋体" w:cs="宋体"/>
              </w:rPr>
              <w:t>=</w:t>
            </w:r>
            <w:r>
              <w:rPr>
                <w:rFonts w:hint="eastAsia" w:ascii="宋体" w:cs="宋体"/>
              </w:rPr>
              <w:t>（“三公经费”实际支出数</w:t>
            </w:r>
            <w:r>
              <w:rPr>
                <w:rFonts w:ascii="宋体" w:cs="宋体"/>
              </w:rPr>
              <w:t>/</w:t>
            </w:r>
            <w:r>
              <w:rPr>
                <w:rFonts w:hint="eastAsia" w:ascii="宋体" w:cs="宋体"/>
              </w:rPr>
              <w:t>“三公经费”预算安排数）×</w:t>
            </w:r>
            <w:r>
              <w:rPr>
                <w:rFonts w:ascii="宋体" w:cs="宋体"/>
              </w:rPr>
              <w:t>100%</w:t>
            </w:r>
            <w:r>
              <w:rPr>
                <w:rFonts w:hint="eastAsia" w:asci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jc w:val="center"/>
        </w:trPr>
        <w:tc>
          <w:tcPr>
            <w:tcW w:w="307" w:type="pct"/>
            <w:vMerge w:val="continue"/>
            <w:vAlign w:val="center"/>
          </w:tcPr>
          <w:p/>
        </w:tc>
        <w:tc>
          <w:tcPr>
            <w:tcW w:w="375" w:type="pct"/>
            <w:vMerge w:val="continue"/>
            <w:vAlign w:val="center"/>
          </w:tcPr>
          <w:p/>
        </w:tc>
        <w:tc>
          <w:tcPr>
            <w:tcW w:w="500" w:type="pct"/>
            <w:tcMar>
              <w:top w:w="10" w:type="dxa"/>
              <w:left w:w="10" w:type="dxa"/>
              <w:right w:w="10" w:type="dxa"/>
            </w:tcMar>
            <w:vAlign w:val="center"/>
          </w:tcPr>
          <w:p>
            <w:pPr>
              <w:spacing w:line="240" w:lineRule="exact"/>
              <w:jc w:val="center"/>
              <w:rPr>
                <w:rFonts w:ascii="宋体" w:cs="宋体"/>
              </w:rPr>
            </w:pPr>
            <w:r>
              <w:rPr>
                <w:rFonts w:hint="eastAsia" w:ascii="宋体" w:cs="宋体"/>
              </w:rPr>
              <w:t>政府采购</w:t>
            </w:r>
          </w:p>
          <w:p>
            <w:pPr>
              <w:spacing w:line="240" w:lineRule="exact"/>
              <w:jc w:val="center"/>
              <w:rPr>
                <w:rFonts w:ascii="宋体" w:cs="宋体"/>
              </w:rPr>
            </w:pPr>
            <w:r>
              <w:rPr>
                <w:rFonts w:hint="eastAsia" w:ascii="宋体" w:cs="宋体"/>
              </w:rPr>
              <w:t>执行率（</w:t>
            </w:r>
            <w:r>
              <w:rPr>
                <w:rFonts w:ascii="宋体" w:cs="宋体"/>
              </w:rPr>
              <w:t>4</w:t>
            </w:r>
            <w:r>
              <w:rPr>
                <w:rFonts w:hint="eastAsia" w:asci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4</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cs="宋体"/>
              </w:rPr>
              <w:t>部门本年度实际政府采购金额与年初政府采购预算的比率，用以反映和考核部门政府采购预算执行情况。</w:t>
            </w:r>
          </w:p>
        </w:tc>
        <w:tc>
          <w:tcPr>
            <w:tcW w:w="1867" w:type="pct"/>
            <w:tcMar>
              <w:top w:w="10" w:type="dxa"/>
              <w:left w:w="10" w:type="dxa"/>
              <w:right w:w="10" w:type="dxa"/>
            </w:tcMar>
            <w:vAlign w:val="center"/>
          </w:tcPr>
          <w:p>
            <w:pPr>
              <w:spacing w:line="240" w:lineRule="exact"/>
              <w:ind w:left="105" w:leftChars="50" w:right="105" w:rightChars="50"/>
              <w:rPr>
                <w:rFonts w:ascii="宋体" w:cs="宋体"/>
              </w:rPr>
            </w:pPr>
            <w:r>
              <w:rPr>
                <w:rFonts w:hint="eastAsia" w:ascii="宋体" w:cs="宋体"/>
              </w:rPr>
              <w:t>政府采购执行率</w:t>
            </w:r>
            <w:r>
              <w:rPr>
                <w:rFonts w:ascii="宋体" w:cs="宋体"/>
              </w:rPr>
              <w:t>=</w:t>
            </w:r>
            <w:r>
              <w:rPr>
                <w:rFonts w:hint="eastAsia" w:ascii="宋体" w:cs="宋体"/>
              </w:rPr>
              <w:t>（实际政府采购金额</w:t>
            </w:r>
            <w:r>
              <w:rPr>
                <w:rFonts w:ascii="宋体" w:cs="宋体"/>
              </w:rPr>
              <w:t>/</w:t>
            </w:r>
            <w:r>
              <w:rPr>
                <w:rFonts w:hint="eastAsia" w:ascii="宋体" w:cs="宋体"/>
              </w:rPr>
              <w:t>政府采购预算数）×</w:t>
            </w:r>
            <w:r>
              <w:rPr>
                <w:rFonts w:ascii="宋体" w:cs="宋体"/>
              </w:rPr>
              <w:t>100%</w:t>
            </w:r>
            <w:r>
              <w:rPr>
                <w:rFonts w:hint="eastAsia" w:ascii="宋体" w:cs="宋体"/>
              </w:rPr>
              <w:t>；</w:t>
            </w:r>
            <w:r>
              <w:rPr>
                <w:rFonts w:ascii="宋体" w:cs="宋体"/>
              </w:rPr>
              <w:br w:type="textWrapping"/>
            </w:r>
            <w:r>
              <w:rPr>
                <w:rFonts w:hint="eastAsia" w:ascii="宋体" w:cs="宋体"/>
              </w:rPr>
              <w:t>政府采购预算：采购机关根据事业发展计划和行政任务编制的、并经过规定程序批准的年度政府采购计划。</w:t>
            </w:r>
            <w:r>
              <w:rPr>
                <w:rFonts w:asci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9" w:hRule="atLeast"/>
          <w:jc w:val="center"/>
        </w:trPr>
        <w:tc>
          <w:tcPr>
            <w:tcW w:w="307" w:type="pct"/>
            <w:vMerge w:val="restart"/>
            <w:vAlign w:val="center"/>
          </w:tcPr>
          <w:p>
            <w:pPr>
              <w:spacing w:line="240" w:lineRule="exact"/>
              <w:jc w:val="center"/>
              <w:rPr>
                <w:rFonts w:ascii="宋体" w:cs="宋体"/>
              </w:rPr>
            </w:pPr>
            <w:r>
              <w:rPr>
                <w:rFonts w:hint="eastAsia" w:ascii="宋体" w:cs="宋体"/>
              </w:rPr>
              <w:t>过</w:t>
            </w:r>
          </w:p>
          <w:p>
            <w:pPr>
              <w:spacing w:line="240" w:lineRule="exact"/>
              <w:jc w:val="center"/>
              <w:rPr>
                <w:rFonts w:ascii="宋体" w:cs="宋体"/>
              </w:rPr>
            </w:pPr>
            <w:r>
              <w:rPr>
                <w:rFonts w:hint="eastAsia" w:ascii="宋体" w:cs="宋体"/>
              </w:rPr>
              <w:t>程（</w:t>
            </w:r>
            <w:r>
              <w:rPr>
                <w:rFonts w:ascii="宋体" w:cs="宋体"/>
              </w:rPr>
              <w:t>30</w:t>
            </w:r>
            <w:r>
              <w:rPr>
                <w:rFonts w:hint="eastAsia" w:ascii="宋体" w:cs="宋体"/>
              </w:rPr>
              <w:t>分）</w:t>
            </w:r>
          </w:p>
        </w:tc>
        <w:tc>
          <w:tcPr>
            <w:tcW w:w="375" w:type="pct"/>
            <w:vMerge w:val="restart"/>
            <w:tcMar>
              <w:top w:w="10" w:type="dxa"/>
              <w:left w:w="10" w:type="dxa"/>
              <w:right w:w="10" w:type="dxa"/>
            </w:tcMar>
            <w:vAlign w:val="center"/>
          </w:tcPr>
          <w:p>
            <w:pPr>
              <w:spacing w:line="240" w:lineRule="exact"/>
              <w:jc w:val="center"/>
              <w:rPr>
                <w:rFonts w:ascii="宋体" w:cs="宋体"/>
              </w:rPr>
            </w:pPr>
            <w:r>
              <w:rPr>
                <w:rFonts w:hint="eastAsia" w:ascii="宋体" w:cs="宋体"/>
              </w:rPr>
              <w:t>预算</w:t>
            </w:r>
            <w:r>
              <w:rPr>
                <w:rFonts w:ascii="宋体" w:cs="宋体"/>
              </w:rPr>
              <w:br w:type="textWrapping"/>
            </w:r>
            <w:r>
              <w:rPr>
                <w:rFonts w:hint="eastAsia" w:ascii="宋体" w:cs="宋体"/>
              </w:rPr>
              <w:t>管理（</w:t>
            </w:r>
            <w:r>
              <w:rPr>
                <w:rFonts w:ascii="宋体" w:cs="宋体"/>
              </w:rPr>
              <w:t>5</w:t>
            </w:r>
            <w:r>
              <w:rPr>
                <w:rFonts w:hint="eastAsia" w:ascii="宋体" w:cs="宋体"/>
              </w:rPr>
              <w:t>分）</w:t>
            </w:r>
          </w:p>
          <w:p>
            <w:pPr>
              <w:spacing w:line="240" w:lineRule="exact"/>
              <w:jc w:val="center"/>
              <w:rPr>
                <w:rFonts w:ascii="宋体" w:cs="宋体"/>
              </w:rPr>
            </w:pPr>
            <w:r>
              <w:rPr>
                <w:rFonts w:hint="eastAsia" w:ascii="宋体" w:cs="宋体"/>
              </w:rPr>
              <w:t>）</w:t>
            </w:r>
          </w:p>
        </w:tc>
        <w:tc>
          <w:tcPr>
            <w:tcW w:w="500" w:type="pct"/>
            <w:tcMar>
              <w:top w:w="10" w:type="dxa"/>
              <w:left w:w="10" w:type="dxa"/>
              <w:right w:w="10" w:type="dxa"/>
            </w:tcMar>
            <w:vAlign w:val="center"/>
          </w:tcPr>
          <w:p>
            <w:pPr>
              <w:spacing w:line="240" w:lineRule="exact"/>
              <w:jc w:val="center"/>
              <w:rPr>
                <w:rFonts w:ascii="宋体" w:cs="宋体"/>
              </w:rPr>
            </w:pPr>
            <w:r>
              <w:rPr>
                <w:rFonts w:hint="eastAsia" w:ascii="宋体" w:cs="宋体"/>
              </w:rPr>
              <w:t>管理制度</w:t>
            </w:r>
          </w:p>
          <w:p>
            <w:pPr>
              <w:spacing w:line="240" w:lineRule="exact"/>
              <w:jc w:val="center"/>
              <w:rPr>
                <w:rFonts w:ascii="宋体" w:cs="宋体"/>
              </w:rPr>
            </w:pPr>
            <w:r>
              <w:rPr>
                <w:rFonts w:hint="eastAsia" w:ascii="宋体" w:cs="宋体"/>
              </w:rPr>
              <w:t>健全性（</w:t>
            </w:r>
            <w:r>
              <w:rPr>
                <w:rFonts w:ascii="宋体" w:cs="宋体"/>
              </w:rPr>
              <w:t>2</w:t>
            </w:r>
            <w:r>
              <w:rPr>
                <w:rFonts w:hint="eastAsia" w:asci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2</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cs="宋体"/>
              </w:rPr>
              <w:t>部门为加强预算管理、规范财务行为而制定的管理制度是否健全完整，用以反映和考核部门预算管理制度对完成主要职责或促进事业发展的保障情况。</w:t>
            </w:r>
          </w:p>
        </w:tc>
        <w:tc>
          <w:tcPr>
            <w:tcW w:w="1867" w:type="pct"/>
            <w:tcMar>
              <w:top w:w="10" w:type="dxa"/>
              <w:left w:w="10" w:type="dxa"/>
              <w:right w:w="10" w:type="dxa"/>
            </w:tcMar>
            <w:vAlign w:val="center"/>
          </w:tcPr>
          <w:p>
            <w:pPr>
              <w:spacing w:line="220" w:lineRule="exact"/>
              <w:ind w:left="105" w:leftChars="50" w:right="105" w:rightChars="50"/>
              <w:rPr>
                <w:rFonts w:ascii="宋体" w:cs="宋体"/>
              </w:rPr>
            </w:pPr>
            <w:r>
              <w:rPr>
                <w:rFonts w:hint="eastAsia" w:ascii="宋体" w:cs="宋体"/>
              </w:rPr>
              <w:t>评价要点：</w:t>
            </w:r>
            <w:r>
              <w:rPr>
                <w:rFonts w:ascii="宋体" w:cs="宋体"/>
              </w:rPr>
              <w:br w:type="textWrapping"/>
            </w:r>
            <w:r>
              <w:rPr>
                <w:rFonts w:hint="eastAsia" w:ascii="宋体" w:cs="宋体"/>
              </w:rPr>
              <w:t>①是否已制定或具有预算资金管理办法、内部财务管理制度、会计核算制度等管理制度；</w:t>
            </w:r>
            <w:r>
              <w:rPr>
                <w:rFonts w:ascii="宋体" w:cs="宋体"/>
              </w:rPr>
              <w:br w:type="textWrapping"/>
            </w:r>
            <w:r>
              <w:rPr>
                <w:rFonts w:hint="eastAsia" w:ascii="宋体" w:cs="宋体"/>
              </w:rPr>
              <w:t>②相关管理制度是否合法、合规、完整；</w:t>
            </w:r>
            <w:r>
              <w:rPr>
                <w:rFonts w:ascii="宋体" w:cs="宋体"/>
              </w:rPr>
              <w:br w:type="textWrapping"/>
            </w:r>
            <w:r>
              <w:rPr>
                <w:rFonts w:hint="eastAsia" w:ascii="宋体" w:cs="宋体"/>
              </w:rPr>
              <w:t>③相关管理制度是否得到有效执行。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3" w:hRule="atLeast"/>
          <w:jc w:val="center"/>
        </w:trPr>
        <w:tc>
          <w:tcPr>
            <w:tcW w:w="307" w:type="pct"/>
            <w:vMerge w:val="continue"/>
            <w:vAlign w:val="center"/>
          </w:tcPr>
          <w:p/>
        </w:tc>
        <w:tc>
          <w:tcPr>
            <w:tcW w:w="375" w:type="pct"/>
            <w:vMerge w:val="continue"/>
            <w:vAlign w:val="center"/>
          </w:tcPr>
          <w:p/>
        </w:tc>
        <w:tc>
          <w:tcPr>
            <w:tcW w:w="500" w:type="pct"/>
            <w:tcMar>
              <w:top w:w="10" w:type="dxa"/>
              <w:left w:w="10" w:type="dxa"/>
              <w:right w:w="10" w:type="dxa"/>
            </w:tcMar>
            <w:vAlign w:val="center"/>
          </w:tcPr>
          <w:p>
            <w:pPr>
              <w:spacing w:line="240" w:lineRule="exact"/>
              <w:jc w:val="center"/>
              <w:rPr>
                <w:rFonts w:ascii="宋体" w:cs="宋体"/>
              </w:rPr>
            </w:pPr>
            <w:r>
              <w:rPr>
                <w:rFonts w:hint="eastAsia" w:ascii="宋体" w:cs="宋体"/>
              </w:rPr>
              <w:t>资金使用</w:t>
            </w:r>
          </w:p>
          <w:p>
            <w:pPr>
              <w:spacing w:line="240" w:lineRule="exact"/>
              <w:jc w:val="center"/>
              <w:rPr>
                <w:rFonts w:ascii="宋体" w:cs="宋体"/>
              </w:rPr>
            </w:pPr>
            <w:r>
              <w:rPr>
                <w:rFonts w:hint="eastAsia" w:ascii="宋体" w:cs="宋体"/>
              </w:rPr>
              <w:t>合规性（</w:t>
            </w:r>
            <w:r>
              <w:rPr>
                <w:rFonts w:ascii="宋体" w:cs="宋体"/>
              </w:rPr>
              <w:t>1</w:t>
            </w:r>
            <w:r>
              <w:rPr>
                <w:rFonts w:hint="eastAsia" w:asci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1</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cs="宋体"/>
              </w:rPr>
              <w:t>部门使用预算资金是否符合相关的预算财务管理制度的规定，用以反映和考核部门预算资金的规范运行情况。</w:t>
            </w:r>
          </w:p>
        </w:tc>
        <w:tc>
          <w:tcPr>
            <w:tcW w:w="1867" w:type="pct"/>
            <w:tcMar>
              <w:top w:w="10" w:type="dxa"/>
              <w:left w:w="10" w:type="dxa"/>
              <w:right w:w="10" w:type="dxa"/>
            </w:tcMar>
            <w:vAlign w:val="center"/>
          </w:tcPr>
          <w:p>
            <w:pPr>
              <w:spacing w:line="220" w:lineRule="exact"/>
              <w:ind w:left="105" w:leftChars="50" w:right="105" w:rightChars="50"/>
              <w:rPr>
                <w:rFonts w:ascii="宋体" w:cs="宋体"/>
              </w:rPr>
            </w:pPr>
            <w:r>
              <w:rPr>
                <w:rFonts w:hint="eastAsia" w:ascii="宋体" w:cs="宋体"/>
              </w:rPr>
              <w:t>评价要点：</w:t>
            </w:r>
            <w:r>
              <w:rPr>
                <w:rFonts w:ascii="宋体" w:cs="宋体"/>
              </w:rPr>
              <w:br w:type="textWrapping"/>
            </w:r>
            <w:r>
              <w:rPr>
                <w:rFonts w:hint="eastAsia" w:ascii="宋体" w:cs="宋体"/>
              </w:rPr>
              <w:t>①是否符合国家财经法规和财务管理制度规定以及有关预算支出管理办法的规定；</w:t>
            </w:r>
            <w:r>
              <w:rPr>
                <w:rFonts w:ascii="宋体" w:cs="宋体"/>
              </w:rPr>
              <w:br w:type="textWrapping"/>
            </w:r>
            <w:r>
              <w:rPr>
                <w:rFonts w:hint="eastAsia" w:ascii="宋体" w:cs="宋体"/>
              </w:rPr>
              <w:t>②资金的拨付是否有完整的审批程序和手续；</w:t>
            </w:r>
            <w:r>
              <w:rPr>
                <w:rFonts w:ascii="宋体" w:cs="宋体"/>
              </w:rPr>
              <w:br w:type="textWrapping"/>
            </w:r>
            <w:r>
              <w:rPr>
                <w:rFonts w:hint="eastAsia" w:ascii="宋体" w:cs="宋体"/>
              </w:rPr>
              <w:t>③预算支出的重大开支是否经过评估论证；</w:t>
            </w:r>
            <w:r>
              <w:rPr>
                <w:rFonts w:ascii="宋体" w:cs="宋体"/>
              </w:rPr>
              <w:br w:type="textWrapping"/>
            </w:r>
            <w:r>
              <w:rPr>
                <w:rFonts w:hint="eastAsia" w:ascii="宋体" w:cs="宋体"/>
              </w:rPr>
              <w:t>④是否符合部门预算批复的用途；</w:t>
            </w:r>
            <w:r>
              <w:rPr>
                <w:rFonts w:ascii="宋体" w:cs="宋体"/>
              </w:rPr>
              <w:br w:type="textWrapping"/>
            </w:r>
            <w:r>
              <w:rPr>
                <w:rFonts w:hint="eastAsia" w:ascii="宋体" w:cs="宋体"/>
              </w:rPr>
              <w:t>⑤是否存在截留、挤占、挪用、虚列支出等情况。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3" w:hRule="atLeast"/>
          <w:jc w:val="center"/>
        </w:trPr>
        <w:tc>
          <w:tcPr>
            <w:tcW w:w="307" w:type="pct"/>
            <w:vMerge w:val="continue"/>
            <w:vAlign w:val="center"/>
          </w:tcPr>
          <w:p/>
        </w:tc>
        <w:tc>
          <w:tcPr>
            <w:tcW w:w="375" w:type="pct"/>
            <w:vMerge w:val="continue"/>
            <w:vAlign w:val="center"/>
          </w:tcPr>
          <w:p/>
        </w:tc>
        <w:tc>
          <w:tcPr>
            <w:tcW w:w="500" w:type="pct"/>
            <w:tcMar>
              <w:top w:w="10" w:type="dxa"/>
              <w:left w:w="10" w:type="dxa"/>
              <w:right w:w="10" w:type="dxa"/>
            </w:tcMar>
            <w:vAlign w:val="center"/>
          </w:tcPr>
          <w:p>
            <w:pPr>
              <w:spacing w:line="240" w:lineRule="exact"/>
              <w:jc w:val="center"/>
              <w:rPr>
                <w:rFonts w:ascii="宋体" w:cs="宋体"/>
              </w:rPr>
            </w:pPr>
            <w:r>
              <w:rPr>
                <w:rFonts w:hint="eastAsia" w:ascii="宋体" w:cs="宋体"/>
              </w:rPr>
              <w:t>预决算信</w:t>
            </w:r>
          </w:p>
          <w:p>
            <w:pPr>
              <w:spacing w:line="240" w:lineRule="exact"/>
              <w:jc w:val="center"/>
              <w:rPr>
                <w:rFonts w:ascii="宋体" w:cs="宋体"/>
              </w:rPr>
            </w:pPr>
            <w:r>
              <w:rPr>
                <w:rFonts w:hint="eastAsia" w:ascii="宋体" w:cs="宋体"/>
              </w:rPr>
              <w:t>息公开性（</w:t>
            </w:r>
            <w:r>
              <w:rPr>
                <w:rFonts w:ascii="宋体" w:cs="宋体"/>
              </w:rPr>
              <w:t>1</w:t>
            </w:r>
            <w:r>
              <w:rPr>
                <w:rFonts w:hint="eastAsia" w:asci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1</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cs="宋体"/>
              </w:rPr>
              <w:t>部门是否按照政府信息公开有关规定公开相关预决算信息，用以反映和考核部门预决算管理的公开透明情况。</w:t>
            </w:r>
          </w:p>
        </w:tc>
        <w:tc>
          <w:tcPr>
            <w:tcW w:w="1867" w:type="pct"/>
            <w:tcMar>
              <w:top w:w="10" w:type="dxa"/>
              <w:left w:w="10" w:type="dxa"/>
              <w:right w:w="10" w:type="dxa"/>
            </w:tcMar>
            <w:vAlign w:val="center"/>
          </w:tcPr>
          <w:p>
            <w:pPr>
              <w:spacing w:line="220" w:lineRule="exact"/>
              <w:ind w:left="105" w:leftChars="50" w:right="105" w:rightChars="50"/>
              <w:rPr>
                <w:rFonts w:ascii="宋体" w:cs="宋体"/>
              </w:rPr>
            </w:pPr>
            <w:r>
              <w:rPr>
                <w:rFonts w:hint="eastAsia" w:ascii="宋体" w:cs="宋体"/>
              </w:rPr>
              <w:t>评价要点：</w:t>
            </w:r>
            <w:r>
              <w:rPr>
                <w:rFonts w:ascii="宋体" w:cs="宋体"/>
              </w:rPr>
              <w:br w:type="textWrapping"/>
            </w:r>
            <w:r>
              <w:rPr>
                <w:rFonts w:hint="eastAsia" w:ascii="宋体" w:cs="宋体"/>
              </w:rPr>
              <w:t>①是否按规定内容公开预决算信息；</w:t>
            </w:r>
            <w:r>
              <w:rPr>
                <w:rFonts w:ascii="宋体" w:cs="宋体"/>
              </w:rPr>
              <w:br w:type="textWrapping"/>
            </w:r>
            <w:r>
              <w:rPr>
                <w:rFonts w:hint="eastAsia" w:ascii="宋体" w:cs="宋体"/>
              </w:rPr>
              <w:t>②是否按规定时限公开预决算信息。</w:t>
            </w:r>
            <w:r>
              <w:rPr>
                <w:rFonts w:ascii="宋体" w:cs="宋体"/>
              </w:rPr>
              <w:br w:type="textWrapping"/>
            </w:r>
            <w:r>
              <w:rPr>
                <w:rFonts w:hint="eastAsia" w:ascii="宋体" w:cs="宋体"/>
              </w:rPr>
              <w:t>预决算信息是指与部门预算、执行、决算、监督、绩效等管理相关的信息。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2" w:hRule="atLeast"/>
          <w:jc w:val="center"/>
        </w:trPr>
        <w:tc>
          <w:tcPr>
            <w:tcW w:w="307" w:type="pct"/>
            <w:vMerge w:val="continue"/>
            <w:vAlign w:val="center"/>
          </w:tcPr>
          <w:p/>
        </w:tc>
        <w:tc>
          <w:tcPr>
            <w:tcW w:w="375" w:type="pct"/>
            <w:vMerge w:val="continue"/>
            <w:vAlign w:val="center"/>
          </w:tcPr>
          <w:p/>
        </w:tc>
        <w:tc>
          <w:tcPr>
            <w:tcW w:w="500" w:type="pct"/>
            <w:tcMar>
              <w:top w:w="10" w:type="dxa"/>
              <w:left w:w="10" w:type="dxa"/>
              <w:right w:w="10" w:type="dxa"/>
            </w:tcMar>
            <w:vAlign w:val="center"/>
          </w:tcPr>
          <w:p>
            <w:pPr>
              <w:spacing w:line="240" w:lineRule="exact"/>
              <w:jc w:val="center"/>
              <w:rPr>
                <w:rFonts w:ascii="宋体" w:cs="宋体"/>
              </w:rPr>
            </w:pPr>
            <w:r>
              <w:rPr>
                <w:rFonts w:hint="eastAsia" w:ascii="宋体" w:cs="宋体"/>
              </w:rPr>
              <w:t>基础信息</w:t>
            </w:r>
          </w:p>
          <w:p>
            <w:pPr>
              <w:spacing w:line="240" w:lineRule="exact"/>
              <w:jc w:val="center"/>
              <w:rPr>
                <w:rFonts w:ascii="宋体" w:cs="宋体"/>
              </w:rPr>
            </w:pPr>
            <w:r>
              <w:rPr>
                <w:rFonts w:hint="eastAsia" w:ascii="宋体" w:cs="宋体"/>
              </w:rPr>
              <w:t>完善性（</w:t>
            </w:r>
            <w:r>
              <w:rPr>
                <w:rFonts w:ascii="宋体" w:cs="宋体"/>
              </w:rPr>
              <w:t>1</w:t>
            </w:r>
            <w:r>
              <w:rPr>
                <w:rFonts w:hint="eastAsia" w:asci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1</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cs="宋体"/>
              </w:rPr>
              <w:t>部门基础信息是否完善，用以反映和考核基础信息对预算管理工作的支撑情况。</w:t>
            </w:r>
          </w:p>
        </w:tc>
        <w:tc>
          <w:tcPr>
            <w:tcW w:w="1867" w:type="pct"/>
            <w:tcMar>
              <w:top w:w="10" w:type="dxa"/>
              <w:left w:w="10" w:type="dxa"/>
              <w:right w:w="10" w:type="dxa"/>
            </w:tcMar>
            <w:vAlign w:val="center"/>
          </w:tcPr>
          <w:p>
            <w:pPr>
              <w:spacing w:line="220" w:lineRule="exact"/>
              <w:ind w:left="105" w:leftChars="50" w:right="105" w:rightChars="50"/>
              <w:rPr>
                <w:rFonts w:ascii="宋体" w:cs="宋体"/>
              </w:rPr>
            </w:pPr>
            <w:r>
              <w:rPr>
                <w:rFonts w:hint="eastAsia" w:ascii="宋体" w:cs="宋体"/>
              </w:rPr>
              <w:t>评价要点：</w:t>
            </w:r>
            <w:r>
              <w:rPr>
                <w:rFonts w:ascii="宋体" w:cs="宋体"/>
              </w:rPr>
              <w:br w:type="textWrapping"/>
            </w:r>
            <w:r>
              <w:rPr>
                <w:rFonts w:hint="eastAsia" w:ascii="宋体" w:cs="宋体"/>
              </w:rPr>
              <w:t>①基础数据信息和会计信息资料是否真实；</w:t>
            </w:r>
            <w:r>
              <w:rPr>
                <w:rFonts w:ascii="宋体" w:cs="宋体"/>
              </w:rPr>
              <w:br w:type="textWrapping"/>
            </w:r>
            <w:r>
              <w:rPr>
                <w:rFonts w:hint="eastAsia" w:ascii="宋体" w:cs="宋体"/>
              </w:rPr>
              <w:t>②基础数据信息和会计信息资料是否完整；</w:t>
            </w:r>
            <w:r>
              <w:rPr>
                <w:rFonts w:ascii="宋体" w:cs="宋体"/>
              </w:rPr>
              <w:br w:type="textWrapping"/>
            </w:r>
            <w:r>
              <w:rPr>
                <w:rFonts w:hint="eastAsia" w:ascii="宋体" w:cs="宋体"/>
              </w:rPr>
              <w:t>③基础数据信息和会计信息资料是否准确。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4" w:hRule="atLeast"/>
          <w:jc w:val="center"/>
        </w:trPr>
        <w:tc>
          <w:tcPr>
            <w:tcW w:w="307" w:type="pct"/>
            <w:vMerge w:val="continue"/>
            <w:noWrap/>
            <w:tcMar>
              <w:top w:w="10" w:type="dxa"/>
              <w:left w:w="10" w:type="dxa"/>
              <w:right w:w="10" w:type="dxa"/>
            </w:tcMar>
            <w:textDirection w:val="tbRlV"/>
            <w:vAlign w:val="center"/>
          </w:tcPr>
          <w:p/>
        </w:tc>
        <w:tc>
          <w:tcPr>
            <w:tcW w:w="375" w:type="pct"/>
            <w:vMerge w:val="restart"/>
            <w:tcMar>
              <w:top w:w="10" w:type="dxa"/>
              <w:left w:w="10" w:type="dxa"/>
              <w:right w:w="10" w:type="dxa"/>
            </w:tcMar>
            <w:vAlign w:val="center"/>
          </w:tcPr>
          <w:p>
            <w:pPr>
              <w:spacing w:line="240" w:lineRule="exact"/>
              <w:jc w:val="center"/>
              <w:rPr>
                <w:rFonts w:ascii="宋体" w:cs="宋体"/>
              </w:rPr>
            </w:pPr>
            <w:r>
              <w:rPr>
                <w:rFonts w:hint="eastAsia" w:ascii="宋体" w:cs="宋体"/>
              </w:rPr>
              <w:t>资产</w:t>
            </w:r>
            <w:r>
              <w:rPr>
                <w:rFonts w:ascii="宋体" w:cs="宋体"/>
              </w:rPr>
              <w:br w:type="textWrapping"/>
            </w:r>
            <w:r>
              <w:rPr>
                <w:rFonts w:hint="eastAsia" w:ascii="宋体" w:cs="宋体"/>
              </w:rPr>
              <w:t>管理（</w:t>
            </w:r>
            <w:r>
              <w:rPr>
                <w:rFonts w:ascii="宋体" w:cs="宋体"/>
              </w:rPr>
              <w:t>5</w:t>
            </w:r>
            <w:r>
              <w:rPr>
                <w:rFonts w:hint="eastAsia" w:ascii="宋体" w:cs="宋体"/>
              </w:rPr>
              <w:t>分）</w:t>
            </w:r>
          </w:p>
        </w:tc>
        <w:tc>
          <w:tcPr>
            <w:tcW w:w="500" w:type="pct"/>
            <w:tcMar>
              <w:top w:w="10" w:type="dxa"/>
              <w:left w:w="10" w:type="dxa"/>
              <w:right w:w="10" w:type="dxa"/>
            </w:tcMar>
            <w:vAlign w:val="center"/>
          </w:tcPr>
          <w:p>
            <w:pPr>
              <w:spacing w:line="240" w:lineRule="exact"/>
              <w:jc w:val="center"/>
              <w:rPr>
                <w:rFonts w:ascii="宋体" w:cs="宋体"/>
              </w:rPr>
            </w:pPr>
            <w:r>
              <w:rPr>
                <w:rFonts w:hint="eastAsia" w:ascii="宋体" w:cs="宋体"/>
              </w:rPr>
              <w:t>管理制度</w:t>
            </w:r>
          </w:p>
          <w:p>
            <w:pPr>
              <w:spacing w:line="240" w:lineRule="exact"/>
              <w:jc w:val="center"/>
              <w:rPr>
                <w:rFonts w:ascii="宋体" w:cs="宋体"/>
              </w:rPr>
            </w:pPr>
            <w:r>
              <w:rPr>
                <w:rFonts w:hint="eastAsia" w:ascii="宋体" w:cs="宋体"/>
              </w:rPr>
              <w:t>健全性（</w:t>
            </w:r>
            <w:r>
              <w:rPr>
                <w:rFonts w:ascii="宋体" w:cs="宋体"/>
              </w:rPr>
              <w:t>2</w:t>
            </w:r>
            <w:r>
              <w:rPr>
                <w:rFonts w:hint="eastAsia" w:asci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2</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cs="宋体"/>
              </w:rPr>
              <w:t>部门为加强资产管理、规范资产管理行为而制定的管理制度是否健全完整，用以反映和考核部门资产管理制度对完成主要职责或促进社会发展的保障情况。</w:t>
            </w:r>
          </w:p>
        </w:tc>
        <w:tc>
          <w:tcPr>
            <w:tcW w:w="1867" w:type="pct"/>
            <w:tcMar>
              <w:top w:w="10" w:type="dxa"/>
              <w:left w:w="10" w:type="dxa"/>
              <w:right w:w="10" w:type="dxa"/>
            </w:tcMar>
            <w:vAlign w:val="center"/>
          </w:tcPr>
          <w:p>
            <w:pPr>
              <w:spacing w:line="220" w:lineRule="exact"/>
              <w:ind w:left="105" w:leftChars="50" w:right="105" w:rightChars="50"/>
              <w:rPr>
                <w:rFonts w:ascii="宋体" w:cs="宋体"/>
              </w:rPr>
            </w:pPr>
            <w:r>
              <w:rPr>
                <w:rFonts w:hint="eastAsia" w:ascii="宋体" w:cs="宋体"/>
              </w:rPr>
              <w:t>评价要点：</w:t>
            </w:r>
            <w:r>
              <w:rPr>
                <w:rFonts w:ascii="宋体" w:cs="宋体"/>
              </w:rPr>
              <w:br w:type="textWrapping"/>
            </w:r>
            <w:r>
              <w:rPr>
                <w:rFonts w:hint="eastAsia" w:ascii="宋体" w:cs="宋体"/>
              </w:rPr>
              <w:t>①是否已制定或具有资产管理制度；</w:t>
            </w:r>
            <w:r>
              <w:rPr>
                <w:rFonts w:ascii="宋体" w:cs="宋体"/>
              </w:rPr>
              <w:t xml:space="preserve">           </w:t>
            </w:r>
            <w:r>
              <w:rPr>
                <w:rFonts w:hint="eastAsia" w:ascii="宋体" w:cs="宋体"/>
              </w:rPr>
              <w:t>②相关资金管理制度是否合法、合规、完整；</w:t>
            </w:r>
            <w:r>
              <w:rPr>
                <w:rFonts w:ascii="宋体" w:cs="宋体"/>
              </w:rPr>
              <w:br w:type="textWrapping"/>
            </w:r>
            <w:r>
              <w:rPr>
                <w:rFonts w:hint="eastAsia" w:ascii="宋体" w:cs="宋体"/>
              </w:rPr>
              <w:t>③相关资产管理制度是否得到有效执行。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7" w:hRule="atLeast"/>
          <w:jc w:val="center"/>
        </w:trPr>
        <w:tc>
          <w:tcPr>
            <w:tcW w:w="307" w:type="pct"/>
            <w:vMerge w:val="continue"/>
            <w:vAlign w:val="center"/>
          </w:tcPr>
          <w:p/>
        </w:tc>
        <w:tc>
          <w:tcPr>
            <w:tcW w:w="375" w:type="pct"/>
            <w:vMerge w:val="continue"/>
            <w:vAlign w:val="center"/>
          </w:tcPr>
          <w:p/>
        </w:tc>
        <w:tc>
          <w:tcPr>
            <w:tcW w:w="500" w:type="pct"/>
            <w:tcMar>
              <w:top w:w="10" w:type="dxa"/>
              <w:left w:w="10" w:type="dxa"/>
              <w:right w:w="10" w:type="dxa"/>
            </w:tcMar>
            <w:vAlign w:val="center"/>
          </w:tcPr>
          <w:p>
            <w:pPr>
              <w:spacing w:line="240" w:lineRule="exact"/>
              <w:jc w:val="center"/>
              <w:rPr>
                <w:rFonts w:ascii="宋体" w:cs="宋体"/>
              </w:rPr>
            </w:pPr>
            <w:r>
              <w:rPr>
                <w:rFonts w:hint="eastAsia" w:ascii="宋体" w:cs="宋体"/>
              </w:rPr>
              <w:t>资产管理</w:t>
            </w:r>
          </w:p>
          <w:p>
            <w:pPr>
              <w:spacing w:line="240" w:lineRule="exact"/>
              <w:jc w:val="center"/>
              <w:rPr>
                <w:rFonts w:ascii="宋体" w:cs="宋体"/>
              </w:rPr>
            </w:pPr>
            <w:r>
              <w:rPr>
                <w:rFonts w:hint="eastAsia" w:ascii="宋体" w:cs="宋体"/>
              </w:rPr>
              <w:t>安全性（</w:t>
            </w:r>
            <w:r>
              <w:rPr>
                <w:rFonts w:ascii="宋体" w:cs="宋体"/>
              </w:rPr>
              <w:t>2</w:t>
            </w:r>
            <w:r>
              <w:rPr>
                <w:rFonts w:hint="eastAsia" w:ascii="宋体" w:cs="宋体"/>
              </w:rPr>
              <w:t>分）</w:t>
            </w:r>
          </w:p>
        </w:tc>
        <w:tc>
          <w:tcPr>
            <w:tcW w:w="375" w:type="pct"/>
            <w:vAlign w:val="center"/>
          </w:tcPr>
          <w:p>
            <w:pPr>
              <w:tabs>
                <w:tab w:val="left" w:pos="761"/>
                <w:tab w:val="left" w:pos="2604"/>
              </w:tabs>
              <w:spacing w:line="240" w:lineRule="exact"/>
              <w:ind w:left="105" w:leftChars="50" w:right="105" w:rightChars="50" w:firstLine="96" w:firstLineChars="46"/>
              <w:jc w:val="center"/>
              <w:rPr>
                <w:rFonts w:ascii="宋体" w:cs="宋体"/>
              </w:rPr>
            </w:pPr>
            <w:r>
              <w:rPr>
                <w:rFonts w:hint="eastAsia" w:ascii="宋体" w:cs="宋体"/>
              </w:rPr>
              <w:t>1</w:t>
            </w:r>
          </w:p>
        </w:tc>
        <w:tc>
          <w:tcPr>
            <w:tcW w:w="1576" w:type="pct"/>
            <w:tcMar>
              <w:top w:w="10" w:type="dxa"/>
              <w:left w:w="10" w:type="dxa"/>
              <w:right w:w="10" w:type="dxa"/>
            </w:tcMar>
            <w:vAlign w:val="center"/>
          </w:tcPr>
          <w:p>
            <w:pPr>
              <w:tabs>
                <w:tab w:val="left" w:pos="761"/>
                <w:tab w:val="left" w:pos="2604"/>
              </w:tabs>
              <w:spacing w:line="240" w:lineRule="exact"/>
              <w:ind w:left="105" w:leftChars="50" w:right="105" w:rightChars="50" w:firstLine="96" w:firstLineChars="46"/>
              <w:rPr>
                <w:rFonts w:ascii="宋体" w:cs="宋体"/>
              </w:rPr>
            </w:pPr>
            <w:r>
              <w:rPr>
                <w:rFonts w:hint="eastAsia" w:ascii="宋体" w:cs="宋体"/>
              </w:rPr>
              <w:t>部门的资产是否保存完整、使用合规、配置合理、处置规范、收入及时足额上缴，用以反映和考核部门资产安全运行情况。</w:t>
            </w:r>
          </w:p>
        </w:tc>
        <w:tc>
          <w:tcPr>
            <w:tcW w:w="1867" w:type="pct"/>
            <w:tcMar>
              <w:top w:w="10" w:type="dxa"/>
              <w:left w:w="10" w:type="dxa"/>
              <w:right w:w="10" w:type="dxa"/>
            </w:tcMar>
            <w:vAlign w:val="center"/>
          </w:tcPr>
          <w:p>
            <w:pPr>
              <w:spacing w:line="220" w:lineRule="exact"/>
              <w:ind w:left="105" w:leftChars="50" w:right="105" w:rightChars="50"/>
              <w:rPr>
                <w:rFonts w:ascii="宋体" w:cs="宋体"/>
              </w:rPr>
            </w:pPr>
            <w:r>
              <w:rPr>
                <w:rFonts w:hint="eastAsia" w:ascii="宋体" w:cs="宋体"/>
              </w:rPr>
              <w:t>评价要点：</w:t>
            </w:r>
            <w:r>
              <w:rPr>
                <w:rFonts w:ascii="宋体" w:cs="宋体"/>
              </w:rPr>
              <w:br w:type="textWrapping"/>
            </w:r>
            <w:r>
              <w:rPr>
                <w:rFonts w:hint="eastAsia" w:ascii="宋体" w:cs="宋体"/>
              </w:rPr>
              <w:t>①资产保存是否完整；</w:t>
            </w:r>
            <w:r>
              <w:rPr>
                <w:rFonts w:ascii="宋体" w:cs="宋体"/>
              </w:rPr>
              <w:br w:type="textWrapping"/>
            </w:r>
            <w:r>
              <w:rPr>
                <w:rFonts w:hint="eastAsia" w:ascii="宋体" w:cs="宋体"/>
              </w:rPr>
              <w:t>②资产配置是否合理；</w:t>
            </w:r>
            <w:r>
              <w:rPr>
                <w:rFonts w:ascii="宋体" w:cs="宋体"/>
              </w:rPr>
              <w:br w:type="textWrapping"/>
            </w:r>
            <w:r>
              <w:rPr>
                <w:rFonts w:hint="eastAsia" w:ascii="宋体" w:cs="宋体"/>
              </w:rPr>
              <w:t>③资产处置是否规范；</w:t>
            </w:r>
            <w:r>
              <w:rPr>
                <w:rFonts w:ascii="宋体" w:cs="宋体"/>
              </w:rPr>
              <w:br w:type="textWrapping"/>
            </w:r>
            <w:r>
              <w:rPr>
                <w:rFonts w:hint="eastAsia" w:ascii="宋体" w:cs="宋体"/>
              </w:rPr>
              <w:t>④资产账务管理是否合规，是否帐实相符；</w:t>
            </w:r>
            <w:r>
              <w:rPr>
                <w:rFonts w:ascii="宋体" w:cs="宋体"/>
              </w:rPr>
              <w:br w:type="textWrapping"/>
            </w:r>
            <w:r>
              <w:rPr>
                <w:rFonts w:hint="eastAsia" w:ascii="宋体" w:cs="宋体"/>
              </w:rPr>
              <w:t>⑤资产是否有偿使用及处置收入及时足额上缴。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jc w:val="center"/>
        </w:trPr>
        <w:tc>
          <w:tcPr>
            <w:tcW w:w="307" w:type="pct"/>
            <w:vMerge w:val="continue"/>
            <w:vAlign w:val="center"/>
          </w:tcPr>
          <w:p/>
        </w:tc>
        <w:tc>
          <w:tcPr>
            <w:tcW w:w="375" w:type="pct"/>
            <w:vMerge w:val="continue"/>
            <w:vAlign w:val="center"/>
          </w:tcPr>
          <w:p/>
        </w:tc>
        <w:tc>
          <w:tcPr>
            <w:tcW w:w="500" w:type="pct"/>
            <w:tcMar>
              <w:top w:w="10" w:type="dxa"/>
              <w:left w:w="10" w:type="dxa"/>
              <w:right w:w="10" w:type="dxa"/>
            </w:tcMar>
            <w:vAlign w:val="center"/>
          </w:tcPr>
          <w:p>
            <w:pPr>
              <w:spacing w:line="240" w:lineRule="exact"/>
              <w:jc w:val="center"/>
              <w:rPr>
                <w:rFonts w:ascii="宋体" w:cs="宋体"/>
              </w:rPr>
            </w:pPr>
            <w:r>
              <w:rPr>
                <w:rFonts w:hint="eastAsia" w:ascii="宋体" w:cs="宋体"/>
              </w:rPr>
              <w:t>固定资产</w:t>
            </w:r>
          </w:p>
          <w:p>
            <w:pPr>
              <w:spacing w:line="240" w:lineRule="exact"/>
              <w:jc w:val="center"/>
              <w:rPr>
                <w:rFonts w:ascii="宋体" w:cs="宋体"/>
              </w:rPr>
            </w:pPr>
            <w:r>
              <w:rPr>
                <w:rFonts w:hint="eastAsia" w:ascii="宋体" w:cs="宋体"/>
              </w:rPr>
              <w:t>利用率（</w:t>
            </w:r>
            <w:r>
              <w:rPr>
                <w:rFonts w:ascii="宋体" w:cs="宋体"/>
              </w:rPr>
              <w:t>1</w:t>
            </w:r>
            <w:r>
              <w:rPr>
                <w:rFonts w:hint="eastAsia" w:asci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1</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cs="宋体"/>
              </w:rPr>
              <w:t>部门实际在用固定资产总额与所有固定资产总额的比率，用以反映和考核部门固定资产使用效率程度。</w:t>
            </w:r>
          </w:p>
        </w:tc>
        <w:tc>
          <w:tcPr>
            <w:tcW w:w="1867" w:type="pct"/>
            <w:tcMar>
              <w:top w:w="10" w:type="dxa"/>
              <w:left w:w="10" w:type="dxa"/>
              <w:right w:w="10" w:type="dxa"/>
            </w:tcMar>
            <w:vAlign w:val="center"/>
          </w:tcPr>
          <w:p>
            <w:pPr>
              <w:spacing w:line="240" w:lineRule="exact"/>
              <w:ind w:left="105" w:leftChars="50" w:right="105" w:rightChars="50"/>
              <w:rPr>
                <w:rFonts w:ascii="宋体" w:cs="宋体"/>
              </w:rPr>
            </w:pPr>
            <w:r>
              <w:rPr>
                <w:rFonts w:hint="eastAsia" w:ascii="宋体" w:cs="宋体"/>
              </w:rPr>
              <w:t>固定资产利用率</w:t>
            </w:r>
            <w:r>
              <w:rPr>
                <w:rFonts w:ascii="宋体" w:cs="宋体"/>
              </w:rPr>
              <w:t>=</w:t>
            </w:r>
            <w:r>
              <w:rPr>
                <w:rFonts w:hint="eastAsia" w:ascii="宋体" w:cs="宋体"/>
              </w:rPr>
              <w:t>（实际在用固定资产总额</w:t>
            </w:r>
            <w:r>
              <w:rPr>
                <w:rFonts w:ascii="宋体" w:cs="宋体"/>
              </w:rPr>
              <w:t>/</w:t>
            </w:r>
            <w:r>
              <w:rPr>
                <w:rFonts w:hint="eastAsia" w:ascii="宋体" w:cs="宋体"/>
              </w:rPr>
              <w:t>所有固定资产总额）×</w:t>
            </w:r>
            <w:r>
              <w:rPr>
                <w:rFonts w:ascii="宋体" w:cs="宋体"/>
              </w:rPr>
              <w:t>100%</w:t>
            </w:r>
            <w:r>
              <w:rPr>
                <w:rFonts w:hint="eastAsia" w:asci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1" w:hRule="atLeast"/>
          <w:jc w:val="center"/>
        </w:trPr>
        <w:tc>
          <w:tcPr>
            <w:tcW w:w="307" w:type="pct"/>
            <w:vMerge w:val="restart"/>
            <w:noWrap/>
            <w:tcMar>
              <w:top w:w="10" w:type="dxa"/>
              <w:left w:w="10" w:type="dxa"/>
              <w:right w:w="10" w:type="dxa"/>
            </w:tcMar>
            <w:textDirection w:val="tbRlV"/>
            <w:vAlign w:val="center"/>
          </w:tcPr>
          <w:p>
            <w:pPr>
              <w:spacing w:line="240" w:lineRule="exact"/>
              <w:jc w:val="center"/>
              <w:rPr>
                <w:rFonts w:ascii="宋体" w:cs="宋体"/>
              </w:rPr>
            </w:pPr>
            <w:r>
              <w:rPr>
                <w:rFonts w:hint="eastAsia" w:ascii="宋体" w:cs="宋体"/>
              </w:rPr>
              <w:t>产</w:t>
            </w:r>
            <w:r>
              <w:rPr>
                <w:rFonts w:ascii="宋体" w:cs="宋体"/>
              </w:rPr>
              <w:t xml:space="preserve">   </w:t>
            </w:r>
            <w:r>
              <w:rPr>
                <w:rFonts w:hint="eastAsia" w:ascii="宋体" w:cs="宋体"/>
              </w:rPr>
              <w:t>出（</w:t>
            </w:r>
            <w:r>
              <w:rPr>
                <w:rFonts w:ascii="宋体" w:cs="宋体"/>
              </w:rPr>
              <w:t>30</w:t>
            </w:r>
            <w:r>
              <w:rPr>
                <w:rFonts w:hint="eastAsia" w:ascii="宋体" w:cs="宋体"/>
              </w:rPr>
              <w:t>分）</w:t>
            </w:r>
          </w:p>
        </w:tc>
        <w:tc>
          <w:tcPr>
            <w:tcW w:w="375" w:type="pct"/>
            <w:vMerge w:val="restart"/>
            <w:tcMar>
              <w:top w:w="10" w:type="dxa"/>
              <w:left w:w="10" w:type="dxa"/>
              <w:right w:w="10" w:type="dxa"/>
            </w:tcMar>
            <w:vAlign w:val="center"/>
          </w:tcPr>
          <w:p>
            <w:pPr>
              <w:spacing w:line="240" w:lineRule="exact"/>
              <w:jc w:val="center"/>
              <w:rPr>
                <w:rFonts w:ascii="宋体" w:cs="宋体"/>
              </w:rPr>
            </w:pPr>
            <w:r>
              <w:rPr>
                <w:rFonts w:hint="eastAsia" w:ascii="宋体" w:cs="宋体"/>
              </w:rPr>
              <w:t>职责</w:t>
            </w:r>
            <w:r>
              <w:rPr>
                <w:rFonts w:ascii="宋体" w:cs="宋体"/>
              </w:rPr>
              <w:br w:type="textWrapping"/>
            </w:r>
            <w:r>
              <w:rPr>
                <w:rFonts w:hint="eastAsia" w:ascii="宋体" w:cs="宋体"/>
              </w:rPr>
              <w:t>履行（</w:t>
            </w:r>
            <w:r>
              <w:rPr>
                <w:rFonts w:ascii="宋体" w:cs="宋体"/>
              </w:rPr>
              <w:t>30</w:t>
            </w:r>
            <w:r>
              <w:rPr>
                <w:rFonts w:hint="eastAsia" w:ascii="宋体" w:cs="宋体"/>
              </w:rPr>
              <w:t>分）</w:t>
            </w:r>
          </w:p>
        </w:tc>
        <w:tc>
          <w:tcPr>
            <w:tcW w:w="500" w:type="pct"/>
            <w:tcMar>
              <w:top w:w="10" w:type="dxa"/>
              <w:left w:w="10" w:type="dxa"/>
              <w:right w:w="10" w:type="dxa"/>
            </w:tcMar>
            <w:vAlign w:val="center"/>
          </w:tcPr>
          <w:p>
            <w:pPr>
              <w:spacing w:line="240" w:lineRule="exact"/>
              <w:jc w:val="center"/>
              <w:rPr>
                <w:rFonts w:ascii="宋体" w:cs="宋体"/>
              </w:rPr>
            </w:pPr>
            <w:r>
              <w:rPr>
                <w:rFonts w:hint="eastAsia" w:ascii="宋体" w:cs="宋体"/>
              </w:rPr>
              <w:t>实际</w:t>
            </w:r>
          </w:p>
          <w:p>
            <w:pPr>
              <w:spacing w:line="240" w:lineRule="exact"/>
              <w:jc w:val="center"/>
              <w:rPr>
                <w:rFonts w:ascii="宋体" w:cs="宋体"/>
              </w:rPr>
            </w:pPr>
            <w:r>
              <w:rPr>
                <w:rFonts w:hint="eastAsia" w:ascii="宋体" w:cs="宋体"/>
              </w:rPr>
              <w:t>完成率（</w:t>
            </w:r>
            <w:r>
              <w:rPr>
                <w:rFonts w:ascii="宋体" w:cs="宋体"/>
              </w:rPr>
              <w:t>8</w:t>
            </w:r>
            <w:r>
              <w:rPr>
                <w:rFonts w:hint="eastAsia" w:asci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7</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cs="宋体"/>
              </w:rPr>
              <w:t>部门履行职责而实际完成工作数与计划工作数的比率，用以反映和考核部门履职工作任务目标的实现程度。</w:t>
            </w:r>
          </w:p>
        </w:tc>
        <w:tc>
          <w:tcPr>
            <w:tcW w:w="1867" w:type="pct"/>
            <w:tcMar>
              <w:top w:w="10" w:type="dxa"/>
              <w:left w:w="10" w:type="dxa"/>
              <w:right w:w="10" w:type="dxa"/>
            </w:tcMar>
            <w:vAlign w:val="center"/>
          </w:tcPr>
          <w:p>
            <w:pPr>
              <w:spacing w:line="240" w:lineRule="exact"/>
              <w:ind w:left="105" w:leftChars="50" w:right="105" w:rightChars="50"/>
              <w:rPr>
                <w:rFonts w:ascii="宋体" w:cs="宋体"/>
              </w:rPr>
            </w:pPr>
            <w:r>
              <w:rPr>
                <w:rFonts w:hint="eastAsia" w:ascii="宋体" w:cs="宋体"/>
              </w:rPr>
              <w:t>实际完成率</w:t>
            </w:r>
            <w:r>
              <w:rPr>
                <w:rFonts w:ascii="宋体" w:cs="宋体"/>
              </w:rPr>
              <w:t>=</w:t>
            </w:r>
            <w:r>
              <w:rPr>
                <w:rFonts w:hint="eastAsia" w:ascii="宋体" w:cs="宋体"/>
              </w:rPr>
              <w:t>（实际完成工作数</w:t>
            </w:r>
            <w:r>
              <w:rPr>
                <w:rFonts w:ascii="宋体" w:cs="宋体"/>
              </w:rPr>
              <w:t>/</w:t>
            </w:r>
            <w:r>
              <w:rPr>
                <w:rFonts w:hint="eastAsia" w:ascii="宋体" w:cs="宋体"/>
              </w:rPr>
              <w:t>计划工作数）×</w:t>
            </w:r>
            <w:r>
              <w:rPr>
                <w:rFonts w:ascii="宋体" w:cs="宋体"/>
              </w:rPr>
              <w:t>100%</w:t>
            </w:r>
            <w:r>
              <w:rPr>
                <w:rFonts w:hint="eastAsia" w:ascii="宋体" w:cs="宋体"/>
              </w:rPr>
              <w:t>。</w:t>
            </w:r>
            <w:r>
              <w:rPr>
                <w:rFonts w:ascii="宋体" w:cs="宋体"/>
              </w:rPr>
              <w:br w:type="textWrapping"/>
            </w:r>
            <w:r>
              <w:rPr>
                <w:rFonts w:hint="eastAsia" w:ascii="宋体" w:cs="宋体"/>
              </w:rPr>
              <w:t>实际完成工作数：一定时期（年度或规划期）内部门实际完成工作任务的数量。</w:t>
            </w:r>
            <w:r>
              <w:rPr>
                <w:rFonts w:ascii="宋体" w:cs="宋体"/>
              </w:rPr>
              <w:br w:type="textWrapping"/>
            </w:r>
            <w:r>
              <w:rPr>
                <w:rFonts w:hint="eastAsia" w:ascii="宋体" w:cs="宋体"/>
              </w:rPr>
              <w:t>计划工作数：部门整体绩效目标确定的一定时期（年度或规划期）内预计完成工作任务的数量。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3" w:hRule="atLeast"/>
          <w:jc w:val="center"/>
        </w:trPr>
        <w:tc>
          <w:tcPr>
            <w:tcW w:w="307" w:type="pct"/>
            <w:vMerge w:val="continue"/>
            <w:textDirection w:val="tbRlV"/>
            <w:vAlign w:val="center"/>
          </w:tcPr>
          <w:p/>
        </w:tc>
        <w:tc>
          <w:tcPr>
            <w:tcW w:w="375" w:type="pct"/>
            <w:vMerge w:val="continue"/>
            <w:vAlign w:val="center"/>
          </w:tcPr>
          <w:p/>
        </w:tc>
        <w:tc>
          <w:tcPr>
            <w:tcW w:w="500" w:type="pct"/>
            <w:tcMar>
              <w:top w:w="10" w:type="dxa"/>
              <w:left w:w="10" w:type="dxa"/>
              <w:right w:w="10" w:type="dxa"/>
            </w:tcMar>
            <w:vAlign w:val="center"/>
          </w:tcPr>
          <w:p>
            <w:pPr>
              <w:spacing w:line="240" w:lineRule="exact"/>
              <w:jc w:val="center"/>
              <w:rPr>
                <w:rFonts w:ascii="宋体" w:cs="宋体"/>
              </w:rPr>
            </w:pPr>
            <w:r>
              <w:rPr>
                <w:rFonts w:hint="eastAsia" w:ascii="宋体" w:cs="宋体"/>
              </w:rPr>
              <w:t>完成</w:t>
            </w:r>
          </w:p>
          <w:p>
            <w:pPr>
              <w:spacing w:line="240" w:lineRule="exact"/>
              <w:jc w:val="center"/>
              <w:rPr>
                <w:rFonts w:ascii="宋体" w:cs="宋体"/>
              </w:rPr>
            </w:pPr>
            <w:r>
              <w:rPr>
                <w:rFonts w:hint="eastAsia" w:ascii="宋体" w:cs="宋体"/>
              </w:rPr>
              <w:t>及时率（</w:t>
            </w:r>
            <w:r>
              <w:rPr>
                <w:rFonts w:ascii="宋体" w:cs="宋体"/>
              </w:rPr>
              <w:t>4</w:t>
            </w:r>
            <w:r>
              <w:rPr>
                <w:rFonts w:hint="eastAsia" w:asci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4</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cs="宋体"/>
              </w:rPr>
              <w:t>部门在规定时限内及时完成的实际工作数与计划工作数的比率</w:t>
            </w:r>
            <w:r>
              <w:rPr>
                <w:rFonts w:ascii="宋体" w:cs="宋体"/>
              </w:rPr>
              <w:t>,</w:t>
            </w:r>
            <w:r>
              <w:rPr>
                <w:rFonts w:hint="eastAsia" w:ascii="宋体" w:cs="宋体"/>
              </w:rPr>
              <w:t>用以反映和考核部门履职时效目标的实现程度。</w:t>
            </w:r>
          </w:p>
        </w:tc>
        <w:tc>
          <w:tcPr>
            <w:tcW w:w="1867" w:type="pct"/>
            <w:tcMar>
              <w:top w:w="10" w:type="dxa"/>
              <w:left w:w="10" w:type="dxa"/>
              <w:right w:w="10" w:type="dxa"/>
            </w:tcMar>
            <w:vAlign w:val="center"/>
          </w:tcPr>
          <w:p>
            <w:pPr>
              <w:spacing w:line="240" w:lineRule="exact"/>
              <w:ind w:left="105" w:leftChars="50" w:right="105" w:rightChars="50"/>
              <w:rPr>
                <w:rFonts w:ascii="宋体" w:cs="宋体"/>
              </w:rPr>
            </w:pPr>
            <w:r>
              <w:rPr>
                <w:rFonts w:hint="eastAsia" w:ascii="宋体" w:cs="宋体"/>
              </w:rPr>
              <w:t>完成及时率</w:t>
            </w:r>
            <w:r>
              <w:rPr>
                <w:rFonts w:ascii="宋体" w:cs="宋体"/>
              </w:rPr>
              <w:t>=</w:t>
            </w:r>
            <w:r>
              <w:rPr>
                <w:rFonts w:hint="eastAsia" w:ascii="宋体" w:cs="宋体"/>
              </w:rPr>
              <w:t>（及时完成实际工作数</w:t>
            </w:r>
            <w:r>
              <w:rPr>
                <w:rFonts w:ascii="宋体" w:cs="宋体"/>
              </w:rPr>
              <w:t>/</w:t>
            </w:r>
            <w:r>
              <w:rPr>
                <w:rFonts w:hint="eastAsia" w:ascii="宋体" w:cs="宋体"/>
              </w:rPr>
              <w:t>计划工作数）×</w:t>
            </w:r>
            <w:r>
              <w:rPr>
                <w:rFonts w:ascii="宋体" w:cs="宋体"/>
              </w:rPr>
              <w:t>100%</w:t>
            </w:r>
            <w:r>
              <w:rPr>
                <w:rFonts w:hint="eastAsia" w:ascii="宋体" w:cs="宋体"/>
              </w:rPr>
              <w:t>。</w:t>
            </w:r>
            <w:r>
              <w:rPr>
                <w:rFonts w:ascii="宋体" w:cs="宋体"/>
              </w:rPr>
              <w:br w:type="textWrapping"/>
            </w:r>
            <w:r>
              <w:rPr>
                <w:rFonts w:hint="eastAsia" w:ascii="宋体" w:cs="宋体"/>
              </w:rPr>
              <w:t>及时完成实际工作数：部门按照整体绩效目标确定的时限实际完成的工作任务数量。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5" w:hRule="atLeast"/>
          <w:jc w:val="center"/>
        </w:trPr>
        <w:tc>
          <w:tcPr>
            <w:tcW w:w="307" w:type="pct"/>
            <w:vMerge w:val="continue"/>
            <w:vAlign w:val="center"/>
          </w:tcPr>
          <w:p/>
        </w:tc>
        <w:tc>
          <w:tcPr>
            <w:tcW w:w="375" w:type="pct"/>
            <w:vMerge w:val="continue"/>
            <w:vAlign w:val="center"/>
          </w:tcPr>
          <w:p/>
        </w:tc>
        <w:tc>
          <w:tcPr>
            <w:tcW w:w="500" w:type="pct"/>
            <w:tcMar>
              <w:top w:w="10" w:type="dxa"/>
              <w:left w:w="10" w:type="dxa"/>
              <w:right w:w="10" w:type="dxa"/>
            </w:tcMar>
            <w:vAlign w:val="center"/>
          </w:tcPr>
          <w:p>
            <w:pPr>
              <w:spacing w:line="240" w:lineRule="exact"/>
              <w:jc w:val="center"/>
              <w:rPr>
                <w:rFonts w:ascii="宋体" w:cs="宋体"/>
              </w:rPr>
            </w:pPr>
            <w:r>
              <w:rPr>
                <w:rFonts w:hint="eastAsia" w:ascii="宋体" w:cs="宋体"/>
              </w:rPr>
              <w:t>质量</w:t>
            </w:r>
          </w:p>
          <w:p>
            <w:pPr>
              <w:spacing w:line="240" w:lineRule="exact"/>
              <w:jc w:val="center"/>
              <w:rPr>
                <w:rFonts w:ascii="宋体" w:cs="宋体"/>
              </w:rPr>
            </w:pPr>
            <w:r>
              <w:rPr>
                <w:rFonts w:hint="eastAsia" w:ascii="宋体" w:cs="宋体"/>
              </w:rPr>
              <w:t>达标率（</w:t>
            </w:r>
            <w:r>
              <w:rPr>
                <w:rFonts w:ascii="宋体" w:cs="宋体"/>
              </w:rPr>
              <w:t>8</w:t>
            </w:r>
            <w:r>
              <w:rPr>
                <w:rFonts w:hint="eastAsia" w:asci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7.5</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cs="宋体"/>
              </w:rPr>
              <w:t>达到质量标准（绩效标准值）的实际工作数与计划工作数的比率</w:t>
            </w:r>
            <w:r>
              <w:rPr>
                <w:rFonts w:ascii="宋体" w:cs="宋体"/>
              </w:rPr>
              <w:t>,</w:t>
            </w:r>
            <w:r>
              <w:rPr>
                <w:rFonts w:hint="eastAsia" w:ascii="宋体" w:cs="宋体"/>
              </w:rPr>
              <w:t>用以反映和考核部门履职质量目标的实现程度。</w:t>
            </w:r>
          </w:p>
        </w:tc>
        <w:tc>
          <w:tcPr>
            <w:tcW w:w="1867" w:type="pct"/>
            <w:tcMar>
              <w:top w:w="10" w:type="dxa"/>
              <w:left w:w="10" w:type="dxa"/>
              <w:right w:w="10" w:type="dxa"/>
            </w:tcMar>
            <w:vAlign w:val="center"/>
          </w:tcPr>
          <w:p>
            <w:pPr>
              <w:spacing w:line="240" w:lineRule="exact"/>
              <w:ind w:left="105" w:leftChars="50" w:right="105" w:rightChars="50"/>
              <w:rPr>
                <w:rFonts w:ascii="宋体" w:cs="宋体"/>
              </w:rPr>
            </w:pPr>
            <w:r>
              <w:rPr>
                <w:rFonts w:hint="eastAsia" w:ascii="宋体" w:cs="宋体"/>
              </w:rPr>
              <w:t>质量达标率</w:t>
            </w:r>
            <w:r>
              <w:rPr>
                <w:rFonts w:ascii="宋体" w:cs="宋体"/>
              </w:rPr>
              <w:t>=</w:t>
            </w:r>
            <w:r>
              <w:rPr>
                <w:rFonts w:hint="eastAsia" w:ascii="宋体" w:cs="宋体"/>
              </w:rPr>
              <w:t>（质量达标实际工作数</w:t>
            </w:r>
            <w:r>
              <w:rPr>
                <w:rFonts w:ascii="宋体" w:cs="宋体"/>
              </w:rPr>
              <w:t>/</w:t>
            </w:r>
            <w:r>
              <w:rPr>
                <w:rFonts w:hint="eastAsia" w:ascii="宋体" w:cs="宋体"/>
              </w:rPr>
              <w:t>计划工作数）×</w:t>
            </w:r>
            <w:r>
              <w:rPr>
                <w:rFonts w:ascii="宋体" w:cs="宋体"/>
              </w:rPr>
              <w:t>100%</w:t>
            </w:r>
            <w:r>
              <w:rPr>
                <w:rFonts w:hint="eastAsia" w:ascii="宋体" w:cs="宋体"/>
              </w:rPr>
              <w:t>。</w:t>
            </w:r>
            <w:r>
              <w:rPr>
                <w:rFonts w:ascii="宋体" w:cs="宋体"/>
              </w:rPr>
              <w:br w:type="textWrapping"/>
            </w:r>
            <w:r>
              <w:rPr>
                <w:rFonts w:hint="eastAsia" w:ascii="宋体" w:cs="宋体"/>
              </w:rPr>
              <w:t>质量达标实际工作数：一定时期（年度或规划期）内部门实际完成工作数中达到部门绩效目标要求（绩效标准值）的工作任务数量。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307" w:type="pct"/>
            <w:vMerge w:val="continue"/>
            <w:vAlign w:val="center"/>
          </w:tcPr>
          <w:p/>
        </w:tc>
        <w:tc>
          <w:tcPr>
            <w:tcW w:w="375" w:type="pct"/>
            <w:vMerge w:val="continue"/>
            <w:vAlign w:val="center"/>
          </w:tcPr>
          <w:p/>
        </w:tc>
        <w:tc>
          <w:tcPr>
            <w:tcW w:w="500" w:type="pct"/>
            <w:tcMar>
              <w:top w:w="10" w:type="dxa"/>
              <w:left w:w="10" w:type="dxa"/>
              <w:right w:w="10" w:type="dxa"/>
            </w:tcMar>
            <w:vAlign w:val="center"/>
          </w:tcPr>
          <w:p>
            <w:pPr>
              <w:spacing w:line="240" w:lineRule="exact"/>
              <w:jc w:val="center"/>
              <w:rPr>
                <w:rFonts w:ascii="宋体" w:cs="宋体"/>
              </w:rPr>
            </w:pPr>
            <w:r>
              <w:rPr>
                <w:rFonts w:hint="eastAsia" w:ascii="宋体" w:cs="宋体"/>
              </w:rPr>
              <w:t>重点工作</w:t>
            </w:r>
          </w:p>
          <w:p>
            <w:pPr>
              <w:spacing w:line="240" w:lineRule="exact"/>
              <w:jc w:val="center"/>
              <w:rPr>
                <w:rFonts w:ascii="宋体" w:cs="宋体"/>
              </w:rPr>
            </w:pPr>
            <w:r>
              <w:rPr>
                <w:rFonts w:hint="eastAsia" w:ascii="宋体" w:cs="宋体"/>
              </w:rPr>
              <w:t>办结率（</w:t>
            </w:r>
            <w:r>
              <w:rPr>
                <w:rFonts w:ascii="宋体" w:cs="宋体"/>
              </w:rPr>
              <w:t>10</w:t>
            </w:r>
            <w:r>
              <w:rPr>
                <w:rFonts w:hint="eastAsia" w:asci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10</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cs="宋体"/>
              </w:rPr>
              <w:t>部门年度重点工作实际完成数与交办或下达数的比率，用以反映部门对重点工作的办理落实程度。</w:t>
            </w:r>
          </w:p>
        </w:tc>
        <w:tc>
          <w:tcPr>
            <w:tcW w:w="1867" w:type="pct"/>
            <w:tcMar>
              <w:top w:w="10" w:type="dxa"/>
              <w:left w:w="10" w:type="dxa"/>
              <w:right w:w="10" w:type="dxa"/>
            </w:tcMar>
            <w:vAlign w:val="center"/>
          </w:tcPr>
          <w:p>
            <w:pPr>
              <w:spacing w:line="240" w:lineRule="exact"/>
              <w:ind w:left="105" w:leftChars="50" w:right="105" w:rightChars="50"/>
              <w:rPr>
                <w:rFonts w:ascii="宋体" w:cs="宋体"/>
              </w:rPr>
            </w:pPr>
            <w:r>
              <w:rPr>
                <w:rFonts w:hint="eastAsia" w:ascii="宋体" w:cs="宋体"/>
              </w:rPr>
              <w:t>重点工作办结率</w:t>
            </w:r>
            <w:r>
              <w:rPr>
                <w:rFonts w:ascii="宋体" w:cs="宋体"/>
              </w:rPr>
              <w:t>=</w:t>
            </w:r>
            <w:r>
              <w:rPr>
                <w:rFonts w:hint="eastAsia" w:ascii="宋体" w:cs="宋体"/>
              </w:rPr>
              <w:t>（重点工作实际完成数</w:t>
            </w:r>
            <w:r>
              <w:rPr>
                <w:rFonts w:ascii="宋体" w:cs="宋体"/>
              </w:rPr>
              <w:t>/</w:t>
            </w:r>
            <w:r>
              <w:rPr>
                <w:rFonts w:hint="eastAsia" w:ascii="宋体" w:cs="宋体"/>
              </w:rPr>
              <w:t>交办或下达数）×</w:t>
            </w:r>
            <w:r>
              <w:rPr>
                <w:rFonts w:ascii="宋体" w:cs="宋体"/>
              </w:rPr>
              <w:t>100%</w:t>
            </w:r>
            <w:r>
              <w:rPr>
                <w:rFonts w:hint="eastAsia" w:ascii="宋体" w:cs="宋体"/>
              </w:rPr>
              <w:t>。</w:t>
            </w:r>
            <w:r>
              <w:rPr>
                <w:rFonts w:ascii="宋体" w:cs="宋体"/>
              </w:rPr>
              <w:br w:type="textWrapping"/>
            </w:r>
            <w:r>
              <w:rPr>
                <w:rFonts w:hint="eastAsia" w:ascii="宋体" w:cs="宋体"/>
              </w:rPr>
              <w:t>重点工作是指党委、政府、人大、相关部门交办或下达的工作任务。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7" w:type="pct"/>
            <w:vMerge w:val="restart"/>
            <w:noWrap/>
            <w:tcMar>
              <w:top w:w="10" w:type="dxa"/>
              <w:left w:w="10" w:type="dxa"/>
              <w:right w:w="10" w:type="dxa"/>
            </w:tcMar>
            <w:textDirection w:val="tbRlV"/>
            <w:vAlign w:val="center"/>
          </w:tcPr>
          <w:p>
            <w:pPr>
              <w:spacing w:line="240" w:lineRule="exact"/>
              <w:jc w:val="center"/>
              <w:rPr>
                <w:rFonts w:ascii="宋体" w:cs="宋体"/>
              </w:rPr>
            </w:pPr>
            <w:r>
              <w:rPr>
                <w:rFonts w:hint="eastAsia" w:ascii="宋体" w:cs="宋体"/>
              </w:rPr>
              <w:t>效</w:t>
            </w:r>
            <w:r>
              <w:rPr>
                <w:rFonts w:ascii="宋体" w:cs="宋体"/>
              </w:rPr>
              <w:t xml:space="preserve">   </w:t>
            </w:r>
            <w:r>
              <w:rPr>
                <w:rFonts w:hint="eastAsia" w:ascii="宋体" w:cs="宋体"/>
              </w:rPr>
              <w:t>果（</w:t>
            </w:r>
            <w:r>
              <w:rPr>
                <w:rFonts w:ascii="宋体" w:cs="宋体"/>
              </w:rPr>
              <w:t>20</w:t>
            </w:r>
            <w:r>
              <w:rPr>
                <w:rFonts w:hint="eastAsia" w:ascii="宋体" w:cs="宋体"/>
              </w:rPr>
              <w:t>分）</w:t>
            </w:r>
          </w:p>
        </w:tc>
        <w:tc>
          <w:tcPr>
            <w:tcW w:w="375" w:type="pct"/>
            <w:vMerge w:val="restart"/>
            <w:tcMar>
              <w:top w:w="10" w:type="dxa"/>
              <w:left w:w="10" w:type="dxa"/>
              <w:right w:w="10" w:type="dxa"/>
            </w:tcMar>
            <w:vAlign w:val="center"/>
          </w:tcPr>
          <w:p>
            <w:pPr>
              <w:spacing w:line="240" w:lineRule="exact"/>
              <w:jc w:val="center"/>
              <w:rPr>
                <w:rFonts w:ascii="宋体" w:cs="宋体"/>
              </w:rPr>
            </w:pPr>
            <w:r>
              <w:rPr>
                <w:rFonts w:hint="eastAsia" w:ascii="宋体" w:cs="宋体"/>
              </w:rPr>
              <w:t>履职</w:t>
            </w:r>
            <w:r>
              <w:rPr>
                <w:rFonts w:ascii="宋体" w:cs="宋体"/>
              </w:rPr>
              <w:br w:type="textWrapping"/>
            </w:r>
            <w:r>
              <w:rPr>
                <w:rFonts w:hint="eastAsia" w:ascii="宋体" w:cs="宋体"/>
              </w:rPr>
              <w:t>效益（</w:t>
            </w:r>
            <w:r>
              <w:rPr>
                <w:rFonts w:ascii="宋体" w:cs="宋体"/>
              </w:rPr>
              <w:t>20</w:t>
            </w:r>
            <w:r>
              <w:rPr>
                <w:rFonts w:hint="eastAsia" w:ascii="宋体" w:cs="宋体"/>
              </w:rPr>
              <w:t>分）</w:t>
            </w:r>
          </w:p>
        </w:tc>
        <w:tc>
          <w:tcPr>
            <w:tcW w:w="500" w:type="pct"/>
            <w:tcMar>
              <w:top w:w="10" w:type="dxa"/>
              <w:left w:w="10" w:type="dxa"/>
              <w:right w:w="10" w:type="dxa"/>
            </w:tcMar>
            <w:vAlign w:val="center"/>
          </w:tcPr>
          <w:p>
            <w:pPr>
              <w:spacing w:line="240" w:lineRule="exact"/>
              <w:jc w:val="center"/>
              <w:rPr>
                <w:rFonts w:ascii="宋体" w:cs="宋体"/>
              </w:rPr>
            </w:pPr>
            <w:r>
              <w:rPr>
                <w:rFonts w:hint="eastAsia" w:ascii="宋体" w:cs="宋体"/>
              </w:rPr>
              <w:t>经济效益（</w:t>
            </w:r>
            <w:r>
              <w:rPr>
                <w:rFonts w:ascii="宋体" w:cs="宋体"/>
              </w:rPr>
              <w:t>5</w:t>
            </w:r>
            <w:r>
              <w:rPr>
                <w:rFonts w:hint="eastAsia" w:asci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5</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cs="宋体"/>
              </w:rPr>
              <w:t>部门履行职责对经济发展所带来的直接或间接影响。</w:t>
            </w:r>
          </w:p>
        </w:tc>
        <w:tc>
          <w:tcPr>
            <w:tcW w:w="1867" w:type="pct"/>
            <w:vMerge w:val="restart"/>
            <w:tcMar>
              <w:top w:w="10" w:type="dxa"/>
              <w:left w:w="10" w:type="dxa"/>
              <w:right w:w="10" w:type="dxa"/>
            </w:tcMar>
            <w:vAlign w:val="center"/>
          </w:tcPr>
          <w:p>
            <w:pPr>
              <w:spacing w:line="240" w:lineRule="exact"/>
              <w:ind w:left="105" w:leftChars="50" w:right="105" w:rightChars="50"/>
              <w:rPr>
                <w:rFonts w:ascii="宋体" w:cs="宋体"/>
              </w:rPr>
            </w:pPr>
            <w:r>
              <w:rPr>
                <w:rFonts w:hint="eastAsia" w:ascii="宋体" w:cs="宋体"/>
              </w:rPr>
              <w:t>此三项指标为设置部门整体支出绩效评价指标时必须考虑的共性要素，可根据部门实际并结合部门整体支出绩效目标设立情况有选择的进行设置，并将其细化为相应的个性化指标。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7" w:type="pct"/>
            <w:vMerge w:val="continue"/>
            <w:vAlign w:val="center"/>
          </w:tcPr>
          <w:p/>
        </w:tc>
        <w:tc>
          <w:tcPr>
            <w:tcW w:w="375" w:type="pct"/>
            <w:vMerge w:val="continue"/>
            <w:vAlign w:val="center"/>
          </w:tcPr>
          <w:p/>
        </w:tc>
        <w:tc>
          <w:tcPr>
            <w:tcW w:w="500" w:type="pct"/>
            <w:tcMar>
              <w:top w:w="10" w:type="dxa"/>
              <w:left w:w="10" w:type="dxa"/>
              <w:right w:w="10" w:type="dxa"/>
            </w:tcMar>
            <w:vAlign w:val="center"/>
          </w:tcPr>
          <w:p>
            <w:pPr>
              <w:spacing w:line="240" w:lineRule="exact"/>
              <w:jc w:val="center"/>
              <w:rPr>
                <w:rFonts w:ascii="宋体" w:cs="宋体"/>
              </w:rPr>
            </w:pPr>
            <w:r>
              <w:rPr>
                <w:rFonts w:hint="eastAsia" w:ascii="宋体" w:cs="宋体"/>
              </w:rPr>
              <w:t>社会效益（</w:t>
            </w:r>
            <w:r>
              <w:rPr>
                <w:rFonts w:ascii="宋体" w:cs="宋体"/>
              </w:rPr>
              <w:t>5</w:t>
            </w:r>
            <w:r>
              <w:rPr>
                <w:rFonts w:hint="eastAsia" w:asci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5</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cs="宋体"/>
              </w:rPr>
              <w:t>部门履行职责对社会发展所带来的直接或间接影响。</w:t>
            </w:r>
          </w:p>
        </w:tc>
        <w:tc>
          <w:tcPr>
            <w:tcW w:w="1867" w:type="pct"/>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7" w:type="pct"/>
            <w:vMerge w:val="continue"/>
            <w:vAlign w:val="center"/>
          </w:tcPr>
          <w:p/>
        </w:tc>
        <w:tc>
          <w:tcPr>
            <w:tcW w:w="375" w:type="pct"/>
            <w:vMerge w:val="continue"/>
            <w:vAlign w:val="center"/>
          </w:tcPr>
          <w:p/>
        </w:tc>
        <w:tc>
          <w:tcPr>
            <w:tcW w:w="500" w:type="pct"/>
            <w:tcMar>
              <w:top w:w="10" w:type="dxa"/>
              <w:left w:w="10" w:type="dxa"/>
              <w:right w:w="10" w:type="dxa"/>
            </w:tcMar>
            <w:vAlign w:val="center"/>
          </w:tcPr>
          <w:p>
            <w:pPr>
              <w:spacing w:line="240" w:lineRule="exact"/>
              <w:jc w:val="center"/>
              <w:rPr>
                <w:rFonts w:ascii="宋体" w:cs="宋体"/>
              </w:rPr>
            </w:pPr>
            <w:r>
              <w:rPr>
                <w:rFonts w:hint="eastAsia" w:ascii="宋体" w:cs="宋体"/>
              </w:rPr>
              <w:t>生态效益（</w:t>
            </w:r>
            <w:r>
              <w:rPr>
                <w:rFonts w:ascii="宋体" w:cs="宋体"/>
              </w:rPr>
              <w:t>5</w:t>
            </w:r>
            <w:r>
              <w:rPr>
                <w:rFonts w:hint="eastAsia" w:asci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5</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cs="宋体"/>
              </w:rPr>
              <w:t>部门履行职责对生态环境所带来的直接或间接影响。</w:t>
            </w:r>
          </w:p>
        </w:tc>
        <w:tc>
          <w:tcPr>
            <w:tcW w:w="1867" w:type="pct"/>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3" w:hRule="atLeast"/>
          <w:jc w:val="center"/>
        </w:trPr>
        <w:tc>
          <w:tcPr>
            <w:tcW w:w="307" w:type="pct"/>
            <w:vMerge w:val="continue"/>
            <w:vAlign w:val="center"/>
          </w:tcPr>
          <w:p/>
        </w:tc>
        <w:tc>
          <w:tcPr>
            <w:tcW w:w="375" w:type="pct"/>
            <w:vMerge w:val="continue"/>
            <w:vAlign w:val="center"/>
          </w:tcPr>
          <w:p/>
        </w:tc>
        <w:tc>
          <w:tcPr>
            <w:tcW w:w="500" w:type="pct"/>
            <w:tcMar>
              <w:top w:w="10" w:type="dxa"/>
              <w:left w:w="10" w:type="dxa"/>
              <w:right w:w="10" w:type="dxa"/>
            </w:tcMar>
            <w:vAlign w:val="center"/>
          </w:tcPr>
          <w:p>
            <w:pPr>
              <w:spacing w:line="240" w:lineRule="exact"/>
              <w:jc w:val="center"/>
              <w:rPr>
                <w:rFonts w:ascii="宋体" w:cs="宋体"/>
              </w:rPr>
            </w:pPr>
            <w:r>
              <w:rPr>
                <w:rFonts w:hint="eastAsia" w:ascii="宋体" w:cs="宋体"/>
              </w:rPr>
              <w:t>社会公众</w:t>
            </w:r>
          </w:p>
          <w:p>
            <w:pPr>
              <w:spacing w:line="240" w:lineRule="exact"/>
              <w:jc w:val="center"/>
              <w:rPr>
                <w:rFonts w:ascii="宋体" w:cs="宋体"/>
              </w:rPr>
            </w:pPr>
            <w:r>
              <w:rPr>
                <w:rFonts w:hint="eastAsia" w:ascii="宋体" w:cs="宋体"/>
              </w:rPr>
              <w:t>或服务对</w:t>
            </w:r>
          </w:p>
          <w:p>
            <w:pPr>
              <w:spacing w:line="240" w:lineRule="exact"/>
              <w:jc w:val="center"/>
              <w:rPr>
                <w:rFonts w:ascii="宋体" w:cs="宋体"/>
              </w:rPr>
            </w:pPr>
            <w:r>
              <w:rPr>
                <w:rFonts w:hint="eastAsia" w:ascii="宋体" w:cs="宋体"/>
              </w:rPr>
              <w:t>象满意度（</w:t>
            </w:r>
            <w:r>
              <w:rPr>
                <w:rFonts w:ascii="宋体" w:cs="宋体"/>
              </w:rPr>
              <w:t>5</w:t>
            </w:r>
            <w:r>
              <w:rPr>
                <w:rFonts w:hint="eastAsia" w:asci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5</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cs="宋体"/>
              </w:rPr>
              <w:t>社会公众或部门的服务对象对部门履职效果的满意程度。</w:t>
            </w:r>
          </w:p>
        </w:tc>
        <w:tc>
          <w:tcPr>
            <w:tcW w:w="1867" w:type="pct"/>
            <w:tcMar>
              <w:top w:w="10" w:type="dxa"/>
              <w:left w:w="10" w:type="dxa"/>
              <w:right w:w="10" w:type="dxa"/>
            </w:tcMar>
            <w:vAlign w:val="center"/>
          </w:tcPr>
          <w:p>
            <w:pPr>
              <w:spacing w:line="240" w:lineRule="exact"/>
              <w:ind w:left="105" w:leftChars="50" w:right="105" w:rightChars="50"/>
              <w:rPr>
                <w:rFonts w:ascii="宋体" w:cs="宋体"/>
              </w:rPr>
            </w:pPr>
            <w:r>
              <w:rPr>
                <w:rFonts w:hint="eastAsia" w:ascii="宋体" w:cs="宋体"/>
              </w:rPr>
              <w:t>社会公众或服务对象是指部门履行职责而影响到的部门、群体或个人。一般采取社会调查的方式。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307" w:type="pct"/>
            <w:vAlign w:val="center"/>
          </w:tcPr>
          <w:p>
            <w:pPr>
              <w:spacing w:line="240" w:lineRule="exact"/>
              <w:rPr>
                <w:rFonts w:ascii="宋体" w:cs="宋体"/>
              </w:rPr>
            </w:pPr>
            <w:r>
              <w:rPr>
                <w:rFonts w:hint="eastAsia" w:ascii="宋体" w:cs="宋体"/>
              </w:rPr>
              <w:t>总分</w:t>
            </w:r>
          </w:p>
        </w:tc>
        <w:tc>
          <w:tcPr>
            <w:tcW w:w="375" w:type="pct"/>
            <w:vAlign w:val="center"/>
          </w:tcPr>
          <w:p>
            <w:pPr>
              <w:spacing w:line="240" w:lineRule="exact"/>
              <w:rPr>
                <w:rFonts w:ascii="宋体" w:cs="宋体"/>
              </w:rPr>
            </w:pPr>
          </w:p>
        </w:tc>
        <w:tc>
          <w:tcPr>
            <w:tcW w:w="500" w:type="pct"/>
            <w:tcMar>
              <w:top w:w="10" w:type="dxa"/>
              <w:left w:w="10" w:type="dxa"/>
              <w:right w:w="10" w:type="dxa"/>
            </w:tcMar>
            <w:vAlign w:val="center"/>
          </w:tcPr>
          <w:p>
            <w:pPr>
              <w:spacing w:line="240" w:lineRule="exact"/>
              <w:jc w:val="center"/>
              <w:rPr>
                <w:rFonts w:ascii="宋体" w:cs="宋体"/>
              </w:rPr>
            </w:pPr>
          </w:p>
        </w:tc>
        <w:tc>
          <w:tcPr>
            <w:tcW w:w="375"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96.5</w:t>
            </w:r>
          </w:p>
        </w:tc>
        <w:tc>
          <w:tcPr>
            <w:tcW w:w="1576" w:type="pct"/>
            <w:tcMar>
              <w:top w:w="10" w:type="dxa"/>
              <w:left w:w="10" w:type="dxa"/>
              <w:right w:w="10" w:type="dxa"/>
            </w:tcMar>
            <w:vAlign w:val="center"/>
          </w:tcPr>
          <w:p>
            <w:pPr>
              <w:tabs>
                <w:tab w:val="left" w:pos="2604"/>
              </w:tabs>
              <w:spacing w:line="240" w:lineRule="exact"/>
              <w:ind w:left="105" w:leftChars="50" w:right="105" w:rightChars="50" w:firstLine="96" w:firstLineChars="46"/>
              <w:rPr>
                <w:rFonts w:ascii="宋体" w:cs="宋体"/>
              </w:rPr>
            </w:pPr>
          </w:p>
        </w:tc>
        <w:tc>
          <w:tcPr>
            <w:tcW w:w="1867" w:type="pct"/>
            <w:tcMar>
              <w:top w:w="10" w:type="dxa"/>
              <w:left w:w="10" w:type="dxa"/>
              <w:right w:w="10" w:type="dxa"/>
            </w:tcMar>
            <w:vAlign w:val="center"/>
          </w:tcPr>
          <w:p>
            <w:pPr>
              <w:spacing w:line="240" w:lineRule="exact"/>
              <w:ind w:left="105" w:leftChars="50" w:right="105" w:rightChars="50"/>
              <w:rPr>
                <w:rFonts w:ascii="宋体" w:cs="宋体"/>
              </w:rPr>
            </w:pPr>
          </w:p>
        </w:tc>
      </w:tr>
    </w:tbl>
    <w:p>
      <w:pPr>
        <w:keepNext/>
        <w:keepLines/>
        <w:spacing w:line="500" w:lineRule="exact"/>
        <w:ind w:firstLine="640"/>
        <w:rPr>
          <w:rFonts w:ascii="仿宋" w:eastAsia="仿宋" w:cs="仿宋"/>
          <w:sz w:val="32"/>
          <w:szCs w:val="24"/>
          <w:highlight w:val="white"/>
          <w:lang w:val="zh-CN"/>
        </w:rPr>
      </w:pPr>
    </w:p>
    <w:sectPr>
      <w:footerReference r:id="rId3" w:type="default"/>
      <w:pgSz w:w="12240" w:h="15840"/>
      <w:pgMar w:top="2098" w:right="1474" w:bottom="1985" w:left="1588" w:header="720" w:footer="170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3C7884-174D-4E55-B407-85156B846BD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embedRegular r:id="rId2" w:fontKey="{6555AF6B-6EE0-4A58-9902-0DFC0C7FBEDE}"/>
  </w:font>
  <w:font w:name="方正小标宋简体">
    <w:panose1 w:val="02000000000000000000"/>
    <w:charset w:val="86"/>
    <w:family w:val="auto"/>
    <w:pitch w:val="default"/>
    <w:sig w:usb0="00000001" w:usb1="080E0000" w:usb2="00000000" w:usb3="00000000" w:csb0="00040000" w:csb1="00000000"/>
    <w:embedRegular r:id="rId3" w:fontKey="{A9417635-1DCE-44F8-973E-4F00699FA49E}"/>
  </w:font>
  <w:font w:name="仿宋">
    <w:panose1 w:val="02010609060101010101"/>
    <w:charset w:val="86"/>
    <w:family w:val="modern"/>
    <w:pitch w:val="default"/>
    <w:sig w:usb0="800002BF" w:usb1="38CF7CFA" w:usb2="00000016" w:usb3="00000000" w:csb0="00040001" w:csb1="00000000"/>
    <w:embedRegular r:id="rId4" w:fontKey="{139CFCC5-A059-4F9E-9F0C-8BEDE66433ED}"/>
  </w:font>
  <w:font w:name="方正小标宋_GBK">
    <w:panose1 w:val="02000000000000000000"/>
    <w:charset w:val="86"/>
    <w:family w:val="script"/>
    <w:pitch w:val="default"/>
    <w:sig w:usb0="A00002BF" w:usb1="38CF7CFA" w:usb2="00082016" w:usb3="00000000" w:csb0="00040001" w:csb1="00000000"/>
    <w:embedRegular r:id="rId5" w:fontKey="{66AB86BC-9DCD-407B-A7BA-DB81E45E4B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1917294"/>
      <w:docPartObj>
        <w:docPartGallery w:val="AutoText"/>
      </w:docPartObj>
    </w:sdtPr>
    <w:sdtContent>
      <w:p>
        <w:pPr>
          <w:pStyle w:val="5"/>
          <w:jc w:val="center"/>
        </w:pPr>
        <w:r>
          <w:fldChar w:fldCharType="begin"/>
        </w:r>
        <w:r>
          <w:instrText xml:space="preserve">PAGE   \* MERGEFORMAT</w:instrText>
        </w:r>
        <w:r>
          <w:fldChar w:fldCharType="separate"/>
        </w:r>
        <w:r>
          <w:rPr>
            <w:lang w:val="zh-CN"/>
          </w:rPr>
          <w:t>24</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720"/>
  <w:drawingGridHorizontalSpacing w:val="120"/>
  <w:drawingGridVerticalSpacing w:val="120"/>
  <w:displayHorizontalDrawingGridEvery w:val="0"/>
  <w:doNotUseMarginsForDrawingGridOrigin w:val="1"/>
  <w:drawingGridHorizontalOrigin w:val="1800"/>
  <w:drawingGridVerticalOrigin w:val="1440"/>
  <w:doNotShadeFormData w:val="1"/>
  <w:noPunctuationKerning w:val="1"/>
  <w:characterSpacingControl w:val="compressPunctuation"/>
  <w:noLineBreaksAfter w:lang="zh-CN" w:val="([{·‘“〈《「『【〔〖（．［｛￡￥"/>
  <w:noLineBreaksBefore w:lang="zh-CN" w:val="!),.:;?]}¨·ˇˉ―‖’”…∶、。〃々〉》」』】〕〗！＂＇），．：；？］｀｜｝～￠"/>
  <w:compat>
    <w:spaceForUL/>
    <w:balanceSingleByteDoubleByteWidth/>
    <w:ulTrailSpace/>
    <w:doNotExpandShiftReturn/>
    <w:adjustLineHeightInTable/>
    <w:useFELayout/>
    <w:doNotUseIndentAsNumberingTabStop/>
    <w:useAltKinsokuLineBreakRules/>
    <w:compatSetting w:name="compatibilityMode" w:uri="http://schemas.microsoft.com/office/word" w:val="12"/>
  </w:compat>
  <w:rsids>
    <w:rsidRoot w:val="001D65EF"/>
    <w:rsid w:val="00020E8A"/>
    <w:rsid w:val="000B5E4A"/>
    <w:rsid w:val="001A6EA7"/>
    <w:rsid w:val="001D65EF"/>
    <w:rsid w:val="004A3AD2"/>
    <w:rsid w:val="005E29D7"/>
    <w:rsid w:val="008122B5"/>
    <w:rsid w:val="0FA7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Times New Roman" w:hAnsi="Times New Roman" w:eastAsia="宋体" w:cs="Times New Roman"/>
      <w:kern w:val="2"/>
      <w:sz w:val="21"/>
      <w:szCs w:val="21"/>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rPr>
  </w:style>
  <w:style w:type="paragraph" w:styleId="3">
    <w:name w:val="heading 2"/>
    <w:basedOn w:val="1"/>
    <w:next w:val="1"/>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100" w:beforeAutospacing="1" w:after="100" w:afterAutospacing="1"/>
      <w:jc w:val="left"/>
    </w:pPr>
    <w:rPr>
      <w:rFonts w:asci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1865</Words>
  <Characters>10631</Characters>
  <Lines>88</Lines>
  <Paragraphs>24</Paragraphs>
  <TotalTime>296</TotalTime>
  <ScaleCrop>false</ScaleCrop>
  <LinksUpToDate>false</LinksUpToDate>
  <CharactersWithSpaces>12472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2021-10-19T10:34:00Z</dcterms:created>
  <dc:creator>Administrator</dc:creator>
  <cp:lastModifiedBy>丫丫</cp:lastModifiedBy>
  <dcterms:modified xsi:type="dcterms:W3CDTF">2024-09-11T02:47:30Z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F3DEA0A604644364B911DBDF9E265D7A</vt:lpwstr>
  </property>
</Properties>
</file>