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仿宋_GB2312" w:eastAsia="仿宋_GB2312"/>
          <w:sz w:val="32"/>
          <w:szCs w:val="32"/>
          <w:highlight w:val="white"/>
        </w:rPr>
      </w:pPr>
    </w:p>
    <w:p>
      <w:pPr>
        <w:widowControl w:val="0"/>
        <w:spacing w:line="560" w:lineRule="exact"/>
        <w:jc w:val="center"/>
        <w:rPr>
          <w:rFonts w:ascii="方正小标宋简体" w:eastAsia="方正小标宋简体"/>
          <w:sz w:val="40"/>
          <w:szCs w:val="40"/>
          <w:highlight w:val="white"/>
        </w:rPr>
      </w:pPr>
      <w:r>
        <w:rPr>
          <w:rFonts w:hint="eastAsia" w:ascii="方正小标宋简体" w:eastAsia="方正小标宋简体"/>
          <w:sz w:val="40"/>
          <w:szCs w:val="40"/>
          <w:highlight w:val="white"/>
        </w:rPr>
        <w:t>2020年度益阳市赫山区机关事务服务中心部门决算</w:t>
      </w:r>
    </w:p>
    <w:p>
      <w:pPr>
        <w:widowControl w:val="0"/>
        <w:spacing w:line="560" w:lineRule="exact"/>
        <w:ind w:firstLine="640" w:firstLineChars="200"/>
        <w:rPr>
          <w:rFonts w:ascii="仿宋_GB2312" w:eastAsia="仿宋_GB2312"/>
          <w:sz w:val="32"/>
          <w:szCs w:val="32"/>
          <w:highlight w:val="white"/>
        </w:rPr>
      </w:pPr>
      <w:bookmarkStart w:id="0" w:name="_GoBack"/>
    </w:p>
    <w:bookmarkEnd w:id="0"/>
    <w:p>
      <w:pPr>
        <w:widowControl w:val="0"/>
        <w:spacing w:line="560" w:lineRule="exact"/>
        <w:jc w:val="center"/>
        <w:rPr>
          <w:rFonts w:ascii="黑体" w:hAnsi="黑体" w:eastAsia="黑体"/>
          <w:sz w:val="32"/>
          <w:szCs w:val="32"/>
          <w:highlight w:val="white"/>
        </w:rPr>
      </w:pPr>
      <w:r>
        <w:rPr>
          <w:rFonts w:hint="eastAsia" w:ascii="黑体" w:hAnsi="黑体" w:eastAsia="黑体"/>
          <w:sz w:val="32"/>
          <w:szCs w:val="32"/>
          <w:highlight w:val="white"/>
        </w:rPr>
        <w:t>目 录</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第一部分  益阳市赫山区机关事务服务中心概况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二、机构设置</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第二部分  2020年度部门决算表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七、一般公共预算财政拨款“三公”经费支出决算表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八、政府性基金预算财政拨款收入支出决算表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九、国有资本经营预算财政拨款收入支出决算表</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第三部分  2020年度部门决算情况说明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第四部分  名词解释</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第五部分  附  件</w:t>
      </w:r>
    </w:p>
    <w:p>
      <w:pPr>
        <w:jc w:val="left"/>
        <w:rPr>
          <w:rFonts w:ascii="仿宋_GB2312" w:eastAsia="仿宋_GB2312"/>
          <w:sz w:val="32"/>
          <w:szCs w:val="32"/>
          <w:highlight w:val="white"/>
        </w:rPr>
      </w:pPr>
      <w:r>
        <w:rPr>
          <w:rFonts w:ascii="仿宋_GB2312" w:eastAsia="仿宋_GB2312"/>
          <w:sz w:val="32"/>
          <w:szCs w:val="32"/>
          <w:highlight w:val="white"/>
        </w:rPr>
        <w:br w:type="page"/>
      </w: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第一部分：</w:t>
      </w:r>
    </w:p>
    <w:p>
      <w:pPr>
        <w:widowControl w:val="0"/>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益阳市赫山区机关事务服务中心概况</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负责对区委、区政府机关事务进行管理指导，研究制定全区机关事务工作的具体政策、规章制度和后勤体制改革总体规划并组织实施；负责对区委、区政府机关大院内的房产、地产等国有资产实施管理，制订相关管理制度；负责组织维修项目，确保国有资产保值增值；负责对区委、区政府机关大院内物业管理，组织并实施公用设施维修工作和院内清扫保洁；负责院内园林绿化；负责区委、区政府机关大院内的社会治安综合治理工作，并对院内区直单位社会治安综合治理工作进行考评；负责区委、区政府机关大院内的通讯保障和信件、报刊收发传递;全区公务用车的管理与维护等。</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二、机构设置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（一）内设机构设置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益阳市赫山区机关事务服务中心单位内设机构包括：财务股、保卫股、物业股、公车中心。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（二）决算单位构成</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益阳市赫山区机关事务服务中心单位2020年部门决算公开单位构成包括：局机关本级决算。</w:t>
      </w:r>
    </w:p>
    <w:p>
      <w:pPr>
        <w:widowControl w:val="0"/>
        <w:spacing w:line="560" w:lineRule="exact"/>
        <w:ind w:firstLine="640" w:firstLineChars="200"/>
        <w:rPr>
          <w:rFonts w:ascii="仿宋_GB2312" w:eastAsia="仿宋_GB2312"/>
          <w:sz w:val="32"/>
          <w:szCs w:val="32"/>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第二部分：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益阳市赫山区机关事务服务中心</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2020年度部门决算表（见附表）</w:t>
      </w:r>
    </w:p>
    <w:p>
      <w:pPr>
        <w:widowControl w:val="0"/>
        <w:spacing w:line="560" w:lineRule="exact"/>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第三部分：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益阳市赫山区机关事务服务中心</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2020年度部门决算情况说明</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2020年度收入1078.03万元，年初结转和结余236.94万元，总计1314.97万元，与2019年收入（1100.47万元）相比， 减少22.44万元，下降2.04%，主要原因是:一般公共预算拨款收入减少。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2020年度支出942.97万元，年末结转和结余372.00万元，总计1314.97万元，与2019年支出（1194.39万元）相比，支出总计942.97万元，减少了251.42万元，下降21.05%，主要原因是2020年无公车购置。</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本年收入合计1078.03万元，其中：一般公共预算财政拨款收入1010.52万元，占93.74%；其他收入67.50万元，占6.26%。</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本年支出合计942.97万元，其中：基本支出942.97万元，占100%。</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四、财政拨款收入支出决算总体情况说明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2020年度财政拨款收入1010.52万元，年初财政拨款结转和结余236.94万元，总计1247.46万元，与2019年财政拨款收入（1073.24万元）相比，减少62.72万元，下降5.84%,原因是一般公共预算拨款收入减少。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2020年度财政拨款支出875.47万元，年末财政拨款结转和结余372.00万元，总计1247.46万元，与2019年财政拨款支出（1194.39万元）相比，减少318.92万元，下降26.705%。主要原因是：2020年无公车购置支出。</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（一）一般公共预算财政拨款支出决算总体情况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2020年度一般公共预算财政拨款支出875.47万元，占本年支出合计的92.84%。与2019年度（1194.39万元）相比，减少318.92万元，下降26.70%,主要原因是：2020年无公车购置支出。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（二）一般公共预算财政拨款支出决算结构情况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875.47万元，主要用于以下方面：一般公共服务（类）支出804.95万元，占91.94%；科学技术（类）支出8万元，占0.91%；文化旅游体育与传媒（类）支出28万元，占3.2%；社会保障和就业（类）支出12.46万元，占1.42%；卫生健康（类）支出13.04万元，占1.49%；住房保障（类）支出9.02万元，占1.03%；</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（三）一般公共预算财政拨款支出决算具体情况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2020年度一般公共预算财政拨款支出年初预算为659.96万元，支出决算为875.47万元，完成年初预算的132.66%。其中：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1.一般公共服务（类）支出804.95元，年初预算为659.96万元，完成年初预算的121.97%；其中一般公共服务支出（类）党委办公厅（室）及相关机构事务（款）行政运行（项）支出746.97万元，一般公共服务支出（类）党委办公厅（室）及相关机构事务（款）其他党委办公厅（室）及相关机构事务支出（项）57.98万元，决算数大于年初预算数的主要原因是：调整预算增加了57.98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highlight w:val="white"/>
        </w:rPr>
        <w:t>科学技术（类）支出8万元，年初预算为0万元；其中科学技术支出（类）其他科学技术支出（款）其他科学技术支出（项）8万元，决算数大于年初预算数的主要原因是：调整预算增加了8万元。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highlight w:val="white"/>
        </w:rPr>
        <w:t>文化旅游体育与传媒（类）支出28万元，年初预算为0万元；其中文化旅游体育与传媒支出（类）文化和旅游支出（款）其他文化和旅游支出（项）3万元，文化旅游体育与传媒支出（类）其他文化旅游体育与传媒支出（款）其他文化旅游体育与传媒支出（项）25万元，决算数大于年初预算数的主要原因是：调整预算增加了28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highlight w:val="white"/>
        </w:rPr>
        <w:t>社会保障和就业（类）支出12.46万元，年初预算为0万元；其中社会保障和就业支出（类）行政事业单位养老支出（款）机关事业单位基本养老保险缴费支出（项）12.46万元，决算数大于年初预算数的主要原因是：调整预算增加了12.46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highlight w:val="white"/>
        </w:rPr>
        <w:t>卫生健康（类）支出13.04万元，年初预算为0万元；其中卫生健康支出（类）行政事业单位医疗（款） 事业单位医疗（项）13.04万元。决算数大于年初预算数的主要原因是：调整预算增加了13.04万元。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highlight w:val="white"/>
        </w:rPr>
        <w:t>住房保障（类）支出9.02万元，年初预算为0万元；其中住房保障支出（类）住房改革支出（款） 住房公积金（项）9.02万元，决算数大于年初预算数的主要原因是：调整预算增加了9.02万元。</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基本支出875.47万元，其中:人员经费286.79万元，占基本支出的32.76%，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506.5万元，占基本支出的57.85%，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七、一般公共预算财政拨款“三公”经费支出决算情况说明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（一）“三公”经费财政拨款支出决算总体情况说明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2020年度“三公”经费财政拨款支出预算为164.61万元，支出决算为164.61万元,完成预算的100%，其中：</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1.无因公出国（境）费支出预算与决算；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2.公务用车购置费及运行维护费支出预算为164.59万元，支出决算为164.59万元,完成预算的100%,决算数与预算数一致，我单位严格按预算执行决算。与上年相比减少22.41万元，减少53.19%,减少主要原因是认真贯彻落实</w:t>
      </w:r>
      <w:r>
        <w:rPr>
          <w:rFonts w:hint="eastAsia" w:ascii="仿宋_GB2312" w:eastAsia="仿宋_GB2312"/>
          <w:sz w:val="32"/>
          <w:szCs w:val="32"/>
          <w:highlight w:val="white"/>
          <w:lang w:eastAsia="zh-CN"/>
        </w:rPr>
        <w:t>中央八项规定</w:t>
      </w:r>
      <w:r>
        <w:rPr>
          <w:rFonts w:hint="eastAsia" w:ascii="仿宋_GB2312" w:eastAsia="仿宋_GB2312"/>
          <w:sz w:val="32"/>
          <w:szCs w:val="32"/>
          <w:highlight w:val="white"/>
        </w:rPr>
        <w:t>精神和厉行节约要求，从严控制“三公”经费开支，全年实际支出比上年有所压减。</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3.公务接待费支出预算为0.02万元，支出决算为0.02万元,完成预算的100%,  决算数与预算数一致，我单位严格按预算执行决算。与上年相比减少0.15万元，减少88.26%,减少主要原因是认真贯彻落实</w:t>
      </w:r>
      <w:r>
        <w:rPr>
          <w:rFonts w:hint="eastAsia" w:ascii="仿宋_GB2312" w:eastAsia="仿宋_GB2312"/>
          <w:sz w:val="32"/>
          <w:szCs w:val="32"/>
          <w:highlight w:val="white"/>
          <w:lang w:eastAsia="zh-CN"/>
        </w:rPr>
        <w:t>中央八项规定</w:t>
      </w:r>
      <w:r>
        <w:rPr>
          <w:rFonts w:hint="eastAsia" w:ascii="仿宋_GB2312" w:eastAsia="仿宋_GB2312"/>
          <w:sz w:val="32"/>
          <w:szCs w:val="32"/>
          <w:highlight w:val="white"/>
        </w:rPr>
        <w:t>精神和厉行节约要求，从严控制“三公”经费开支，全年支出比上年有所压减。</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（二）“三公”经费财政拨款支出决算具体情况说明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2020年度“三公”经费财政拨款支出决算中，因公出国（境）费支出决算0万元，公务用车购置费及运行维护费支出决算164.59万元，占99.99%；公务接待费支出决算0.02万元，占0.01%。</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1.无因公出国（境）费支出预算与决算。</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公务用车购置及运行费支出决算为164.59万元，其中：公务用车运行支出164.59万元，无公务用车购置支出。主要是按规定保留的公务用车的燃料费、维修费、过桥过路费、保险费、安全奖励费用等支出。截至2020年12月31日，机关单位开支财政拨款的公务用车保有量为46辆。</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3.公务接待费支出决算为0.02万元，其中：其他国内公务接待支出0.02万元。主要用于与有关单位交流工作情况及接受相关部门检查指导工作发生的接待支出。益阳市赫山区机关事务服务中心2020年共接待国内公务接待批次1个、接待人次3人次（不包括陪同人员）。</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八、政府性基金预算收入支出决算情况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2020年本单位没有使用政府性基金预算财政拨款安排的收支。</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九、国有资本经营预算财政拨款支出决算情况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2020年本单位没有国有资本经营预算财政拨款支出。</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十、关于机关运行经费支出说明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益阳市赫山区机关事务服务中心2020年机关运行经费支出506.50万元。比年初预算数（221.34万元）增加285.16万元，增长128.83%。主要原因是年初预算调整增加。</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十一、一般性支出情况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部门开支会议费0.80万元，用于召开中心内部职工会议20次，人数323人；开支培训费3.11万元，用于开展中心全体职工上党课、党史教育培训等，内容为学党史、听党课；未举办节庆、晚会、论坛、赛事等活动。</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十二、关于政府采购支出说明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本年度无政府采购。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十三、关于国有资产占有情况说明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截至2020年12月31日，益阳市赫山区机关事务服务中心共有车辆46辆。其中：其他用车46辆，其他用车主要是用于机要通信和应急保障之外公务用途的车辆；年末无单价50万元以上通用设备，年末无单价100万元以上专用设备。</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十四、关于2020年度预算绩效情况的说明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（一）绩效管理工作开展情况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1.前期准备。</w:t>
      </w:r>
      <w:r>
        <w:rPr>
          <w:rFonts w:hint="eastAsia" w:ascii="仿宋_GB2312" w:eastAsia="仿宋_GB2312"/>
          <w:sz w:val="32"/>
          <w:szCs w:val="32"/>
          <w:highlight w:val="white"/>
        </w:rPr>
        <w:t>按照绩效自评工作要求，成立以刘嘉宾主任为组长的绩效评价工作小组，对相关的国家法律法规进行了认真学习，掌握政策，根据部门整体收支情况制定了部门整体支出绩效评价实施方案。</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2.组织实施。</w:t>
      </w:r>
      <w:r>
        <w:rPr>
          <w:rFonts w:hint="eastAsia" w:ascii="仿宋_GB2312" w:eastAsia="仿宋_GB2312"/>
          <w:sz w:val="32"/>
          <w:szCs w:val="32"/>
          <w:highlight w:val="white"/>
        </w:rPr>
        <w:t>采用核查法核查2020年同级财政预算批复执行及部门整体支出情况，着重核查了“三公”经费及资产管理、内部控制制度等情况。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3.分析评价。</w:t>
      </w:r>
      <w:r>
        <w:rPr>
          <w:rFonts w:hint="eastAsia" w:ascii="仿宋_GB2312" w:eastAsia="仿宋_GB2312"/>
          <w:sz w:val="32"/>
          <w:szCs w:val="32"/>
          <w:highlight w:val="white"/>
        </w:rPr>
        <w:t>对评价过程中收集资料进行归纳，汇总分析，依据设定的部门整体支出绩效评价指标体系进行了评分，形成了综合性书面报告。</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（二）部门决算中项目绩效自评结果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本单位无项目支出。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（三）以部门为主体开展的重点绩效评价结果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本次绩效评价的目的是为了全面分析和综合评价我单位本级财政预算资金的使用管理情况，为切实提高财政资金使用效益，强化预算支出的责任和效率提供参考依据。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我中心2020年的主要绩效及评价结论：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经济性分析</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1.本年预算配置控制较好。财政供养人员控制在预算编制以内，编制内在职人员控制率为100%；“三公”经费支出总额小，等于年初预算。</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2.预算执行方面。支出总额控制在预算总额以内，所有支出严格依照相关财务管理规定执行，特别重视量财办事、量力而行，严格控制标准、注重节约，少花钱办好事，各项支出都在合理范围内。</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3.预算管理方面。我中心制定了切实有效的内部管理制度和经费支出控制方案，有较强的内控风险管理意识、各项经费支出得到了有效控制。</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效率性分析</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在区委、区政府正确领导下，区机关事务服务中心坚持围绕赫山区经济社会发展中心，服务大局，以深化改革和创新管理为重点，切实抓好机关院内后勤服务和自身建设，忠诚履职，实干善为，各项工作取得了明显成效。</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效益性分析</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2020年，我中心干部职工认真贯彻落实党的十九大精神和区委区政府决策部署，努力工作，创先争优，不仅按照年初工作安排较好地完成各项工作任务，而且取得较好的成绩。</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本绩效绩效评价报告按照财政绩效部门要求已公开。</w:t>
      </w:r>
    </w:p>
    <w:p>
      <w:pPr>
        <w:widowControl w:val="0"/>
        <w:spacing w:line="560" w:lineRule="exact"/>
        <w:ind w:firstLine="640" w:firstLineChars="200"/>
        <w:rPr>
          <w:rFonts w:ascii="仿宋_GB2312" w:eastAsia="仿宋_GB2312"/>
          <w:sz w:val="32"/>
          <w:szCs w:val="32"/>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第四部分：</w:t>
      </w:r>
    </w:p>
    <w:p>
      <w:pPr>
        <w:widowControl w:val="0"/>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名词解释</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财政拨款收入：指本级财政当年拨付的资金。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其他收入：指除上述“财政拨款收入”、“上级补助收入”、“事业收入”、“经营收入”、“附属单位上缴收入”等以外的收入。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上年结转和结余：指以前年度尚未完成、结转到本年按有关规定继续使用的资金。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科学技术支出（类）：是指用于科学技术方面的支出，包括保障机构正常运转、完成日常和特定的工作任务或事业发展目标的支出。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文化体育与传媒支出（类）：是指用于文化、文物、体育、新闻出版广播影视等方面的支出，包括保障机构正常运转、完成日常和特定的工作任务或事业发展目标的支出。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卫生健康支出（类）：是指用于医疗卫生与计划生育方面的支出，包括保障机构正常运转、完成日常和特定的工作任务或事业发展目标的支出。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住房保障支出（类）：是指用于住房方面的支出，包括保障机构正常运转、完成日常和特定的工作任务或事业发展目标的支出。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基本支出：指保障机构正常运转、完成支日常工作任务而发生的人员支出和公用支出。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工资福利支出：反映单位开支的在职职工和编制外长期聘用人员的各类劳动报酬，以及为上述人员缴纳的各项社会保险费等。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奖金：反映机关工作人员年终一次性奖金。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伙食补助费：反映单位发给职工的伙食补助费，如误餐补助等。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绩效工资：反映事业单位工作人员的绩效工资。</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职工基本医疗保险缴费：反映单位为职工缴纳的基本医疗保险费。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住房公积金：反映行政事业单位按人力资源和社会保障部、财政部规定的基本工资和津贴补贴以及规定比例为职工缴纳的住房公积金。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商品和服务支出：反映单位购买商品和服务的支出（不包括用于购置固定资产的支出、战略性和应急储备支出）。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办公费：反映单位购买按财务会计制度规定不符合固定资产确认标准的日常办公用品、书报杂志等支出。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印刷费：反映单位的印刷费支出。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手续费：反映单位支付的各类手续费支出。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水费：反映单位支付的水费、污水处理费等支出。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邮电费：反映单位开支的信函、包裹、货物等物品的邮寄费及电话费、电报费、传真费、网络通讯费等。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物业管理费：反映单位开支的办公用房以及未实行职工住宅物业服务改革的在职职工和离退休人员宿舍等的物业管理费，包括综合治理、绿化、卫生等方面的支出。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维修(护)费：反映单位日常开支的固定资产（不包括车船等交通工具）修理和维护费用，网络信息系统运行与维护费用，以及按规定提取的修购基金。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租赁费：反映租赁办公用房、宿舍、专用通讯网以及其他设备等方面的费用。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会议费：反映会议中按规定开支的住宿费、伙食费、会议室租金、交通费、文件印刷费、医药费等。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培训费：反映除因公出国（境）培训费以外的各类培训支出。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公务接待费：反映单位按规定开支的各类公务接待（含外宾接待）费用。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委托业务费：反映因委托外单位办理业务而支付的委托业务费。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工会经费：反映单位按规定提取的工会经费。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公务用车运行维护费：反映单位按规定保留的公务用车燃料费、维修费、过桥过路费、保险费、安全奖励费用等支出。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其他交通费用：反映单位除公务用车运行维护费以外的其他交通费用。如公务交通补贴，租车费用、出租车费用，飞机、船舶等的燃料费、维修费、保险费等。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其他商品和服务支出：反映上述科目未包括的日常公用支出。如行政赔偿费和诉讼费、国内组织的会员费、来访费、广告宣传、其他劳务费及离休人员特需费、公用经费等。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对个人和家庭的补助：反映政府用于对个人和家庭的补助支出。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第五部分：附件</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益阳市赫山区机关事务服务中心</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2020年度部门整体支出绩效评价报告</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我中心本着独立、客观、公正、科学的原则，按照公认的绩效评价方法，对2020年度本单位整体支出进行了绩效自评，现将具体绩效评价情况报告如下：</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一、基本情况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（一）部门整体支出概况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部门决算收支情况：2020年我中心总收入1314.97万元，其中：一般公共预算财政拨款1010.52万元，其他收入67.5万元，上年结转结余236.94万元。2020年我中心总支出1314.97万元，其中：基本支出942.97万元。部门决算年终结转结余情况：2020年我中心累计结转结余372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（二）部门整体支出绩效目标</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深化机关事务管理功能，加强安全保卫工作，提高后勤服务保障，加大物业管理力度，规范公车平台管理运行。</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预决算公开：根据区财政局的统一部署及相关要求，我中心已在赫山信息网站上进行了预（决）算公开。</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存量资金管理：我中心已实行国库集中支付管理。</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资产管理：制定了《赫山区机关事务服务中心资产管理制度》，建立了固定资产台帐，指定专人管理，及时登记，科学使用，实现了“一物一卡一条码”。固定资产的调出、处置、报废、报损严格执行国家有关规定的审批程序办理。</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“三公”经费控制：2020年，我中心“三公”经费支出164.61万元，其中：公务用车运行维护费164.59万元，公务接待费0.02万元，无出国出境费。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内部控制制度建设：2020年，我中心完善了《赫山区机关事务服务中心机关管理制度》《财务管理制度》《赫山区机关事务服务中心办公室物资采购制度》《赫山区机关事务服务中心办公室资产管理制度》《机关管理制度》等一系列内部控制制度，相关制度合法合规、完整，并得到有效执行。</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绩效目标完成情况：2020年，坚持以党的十九大精神为指引，在区委、区政府的正确领导下，紧紧围绕服务赫山科学跨越这一条发展主线；深化“放管服”改革和行政体制改革，优化机构编制资源配置，强化自身建设，为赫山经济社会发展提供体制机制保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（三）部门整体支出实施情况分析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我中心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联签制度。严格报账程序，实行国库集中支付制度，严格完善相关资料手续、审核审批程序，保证了各项资金使用的合理合规，充分发挥了各项资金的效益性。</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二、绩效评价工作情况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（一）绩效评价目的</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本次绩效评价的目的是为了全面分析和综合评价我单位本级财政预算资金的使用管理情况，为切实提高财政资金使用效益，强化预算支出的责任和效率提供参考依据。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（二）绩效评价工作过程</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1.前期准备。按照绩效自评工作要求，成立以刘嘉宾主任为组长的绩效评价工作小组，对相关的国家法律法规进行了认真学习，掌握政策，根据部门整体收支情况制定了部门整体支出绩效评价实施方案。</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2.组织实施。采用核查法核查2020年同级财政预算批复执行及部门整体支出情况，着重核查了“三公”经费及资产管理、内部控制制度等情况。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3.分析评价。对评价过程中收集资料进行归纳，汇总分析，依据设定的部门整体支出绩效评价指标体系进行了评分，形成了综合性书面报告。</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三、主要绩效及评价结论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（一）经济性分析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1.本年预算配置控制较好。财政供养人员控制在预算编制以内，编制内在职人员控制率为100%；</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2.预算执行方面。支出总额控制在预算总额以内，所有支出严格依照相关财务管理规定执行，特别重视量财办事、量力而行，严格控制标准、注重节约，少花钱办好事，各项支出都在合理范围内。</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3.预算管理方面。我中心制定了切实有效的内部管理制度和经费支出控制方案，有较强的内控风险管理意识、各项经费支出得到了有效控制。</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（二）效率性分析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2020年，在区委、区政府的正确领导下，我中心坚持围绕赫山区经济社会发展中心，服务大局，以深化改革和创新管理为重点，切实机关事务管理和自身建设，忠诚履职，实干善为，各项工作取得了明显成效。</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（三）效益性分析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2020年，我中心干部职工认真贯彻落实党的十九大精神和区委区政府决策部署，努力工作，创先争优，不仅按照年初工作安排较好地完成各项工作任务，而且取得较好的成绩。</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加强安全保卫管理。一是建立安全保卫工作长效机制，定期召开安保工作会议，签订《2020年安全目标责任书》，进一步明确和落实各部门人员安全工作职责；二是抓好元旦、春节、两会、国庆期间安全保卫工作，特别是电力、供水、监控等系统设备的运行管理和维修保养工作和应对大风和暴雨灾害天气基础设施的巡检排查；三是配齐安保设备，进行安保反恐演练，开展治安巡逻，加强了对大院车辆进出管理，指引车辆按规定有序停放；四是增设了公安值勤室，在门卫室新增加了监控视频设备，全方位监控大院内情况，不留死角；五是切实做好机关大院安全保卫和群体性上访突发事件处置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提高后勤服务保障。一是加强对机关大院小型维修管理，及时响应各部门的零星维修需求，完成区机关一院零星水电线路等维修共计1000余次；二是做好机构改革涉改单位办公用房摸底、调配和标牌制作与悬挂工作。至目前机构改革办公用房优化调整任务已完成。三是认真履行食堂管理服务，积极发挥“窗口”作用。积极筹措资金对食堂进行全面整修，改善就餐环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加大物业管理力度。一是采取公开招投标方式确定物业公司，物业管理全面实现市场化；二是明确服务质量，量化检查内容，完善制定《物业管理考核细则》；三是成立检查考核领导小组，严格考核督查，实行奖罚兑现；四是增设分类垃圾箱，并与区环卫处签订垃圾清运合同，做到垃圾日产日清；五是补齐种植绿化树木，常年保持树木造型美观、绿篱整齐；六是建设停车场地，规范停车秩序，保障消防通道畅通；七是规范机关院内住户装修行为，加强装修垃圾管理。</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规范公车平台管理运行。一是落实上级公务用车制度改革有关会议精神，全面完成事业单位公务用车制度改革；二是完成公务用车监控中心建设。运用科技手段，对所有公务车辆安装北斗车载终端，接入“全省一张网”，实现平台调度智能化。三是积极响应区委区政府号召，公务用车平台车辆在全区率先施行ETC安装，极大提高公务用车出行效率。四是加强车辆调度、维修、保险和租车管理，提高公务用车使用效率。严把车辆维修关，完善车辆维修制度，制定车辆维修流程，设定专人对需维修车辆事前勘验，事后验收，层层把关，实行一车一台帐，严格按程序对车辆进行检修，有效控制车辆运行成本。五是严格规范双休日、节假日公车使用规定，车辆定点停放制度，杜绝违章和公车私用；</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四、存在的问题</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因部分工作是年中或年末根据省市相关要求开展，未纳入年初预算，另外还有部分不可预见经费的追加，无法纳入预算，导致预算执行存在偏差。</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五、有关建议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spacing w:beforeLines="50" w:afterLines="50"/>
        <w:jc w:val="center"/>
        <w:rPr>
          <w:rFonts w:ascii="方正小标宋简体" w:eastAsia="方正小标宋简体" w:cs="方正小标宋_GBK"/>
          <w:sz w:val="36"/>
          <w:szCs w:val="36"/>
        </w:rPr>
      </w:pPr>
    </w:p>
    <w:p>
      <w:pPr>
        <w:pStyle w:val="2"/>
      </w:pPr>
    </w:p>
    <w:p>
      <w:pPr>
        <w:jc w:val="left"/>
        <w:rPr>
          <w:rFonts w:ascii="方正小标宋简体" w:eastAsia="方正小标宋简体" w:cs="方正小标宋_GBK"/>
          <w:sz w:val="36"/>
          <w:szCs w:val="36"/>
        </w:rPr>
      </w:pPr>
      <w:r>
        <w:rPr>
          <w:rFonts w:ascii="方正小标宋简体" w:eastAsia="方正小标宋简体" w:cs="方正小标宋_GBK"/>
          <w:sz w:val="36"/>
          <w:szCs w:val="36"/>
        </w:rPr>
        <w:br w:type="page"/>
      </w:r>
    </w:p>
    <w:p>
      <w:pPr>
        <w:spacing w:beforeLines="50" w:afterLines="50"/>
        <w:jc w:val="center"/>
        <w:rPr>
          <w:rFonts w:ascii="方正小标宋简体" w:eastAsia="方正小标宋简体" w:cs="方正小标宋_GBK"/>
          <w:sz w:val="36"/>
          <w:szCs w:val="36"/>
        </w:rPr>
      </w:pPr>
      <w:r>
        <w:rPr>
          <w:rFonts w:ascii="方正小标宋简体" w:eastAsia="方正小标宋简体" w:cs="方正小标宋_GBK"/>
          <w:sz w:val="36"/>
          <w:szCs w:val="36"/>
        </w:rPr>
        <w:t>2020</w:t>
      </w:r>
      <w:r>
        <w:rPr>
          <w:rFonts w:hint="eastAsia" w:ascii="方正小标宋简体" w:eastAsia="方正小标宋简体" w:cs="方正小标宋_GBK"/>
          <w:sz w:val="36"/>
          <w:szCs w:val="36"/>
        </w:rPr>
        <w:t>年度部门整体支出绩效自评指标计分表</w:t>
      </w:r>
    </w:p>
    <w:tbl>
      <w:tblPr>
        <w:tblStyle w:val="10"/>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2"/>
        <w:gridCol w:w="737"/>
        <w:gridCol w:w="982"/>
        <w:gridCol w:w="737"/>
        <w:gridCol w:w="3095"/>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right w:w="10" w:type="dxa"/>
            </w:tcMar>
            <w:vAlign w:val="center"/>
          </w:tcPr>
          <w:p>
            <w:pPr>
              <w:spacing w:line="240" w:lineRule="exact"/>
              <w:jc w:val="center"/>
              <w:rPr>
                <w:rFonts w:ascii="宋体" w:cs="宋体"/>
                <w:b/>
                <w:szCs w:val="24"/>
              </w:rPr>
            </w:pPr>
            <w:r>
              <w:rPr>
                <w:rFonts w:hint="eastAsia" w:ascii="宋体" w:cs="宋体"/>
                <w:b/>
                <w:szCs w:val="24"/>
              </w:rPr>
              <w:t>一级</w:t>
            </w:r>
            <w:r>
              <w:rPr>
                <w:rFonts w:ascii="宋体" w:cs="宋体"/>
                <w:b/>
                <w:szCs w:val="24"/>
              </w:rPr>
              <w:br w:type="textWrapping"/>
            </w:r>
            <w:r>
              <w:rPr>
                <w:rFonts w:hint="eastAsia" w:ascii="宋体" w:cs="宋体"/>
                <w:b/>
                <w:szCs w:val="24"/>
              </w:rPr>
              <w:t>指标</w:t>
            </w:r>
          </w:p>
        </w:tc>
        <w:tc>
          <w:tcPr>
            <w:tcW w:w="375" w:type="pct"/>
            <w:tcMar>
              <w:top w:w="10" w:type="dxa"/>
              <w:left w:w="10" w:type="dxa"/>
              <w:right w:w="10" w:type="dxa"/>
            </w:tcMar>
            <w:vAlign w:val="center"/>
          </w:tcPr>
          <w:p>
            <w:pPr>
              <w:spacing w:line="240" w:lineRule="exact"/>
              <w:ind w:right="-174" w:rightChars="-83"/>
              <w:jc w:val="center"/>
              <w:rPr>
                <w:rFonts w:ascii="宋体" w:cs="宋体"/>
                <w:b/>
                <w:szCs w:val="24"/>
              </w:rPr>
            </w:pPr>
            <w:r>
              <w:rPr>
                <w:rFonts w:hint="eastAsia" w:ascii="宋体" w:cs="宋体"/>
                <w:b/>
                <w:szCs w:val="24"/>
              </w:rPr>
              <w:t>二级</w:t>
            </w:r>
          </w:p>
          <w:p>
            <w:pPr>
              <w:spacing w:line="240" w:lineRule="exact"/>
              <w:ind w:right="-174" w:rightChars="-83"/>
              <w:jc w:val="center"/>
              <w:rPr>
                <w:rFonts w:ascii="宋体" w:cs="宋体"/>
                <w:b/>
                <w:szCs w:val="24"/>
              </w:rPr>
            </w:pPr>
            <w:r>
              <w:rPr>
                <w:rFonts w:hint="eastAsia" w:ascii="宋体" w:cs="宋体"/>
                <w:b/>
                <w:szCs w:val="24"/>
              </w:rPr>
              <w:t>指标</w:t>
            </w:r>
          </w:p>
        </w:tc>
        <w:tc>
          <w:tcPr>
            <w:tcW w:w="500" w:type="pct"/>
            <w:tcMar>
              <w:top w:w="10" w:type="dxa"/>
              <w:left w:w="10" w:type="dxa"/>
              <w:right w:w="10" w:type="dxa"/>
            </w:tcMar>
            <w:vAlign w:val="center"/>
          </w:tcPr>
          <w:p>
            <w:pPr>
              <w:spacing w:line="240" w:lineRule="exact"/>
              <w:jc w:val="center"/>
              <w:rPr>
                <w:rFonts w:ascii="宋体" w:cs="宋体"/>
                <w:b/>
                <w:szCs w:val="24"/>
              </w:rPr>
            </w:pPr>
            <w:r>
              <w:rPr>
                <w:rFonts w:hint="eastAsia" w:ascii="宋体" w:cs="宋体"/>
                <w:b/>
                <w:szCs w:val="24"/>
              </w:rPr>
              <w:t>三级</w:t>
            </w:r>
          </w:p>
          <w:p>
            <w:pPr>
              <w:spacing w:line="240" w:lineRule="exact"/>
              <w:jc w:val="center"/>
              <w:rPr>
                <w:rFonts w:ascii="宋体" w:cs="宋体"/>
                <w:b/>
                <w:szCs w:val="24"/>
              </w:rPr>
            </w:pPr>
            <w:r>
              <w:rPr>
                <w:rFonts w:hint="eastAsia" w:ascii="宋体" w:cs="宋体"/>
                <w:b/>
                <w:szCs w:val="24"/>
              </w:rPr>
              <w:t>指标</w:t>
            </w:r>
          </w:p>
        </w:tc>
        <w:tc>
          <w:tcPr>
            <w:tcW w:w="375" w:type="pct"/>
            <w:vAlign w:val="center"/>
          </w:tcPr>
          <w:p>
            <w:pPr>
              <w:spacing w:line="240" w:lineRule="exact"/>
              <w:ind w:left="105" w:leftChars="50" w:right="105" w:rightChars="50"/>
              <w:jc w:val="center"/>
              <w:rPr>
                <w:rFonts w:ascii="宋体" w:cs="宋体"/>
                <w:b/>
                <w:szCs w:val="24"/>
              </w:rPr>
            </w:pPr>
            <w:r>
              <w:rPr>
                <w:rFonts w:hint="eastAsia" w:ascii="宋体" w:cs="宋体"/>
                <w:b/>
                <w:szCs w:val="24"/>
              </w:rPr>
              <w:t>自评分</w:t>
            </w:r>
          </w:p>
        </w:tc>
        <w:tc>
          <w:tcPr>
            <w:tcW w:w="1576" w:type="pct"/>
            <w:tcMar>
              <w:top w:w="10" w:type="dxa"/>
              <w:left w:w="10" w:type="dxa"/>
              <w:right w:w="10" w:type="dxa"/>
            </w:tcMar>
            <w:vAlign w:val="center"/>
          </w:tcPr>
          <w:p>
            <w:pPr>
              <w:spacing w:line="240" w:lineRule="exact"/>
              <w:ind w:left="105" w:leftChars="50" w:right="105" w:rightChars="50"/>
              <w:jc w:val="center"/>
              <w:rPr>
                <w:rFonts w:ascii="宋体" w:cs="宋体"/>
                <w:b/>
                <w:szCs w:val="24"/>
              </w:rPr>
            </w:pPr>
            <w:r>
              <w:rPr>
                <w:rFonts w:hint="eastAsia" w:ascii="宋体" w:cs="宋体"/>
                <w:b/>
                <w:szCs w:val="24"/>
              </w:rPr>
              <w:t>指标解释</w:t>
            </w:r>
          </w:p>
        </w:tc>
        <w:tc>
          <w:tcPr>
            <w:tcW w:w="1867" w:type="pct"/>
            <w:tcMar>
              <w:top w:w="10" w:type="dxa"/>
              <w:left w:w="10" w:type="dxa"/>
              <w:right w:w="10" w:type="dxa"/>
            </w:tcMar>
            <w:vAlign w:val="center"/>
          </w:tcPr>
          <w:p>
            <w:pPr>
              <w:spacing w:line="240" w:lineRule="exact"/>
              <w:ind w:left="105" w:leftChars="50" w:right="105" w:rightChars="50"/>
              <w:jc w:val="center"/>
              <w:rPr>
                <w:rFonts w:ascii="宋体" w:cs="宋体"/>
                <w:b/>
                <w:szCs w:val="24"/>
              </w:rPr>
            </w:pPr>
            <w:r>
              <w:rPr>
                <w:rFonts w:hint="eastAsia" w:ascii="宋体" w:cs="宋体"/>
                <w:b/>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307" w:type="pct"/>
            <w:vMerge w:val="restart"/>
            <w:noWrap/>
            <w:tcMar>
              <w:top w:w="10" w:type="dxa"/>
              <w:left w:w="10" w:type="dxa"/>
              <w:right w:w="10" w:type="dxa"/>
            </w:tcMar>
            <w:textDirection w:val="tbRlV"/>
            <w:vAlign w:val="center"/>
          </w:tcPr>
          <w:p>
            <w:pPr>
              <w:spacing w:line="240" w:lineRule="exact"/>
              <w:jc w:val="center"/>
              <w:rPr>
                <w:rFonts w:ascii="宋体" w:cs="宋体"/>
                <w:szCs w:val="24"/>
              </w:rPr>
            </w:pPr>
            <w:r>
              <w:rPr>
                <w:rFonts w:hint="eastAsia" w:ascii="宋体" w:cs="宋体"/>
                <w:szCs w:val="24"/>
              </w:rPr>
              <w:t>投</w:t>
            </w:r>
            <w:r>
              <w:rPr>
                <w:rFonts w:ascii="宋体" w:cs="宋体"/>
                <w:szCs w:val="24"/>
              </w:rPr>
              <w:t xml:space="preserve">   </w:t>
            </w:r>
            <w:r>
              <w:rPr>
                <w:rFonts w:hint="eastAsia" w:ascii="宋体" w:cs="宋体"/>
                <w:szCs w:val="24"/>
              </w:rPr>
              <w:t>入（</w:t>
            </w:r>
            <w:r>
              <w:rPr>
                <w:rFonts w:ascii="宋体" w:cs="宋体"/>
                <w:szCs w:val="24"/>
              </w:rPr>
              <w:t>20</w:t>
            </w:r>
            <w:r>
              <w:rPr>
                <w:rFonts w:hint="eastAsia" w:ascii="宋体" w:cs="宋体"/>
                <w:szCs w:val="24"/>
              </w:rPr>
              <w:t>分）</w:t>
            </w:r>
          </w:p>
        </w:tc>
        <w:tc>
          <w:tcPr>
            <w:tcW w:w="375" w:type="pct"/>
            <w:vMerge w:val="restar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目标</w:t>
            </w:r>
            <w:r>
              <w:rPr>
                <w:rFonts w:ascii="宋体" w:cs="宋体"/>
                <w:szCs w:val="24"/>
              </w:rPr>
              <w:br w:type="textWrapping"/>
            </w:r>
            <w:r>
              <w:rPr>
                <w:rFonts w:hint="eastAsia" w:ascii="宋体" w:cs="宋体"/>
                <w:szCs w:val="24"/>
              </w:rPr>
              <w:t>设定（</w:t>
            </w:r>
            <w:r>
              <w:rPr>
                <w:rFonts w:ascii="宋体" w:cs="宋体"/>
                <w:szCs w:val="24"/>
              </w:rPr>
              <w:t>5</w:t>
            </w:r>
            <w:r>
              <w:rPr>
                <w:rFonts w:hint="eastAsia" w:ascii="宋体" w:cs="宋体"/>
                <w:szCs w:val="24"/>
              </w:rPr>
              <w:t>分）</w:t>
            </w: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绩效目标</w:t>
            </w:r>
          </w:p>
          <w:p>
            <w:pPr>
              <w:spacing w:line="240" w:lineRule="exact"/>
              <w:jc w:val="center"/>
              <w:rPr>
                <w:rFonts w:ascii="宋体" w:cs="宋体"/>
                <w:szCs w:val="24"/>
              </w:rPr>
            </w:pPr>
            <w:r>
              <w:rPr>
                <w:rFonts w:hint="eastAsia" w:ascii="宋体" w:cs="宋体"/>
                <w:szCs w:val="24"/>
              </w:rPr>
              <w:t>合理性（</w:t>
            </w:r>
            <w:r>
              <w:rPr>
                <w:rFonts w:ascii="宋体" w:cs="宋体"/>
                <w:szCs w:val="24"/>
              </w:rPr>
              <w:t>2</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ind w:firstLine="228"/>
              <w:jc w:val="left"/>
              <w:rPr>
                <w:szCs w:val="24"/>
              </w:rPr>
            </w:pPr>
            <w:r>
              <w:rPr>
                <w:szCs w:val="24"/>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部门所设立的整体绩效目标依据是否充分，是否符合客观实际，用以反映和考核部门整体绩效目标与部门履职、年度工作任务的相符性情况。</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评价要点：</w:t>
            </w:r>
            <w:r>
              <w:rPr>
                <w:rFonts w:ascii="宋体" w:cs="宋体"/>
                <w:szCs w:val="24"/>
              </w:rPr>
              <w:br w:type="textWrapping"/>
            </w:r>
            <w:r>
              <w:rPr>
                <w:rFonts w:hint="eastAsia" w:ascii="宋体" w:cs="宋体"/>
                <w:szCs w:val="24"/>
              </w:rPr>
              <w:t>①是否符合国家法律法规、国民经济和社会发展总体规划；</w:t>
            </w:r>
            <w:r>
              <w:rPr>
                <w:rFonts w:ascii="宋体" w:cs="宋体"/>
                <w:szCs w:val="24"/>
              </w:rPr>
              <w:br w:type="textWrapping"/>
            </w:r>
            <w:r>
              <w:rPr>
                <w:rFonts w:hint="eastAsia" w:ascii="宋体" w:cs="宋体"/>
                <w:szCs w:val="24"/>
              </w:rPr>
              <w:t>②是否符合部门“三定”方案确定的职责；</w:t>
            </w:r>
            <w:r>
              <w:rPr>
                <w:rFonts w:ascii="宋体" w:cs="宋体"/>
                <w:szCs w:val="24"/>
              </w:rPr>
              <w:br w:type="textWrapping"/>
            </w:r>
            <w:r>
              <w:rPr>
                <w:rFonts w:hint="eastAsia" w:ascii="宋体" w:cs="宋体"/>
                <w:szCs w:val="24"/>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1"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绩效指标</w:t>
            </w:r>
          </w:p>
          <w:p>
            <w:pPr>
              <w:spacing w:line="240" w:lineRule="exact"/>
              <w:jc w:val="center"/>
              <w:rPr>
                <w:rFonts w:ascii="宋体" w:cs="宋体"/>
                <w:szCs w:val="24"/>
              </w:rPr>
            </w:pPr>
            <w:r>
              <w:rPr>
                <w:rFonts w:hint="eastAsia" w:ascii="宋体" w:cs="宋体"/>
                <w:szCs w:val="24"/>
              </w:rPr>
              <w:t>明确性（</w:t>
            </w:r>
            <w:r>
              <w:rPr>
                <w:rFonts w:ascii="宋体" w:cs="宋体"/>
                <w:szCs w:val="24"/>
              </w:rPr>
              <w:t>3</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jc w:val="center"/>
              <w:rPr>
                <w:szCs w:val="24"/>
              </w:rPr>
            </w:pPr>
            <w:r>
              <w:rPr>
                <w:szCs w:val="24"/>
              </w:rPr>
              <w:t>3</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部门依据整体绩效目标所设定的绩效指标是否清晰、细化、可衡量，用以反映和考核部门整体绩效目标的明细化情况。</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评价要点：</w:t>
            </w:r>
            <w:r>
              <w:rPr>
                <w:rFonts w:ascii="宋体" w:cs="宋体"/>
                <w:szCs w:val="24"/>
              </w:rPr>
              <w:br w:type="textWrapping"/>
            </w:r>
            <w:r>
              <w:rPr>
                <w:rFonts w:hint="eastAsia" w:ascii="宋体" w:cs="宋体"/>
                <w:szCs w:val="24"/>
              </w:rPr>
              <w:t>①是否将部门整体的绩效目标细化分解为具体的工作任务；</w:t>
            </w:r>
            <w:r>
              <w:rPr>
                <w:rFonts w:ascii="宋体" w:cs="宋体"/>
                <w:szCs w:val="24"/>
              </w:rPr>
              <w:br w:type="textWrapping"/>
            </w:r>
            <w:r>
              <w:rPr>
                <w:rFonts w:hint="eastAsia" w:ascii="宋体" w:cs="宋体"/>
                <w:szCs w:val="24"/>
              </w:rPr>
              <w:t>②是否通过清晰、可衡量的指标值予以体现。</w:t>
            </w:r>
            <w:r>
              <w:rPr>
                <w:rFonts w:ascii="宋体" w:cs="宋体"/>
                <w:szCs w:val="24"/>
              </w:rPr>
              <w:t xml:space="preserve">    </w:t>
            </w:r>
            <w:r>
              <w:rPr>
                <w:rFonts w:hint="eastAsia" w:ascii="宋体" w:cs="宋体"/>
                <w:szCs w:val="24"/>
              </w:rPr>
              <w:t>③是否与部门年度的任务数或计划数相对应；</w:t>
            </w:r>
            <w:r>
              <w:rPr>
                <w:rFonts w:ascii="宋体" w:cs="宋体"/>
                <w:szCs w:val="24"/>
              </w:rPr>
              <w:br w:type="textWrapping"/>
            </w:r>
            <w:r>
              <w:rPr>
                <w:rFonts w:hint="eastAsia" w:ascii="宋体" w:cs="宋体"/>
                <w:szCs w:val="24"/>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tc>
        <w:tc>
          <w:tcPr>
            <w:tcW w:w="375" w:type="pct"/>
            <w:vMerge w:val="restar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预算</w:t>
            </w:r>
            <w:r>
              <w:rPr>
                <w:rFonts w:ascii="宋体" w:cs="宋体"/>
                <w:szCs w:val="24"/>
              </w:rPr>
              <w:br w:type="textWrapping"/>
            </w:r>
            <w:r>
              <w:rPr>
                <w:rFonts w:hint="eastAsia" w:ascii="宋体" w:cs="宋体"/>
                <w:szCs w:val="24"/>
              </w:rPr>
              <w:t>配置（</w:t>
            </w:r>
            <w:r>
              <w:rPr>
                <w:rFonts w:ascii="宋体" w:cs="宋体"/>
                <w:szCs w:val="24"/>
              </w:rPr>
              <w:t>15</w:t>
            </w:r>
            <w:r>
              <w:rPr>
                <w:rFonts w:hint="eastAsia" w:ascii="宋体" w:cs="宋体"/>
                <w:szCs w:val="24"/>
              </w:rPr>
              <w:t>分）</w:t>
            </w: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在职人员</w:t>
            </w:r>
          </w:p>
          <w:p>
            <w:pPr>
              <w:spacing w:line="240" w:lineRule="exact"/>
              <w:jc w:val="center"/>
              <w:rPr>
                <w:rFonts w:ascii="宋体" w:cs="宋体"/>
                <w:szCs w:val="24"/>
              </w:rPr>
            </w:pPr>
            <w:r>
              <w:rPr>
                <w:rFonts w:hint="eastAsia" w:ascii="宋体" w:cs="宋体"/>
                <w:szCs w:val="24"/>
              </w:rPr>
              <w:t>控制率（</w:t>
            </w:r>
            <w:r>
              <w:rPr>
                <w:rFonts w:ascii="宋体" w:cs="宋体"/>
                <w:szCs w:val="24"/>
              </w:rPr>
              <w:t>5</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ind w:firstLine="395"/>
              <w:jc w:val="left"/>
              <w:rPr>
                <w:szCs w:val="24"/>
              </w:rPr>
            </w:pPr>
            <w:r>
              <w:rPr>
                <w:szCs w:val="24"/>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部门本年度实际在职人员数与编制数的比率，用以反映和考核部门对人员成本的控制程度。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在职人员控制率</w:t>
            </w:r>
            <w:r>
              <w:rPr>
                <w:rFonts w:ascii="宋体" w:cs="宋体"/>
                <w:szCs w:val="24"/>
              </w:rPr>
              <w:t>=</w:t>
            </w:r>
            <w:r>
              <w:rPr>
                <w:rFonts w:hint="eastAsia" w:ascii="宋体" w:cs="宋体"/>
                <w:szCs w:val="24"/>
              </w:rPr>
              <w:t>（在职人员数</w:t>
            </w:r>
            <w:r>
              <w:rPr>
                <w:rFonts w:ascii="宋体" w:cs="宋体"/>
                <w:szCs w:val="24"/>
              </w:rPr>
              <w:t>/</w:t>
            </w:r>
            <w:r>
              <w:rPr>
                <w:rFonts w:hint="eastAsia" w:ascii="宋体" w:cs="宋体"/>
                <w:szCs w:val="24"/>
              </w:rPr>
              <w:t>编制数）×</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在职人员数：部门实际在职人数，以财政部确定的部门决算编制口径为准。</w:t>
            </w:r>
            <w:r>
              <w:rPr>
                <w:rFonts w:ascii="宋体" w:cs="宋体"/>
                <w:szCs w:val="24"/>
              </w:rPr>
              <w:br w:type="textWrapping"/>
            </w:r>
            <w:r>
              <w:rPr>
                <w:rFonts w:hint="eastAsia" w:ascii="宋体" w:cs="宋体"/>
                <w:szCs w:val="24"/>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“三公经费”</w:t>
            </w:r>
          </w:p>
          <w:p>
            <w:pPr>
              <w:spacing w:line="240" w:lineRule="exact"/>
              <w:jc w:val="center"/>
              <w:rPr>
                <w:rFonts w:ascii="宋体" w:cs="宋体"/>
                <w:szCs w:val="24"/>
              </w:rPr>
            </w:pPr>
            <w:r>
              <w:rPr>
                <w:rFonts w:hint="eastAsia" w:ascii="宋体" w:cs="宋体"/>
                <w:szCs w:val="24"/>
              </w:rPr>
              <w:t>变动率（</w:t>
            </w:r>
            <w:r>
              <w:rPr>
                <w:rFonts w:ascii="宋体" w:cs="宋体"/>
                <w:szCs w:val="24"/>
              </w:rPr>
              <w:t>5</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ind w:firstLine="328"/>
              <w:jc w:val="left"/>
              <w:rPr>
                <w:szCs w:val="24"/>
              </w:rPr>
            </w:pPr>
            <w:r>
              <w:rPr>
                <w:szCs w:val="24"/>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部门本年度“三公经费”预算数与上年度“三公经费”预算数的变动比率，用以反映和考核部门对控制重点行政成本的努力程度。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“三公经费”变动率</w:t>
            </w:r>
            <w:r>
              <w:rPr>
                <w:rFonts w:ascii="宋体" w:cs="宋体"/>
                <w:szCs w:val="24"/>
              </w:rPr>
              <w:t>=[</w:t>
            </w:r>
            <w:r>
              <w:rPr>
                <w:rFonts w:hint="eastAsia" w:ascii="宋体" w:cs="宋体"/>
                <w:szCs w:val="24"/>
              </w:rPr>
              <w:t>（本年度“三公经费”总额</w:t>
            </w:r>
            <w:r>
              <w:rPr>
                <w:rFonts w:ascii="宋体" w:cs="宋体"/>
                <w:szCs w:val="24"/>
              </w:rPr>
              <w:t>-</w:t>
            </w:r>
            <w:r>
              <w:rPr>
                <w:rFonts w:hint="eastAsia" w:ascii="宋体" w:cs="宋体"/>
                <w:szCs w:val="24"/>
              </w:rPr>
              <w:t>上年度“三公经费”总额）</w:t>
            </w:r>
            <w:r>
              <w:rPr>
                <w:rFonts w:ascii="宋体" w:cs="宋体"/>
                <w:szCs w:val="24"/>
              </w:rPr>
              <w:t>/</w:t>
            </w:r>
            <w:r>
              <w:rPr>
                <w:rFonts w:hint="eastAsia" w:ascii="宋体" w:cs="宋体"/>
                <w:szCs w:val="24"/>
              </w:rPr>
              <w:t>上年度“三公经费”总额</w:t>
            </w:r>
            <w:r>
              <w:rPr>
                <w:rFonts w:ascii="宋体" w:cs="宋体"/>
                <w:szCs w:val="24"/>
              </w:rPr>
              <w:t>]</w:t>
            </w:r>
            <w:r>
              <w:rPr>
                <w:rFonts w:hint="eastAsia" w:ascii="宋体" w:cs="宋体"/>
                <w:szCs w:val="24"/>
              </w:rPr>
              <w:t>×</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重点支出</w:t>
            </w:r>
          </w:p>
          <w:p>
            <w:pPr>
              <w:spacing w:line="240" w:lineRule="exact"/>
              <w:jc w:val="center"/>
              <w:rPr>
                <w:rFonts w:ascii="宋体" w:cs="宋体"/>
                <w:szCs w:val="24"/>
              </w:rPr>
            </w:pPr>
            <w:r>
              <w:rPr>
                <w:rFonts w:hint="eastAsia" w:ascii="宋体" w:cs="宋体"/>
                <w:szCs w:val="24"/>
              </w:rPr>
              <w:t>安排率（</w:t>
            </w:r>
            <w:r>
              <w:rPr>
                <w:rFonts w:ascii="宋体" w:cs="宋体"/>
                <w:szCs w:val="24"/>
              </w:rPr>
              <w:t>5</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rPr>
                <w:szCs w:val="24"/>
              </w:rPr>
            </w:pPr>
          </w:p>
          <w:p>
            <w:pPr>
              <w:ind w:firstLine="211"/>
              <w:jc w:val="left"/>
              <w:rPr>
                <w:szCs w:val="24"/>
              </w:rPr>
            </w:pPr>
            <w:r>
              <w:rPr>
                <w:szCs w:val="24"/>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部门本年度预算安排的重点预算支出与部门预算总支出的比率，用以反映和考核部门对履行主要职责或完成重点任务的保障程度。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重点支出安排率</w:t>
            </w:r>
            <w:r>
              <w:rPr>
                <w:rFonts w:ascii="宋体" w:cs="宋体"/>
                <w:szCs w:val="24"/>
              </w:rPr>
              <w:t>=</w:t>
            </w:r>
            <w:r>
              <w:rPr>
                <w:rFonts w:hint="eastAsia" w:ascii="宋体" w:cs="宋体"/>
                <w:szCs w:val="24"/>
              </w:rPr>
              <w:t>（重点预算支出</w:t>
            </w:r>
            <w:r>
              <w:rPr>
                <w:rFonts w:ascii="宋体" w:cs="宋体"/>
                <w:szCs w:val="24"/>
              </w:rPr>
              <w:t>/</w:t>
            </w:r>
            <w:r>
              <w:rPr>
                <w:rFonts w:hint="eastAsia" w:ascii="宋体" w:cs="宋体"/>
                <w:szCs w:val="24"/>
              </w:rPr>
              <w:t>预算总支出）×</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重点预算支出：部门年度预算安排的，与本部门履职和发展密切相关、具有明显社会和经济影响、党委政府关心或社会比较关注的预算支出支出总额。</w:t>
            </w:r>
            <w:r>
              <w:rPr>
                <w:rFonts w:ascii="宋体" w:cs="宋体"/>
                <w:szCs w:val="24"/>
              </w:rPr>
              <w:br w:type="textWrapping"/>
            </w:r>
            <w:r>
              <w:rPr>
                <w:rFonts w:hint="eastAsia" w:ascii="宋体" w:cs="宋体"/>
                <w:szCs w:val="24"/>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right w:w="10" w:type="dxa"/>
            </w:tcMar>
            <w:textDirection w:val="tbRlV"/>
            <w:vAlign w:val="center"/>
          </w:tcPr>
          <w:p>
            <w:pPr>
              <w:spacing w:line="240" w:lineRule="exact"/>
              <w:jc w:val="center"/>
              <w:rPr>
                <w:rFonts w:ascii="宋体" w:cs="宋体"/>
                <w:szCs w:val="24"/>
              </w:rPr>
            </w:pPr>
            <w:r>
              <w:rPr>
                <w:rFonts w:hint="eastAsia" w:ascii="宋体" w:cs="宋体"/>
                <w:szCs w:val="24"/>
              </w:rPr>
              <w:t>过</w:t>
            </w:r>
            <w:r>
              <w:rPr>
                <w:rFonts w:ascii="宋体" w:cs="宋体"/>
                <w:szCs w:val="24"/>
              </w:rPr>
              <w:t xml:space="preserve">   </w:t>
            </w:r>
            <w:r>
              <w:rPr>
                <w:rFonts w:hint="eastAsia" w:ascii="宋体" w:cs="宋体"/>
                <w:szCs w:val="24"/>
              </w:rPr>
              <w:t>程（</w:t>
            </w:r>
            <w:r>
              <w:rPr>
                <w:rFonts w:ascii="宋体" w:cs="宋体"/>
                <w:szCs w:val="24"/>
              </w:rPr>
              <w:t>30</w:t>
            </w:r>
            <w:r>
              <w:rPr>
                <w:rFonts w:hint="eastAsia" w:ascii="宋体" w:cs="宋体"/>
                <w:szCs w:val="24"/>
              </w:rPr>
              <w:t>分）</w:t>
            </w:r>
          </w:p>
        </w:tc>
        <w:tc>
          <w:tcPr>
            <w:tcW w:w="375" w:type="pct"/>
            <w:vMerge w:val="restar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预算</w:t>
            </w:r>
            <w:r>
              <w:rPr>
                <w:rFonts w:ascii="宋体" w:cs="宋体"/>
                <w:szCs w:val="24"/>
              </w:rPr>
              <w:br w:type="textWrapping"/>
            </w:r>
            <w:r>
              <w:rPr>
                <w:rFonts w:hint="eastAsia" w:ascii="宋体" w:cs="宋体"/>
                <w:szCs w:val="24"/>
              </w:rPr>
              <w:t>执行（</w:t>
            </w:r>
            <w:r>
              <w:rPr>
                <w:rFonts w:ascii="宋体" w:cs="宋体"/>
                <w:szCs w:val="24"/>
              </w:rPr>
              <w:t>20</w:t>
            </w:r>
            <w:r>
              <w:rPr>
                <w:rFonts w:hint="eastAsia" w:ascii="宋体" w:cs="宋体"/>
                <w:szCs w:val="24"/>
              </w:rPr>
              <w:t>分）</w:t>
            </w: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预算</w:t>
            </w:r>
          </w:p>
          <w:p>
            <w:pPr>
              <w:spacing w:line="240" w:lineRule="exact"/>
              <w:jc w:val="center"/>
              <w:rPr>
                <w:rFonts w:ascii="宋体" w:cs="宋体"/>
                <w:szCs w:val="24"/>
              </w:rPr>
            </w:pPr>
            <w:r>
              <w:rPr>
                <w:rFonts w:hint="eastAsia" w:ascii="宋体" w:cs="宋体"/>
                <w:szCs w:val="24"/>
              </w:rPr>
              <w:t>执行率（</w:t>
            </w:r>
            <w:r>
              <w:rPr>
                <w:rFonts w:ascii="宋体" w:cs="宋体"/>
                <w:szCs w:val="24"/>
              </w:rPr>
              <w:t>4</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389"/>
              <w:jc w:val="left"/>
              <w:rPr>
                <w:szCs w:val="24"/>
              </w:rPr>
            </w:pPr>
            <w:r>
              <w:rPr>
                <w:szCs w:val="24"/>
              </w:rPr>
              <w:t>4</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部门本年度预算完成数与预算数的比率，用以反映和考核部门预算完成程度。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预算执行率</w:t>
            </w:r>
            <w:r>
              <w:rPr>
                <w:rFonts w:ascii="宋体" w:cs="宋体"/>
                <w:szCs w:val="24"/>
              </w:rPr>
              <w:t>=</w:t>
            </w:r>
            <w:r>
              <w:rPr>
                <w:rFonts w:hint="eastAsia" w:ascii="宋体" w:cs="宋体"/>
                <w:szCs w:val="24"/>
              </w:rPr>
              <w:t>（预算执行数</w:t>
            </w:r>
            <w:r>
              <w:rPr>
                <w:rFonts w:ascii="宋体" w:cs="宋体"/>
                <w:szCs w:val="24"/>
              </w:rPr>
              <w:t>/</w:t>
            </w:r>
            <w:r>
              <w:rPr>
                <w:rFonts w:hint="eastAsia" w:ascii="宋体" w:cs="宋体"/>
                <w:szCs w:val="24"/>
              </w:rPr>
              <w:t>预算数）×</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预算执行数：部门本年度实际完成的预算数。</w:t>
            </w:r>
            <w:r>
              <w:rPr>
                <w:rFonts w:ascii="宋体" w:cs="宋体"/>
                <w:szCs w:val="24"/>
              </w:rPr>
              <w:br w:type="textWrapping"/>
            </w:r>
            <w:r>
              <w:rPr>
                <w:rFonts w:hint="eastAsia" w:ascii="宋体" w:cs="宋体"/>
                <w:szCs w:val="24"/>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6"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预算</w:t>
            </w:r>
          </w:p>
          <w:p>
            <w:pPr>
              <w:spacing w:line="240" w:lineRule="exact"/>
              <w:jc w:val="center"/>
              <w:rPr>
                <w:rFonts w:ascii="宋体" w:cs="宋体"/>
                <w:szCs w:val="24"/>
              </w:rPr>
            </w:pPr>
            <w:r>
              <w:rPr>
                <w:rFonts w:hint="eastAsia" w:ascii="宋体" w:cs="宋体"/>
                <w:szCs w:val="24"/>
              </w:rPr>
              <w:t>调整率（</w:t>
            </w:r>
            <w:r>
              <w:rPr>
                <w:rFonts w:ascii="宋体" w:cs="宋体"/>
                <w:szCs w:val="24"/>
              </w:rPr>
              <w:t>2</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356"/>
              <w:jc w:val="left"/>
              <w:rPr>
                <w:szCs w:val="24"/>
              </w:rPr>
            </w:pPr>
            <w:r>
              <w:rPr>
                <w:szCs w:val="24"/>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部门本年度预算调整数与预算数的比率，用以反映和考核部门预算的调整程度。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预算调整率</w:t>
            </w:r>
            <w:r>
              <w:rPr>
                <w:rFonts w:ascii="宋体" w:cs="宋体"/>
                <w:szCs w:val="24"/>
              </w:rPr>
              <w:t>=</w:t>
            </w:r>
            <w:r>
              <w:rPr>
                <w:rFonts w:hint="eastAsia" w:ascii="宋体" w:cs="宋体"/>
                <w:szCs w:val="24"/>
              </w:rPr>
              <w:t>（预算调整数</w:t>
            </w:r>
            <w:r>
              <w:rPr>
                <w:rFonts w:ascii="宋体" w:cs="宋体"/>
                <w:szCs w:val="24"/>
              </w:rPr>
              <w:t>/</w:t>
            </w:r>
            <w:r>
              <w:rPr>
                <w:rFonts w:hint="eastAsia" w:ascii="宋体" w:cs="宋体"/>
                <w:szCs w:val="24"/>
              </w:rPr>
              <w:t>预算数）×</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1"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支付</w:t>
            </w:r>
          </w:p>
          <w:p>
            <w:pPr>
              <w:spacing w:line="240" w:lineRule="exact"/>
              <w:jc w:val="center"/>
              <w:rPr>
                <w:rFonts w:ascii="宋体" w:cs="宋体"/>
                <w:szCs w:val="24"/>
              </w:rPr>
            </w:pPr>
            <w:r>
              <w:rPr>
                <w:rFonts w:hint="eastAsia" w:ascii="宋体" w:cs="宋体"/>
                <w:szCs w:val="24"/>
              </w:rPr>
              <w:t>进度率（</w:t>
            </w:r>
            <w:r>
              <w:rPr>
                <w:rFonts w:ascii="宋体" w:cs="宋体"/>
                <w:szCs w:val="24"/>
              </w:rPr>
              <w:t>2</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rPr>
                <w:szCs w:val="24"/>
              </w:rPr>
            </w:pPr>
          </w:p>
          <w:p>
            <w:pPr>
              <w:ind w:firstLine="339"/>
              <w:jc w:val="left"/>
              <w:rPr>
                <w:szCs w:val="24"/>
              </w:rPr>
            </w:pPr>
            <w:r>
              <w:rPr>
                <w:szCs w:val="24"/>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部门实际支付进度与既定支付进度的比率，用以反映和考核部门预算执行的及时性和均衡性程度。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支付进度率</w:t>
            </w:r>
            <w:r>
              <w:rPr>
                <w:rFonts w:ascii="宋体" w:cs="宋体"/>
                <w:szCs w:val="24"/>
              </w:rPr>
              <w:t>=</w:t>
            </w:r>
            <w:r>
              <w:rPr>
                <w:rFonts w:hint="eastAsia" w:ascii="宋体" w:cs="宋体"/>
                <w:szCs w:val="24"/>
              </w:rPr>
              <w:t>（实际支付进度</w:t>
            </w:r>
            <w:r>
              <w:rPr>
                <w:rFonts w:ascii="宋体" w:cs="宋体"/>
                <w:szCs w:val="24"/>
              </w:rPr>
              <w:t>/</w:t>
            </w:r>
            <w:r>
              <w:rPr>
                <w:rFonts w:hint="eastAsia" w:ascii="宋体" w:cs="宋体"/>
                <w:szCs w:val="24"/>
              </w:rPr>
              <w:t>既定支付进度）×</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实际支付进度：部门在某一时点的支出预算执行总数与年度支出预算数的比率。</w:t>
            </w:r>
            <w:r>
              <w:rPr>
                <w:rFonts w:ascii="宋体" w:cs="宋体"/>
                <w:szCs w:val="24"/>
              </w:rPr>
              <w:br w:type="textWrapping"/>
            </w:r>
            <w:r>
              <w:rPr>
                <w:rFonts w:hint="eastAsia" w:ascii="宋体" w:cs="宋体"/>
                <w:szCs w:val="24"/>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307" w:type="pct"/>
            <w:vMerge w:val="continue"/>
            <w:noWrap/>
            <w:tcMar>
              <w:top w:w="10" w:type="dxa"/>
              <w:left w:w="10" w:type="dxa"/>
              <w:right w:w="10" w:type="dxa"/>
            </w:tcMar>
            <w:textDirection w:val="tbRlV"/>
            <w:vAlign w:val="center"/>
          </w:tcPr>
          <w:p/>
        </w:tc>
        <w:tc>
          <w:tcPr>
            <w:tcW w:w="375" w:type="pct"/>
            <w:vMerge w:val="continue"/>
            <w:tcMar>
              <w:top w:w="10" w:type="dxa"/>
              <w:left w:w="10" w:type="dxa"/>
              <w:right w:w="10" w:type="dxa"/>
            </w:tcMar>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结转</w:t>
            </w:r>
          </w:p>
          <w:p>
            <w:pPr>
              <w:spacing w:line="240" w:lineRule="exact"/>
              <w:jc w:val="center"/>
              <w:rPr>
                <w:rFonts w:ascii="宋体" w:cs="宋体"/>
                <w:szCs w:val="24"/>
              </w:rPr>
            </w:pPr>
            <w:r>
              <w:rPr>
                <w:rFonts w:hint="eastAsia" w:ascii="宋体" w:cs="宋体"/>
                <w:szCs w:val="24"/>
              </w:rPr>
              <w:t>结余率（</w:t>
            </w:r>
            <w:r>
              <w:rPr>
                <w:rFonts w:ascii="宋体" w:cs="宋体"/>
                <w:szCs w:val="24"/>
              </w:rPr>
              <w:t>2</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256"/>
              <w:jc w:val="left"/>
              <w:rPr>
                <w:szCs w:val="24"/>
              </w:rPr>
            </w:pPr>
            <w:r>
              <w:rPr>
                <w:szCs w:val="24"/>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部门本年度结转结余总额与支出预算数的比率，用以反映和考核部门对本年度结转结余资金的实际控制程度。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结转结余率</w:t>
            </w:r>
            <w:r>
              <w:rPr>
                <w:rFonts w:ascii="宋体" w:cs="宋体"/>
                <w:szCs w:val="24"/>
              </w:rPr>
              <w:t>=</w:t>
            </w:r>
            <w:r>
              <w:rPr>
                <w:rFonts w:hint="eastAsia" w:ascii="宋体" w:cs="宋体"/>
                <w:szCs w:val="24"/>
              </w:rPr>
              <w:t>结转结余总额</w:t>
            </w:r>
            <w:r>
              <w:rPr>
                <w:rFonts w:ascii="宋体" w:cs="宋体"/>
                <w:szCs w:val="24"/>
              </w:rPr>
              <w:t>/</w:t>
            </w:r>
            <w:r>
              <w:rPr>
                <w:rFonts w:hint="eastAsia" w:ascii="宋体" w:cs="宋体"/>
                <w:szCs w:val="24"/>
              </w:rPr>
              <w:t>支出预算数×</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结转结余</w:t>
            </w:r>
          </w:p>
          <w:p>
            <w:pPr>
              <w:spacing w:line="240" w:lineRule="exact"/>
              <w:jc w:val="center"/>
              <w:rPr>
                <w:rFonts w:ascii="宋体" w:cs="宋体"/>
                <w:szCs w:val="24"/>
              </w:rPr>
            </w:pPr>
            <w:r>
              <w:rPr>
                <w:rFonts w:hint="eastAsia" w:ascii="宋体" w:cs="宋体"/>
                <w:szCs w:val="24"/>
              </w:rPr>
              <w:t>变动率（</w:t>
            </w:r>
            <w:r>
              <w:rPr>
                <w:rFonts w:ascii="宋体" w:cs="宋体"/>
                <w:szCs w:val="24"/>
              </w:rPr>
              <w:t>2</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389"/>
              <w:jc w:val="left"/>
              <w:rPr>
                <w:szCs w:val="24"/>
              </w:rPr>
            </w:pPr>
            <w:r>
              <w:rPr>
                <w:szCs w:val="24"/>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89" w:firstLineChars="46"/>
              <w:rPr>
                <w:rFonts w:ascii="宋体" w:cs="宋体"/>
                <w:spacing w:val="-8"/>
                <w:szCs w:val="24"/>
              </w:rPr>
            </w:pPr>
            <w:r>
              <w:rPr>
                <w:rFonts w:hint="eastAsia" w:ascii="宋体" w:cs="宋体"/>
                <w:spacing w:val="-8"/>
                <w:szCs w:val="24"/>
              </w:rPr>
              <w:t>部门本年度结转结余资金总额与上年度结转结余资金总额的变动比率，用以反映和考核部门对控制结转结余资金的努力程度。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结转结余变动率</w:t>
            </w:r>
            <w:r>
              <w:rPr>
                <w:rFonts w:ascii="宋体" w:cs="宋体"/>
                <w:szCs w:val="24"/>
              </w:rPr>
              <w:t>=[</w:t>
            </w:r>
            <w:r>
              <w:rPr>
                <w:rFonts w:hint="eastAsia" w:ascii="宋体" w:cs="宋体"/>
                <w:szCs w:val="24"/>
              </w:rPr>
              <w:t>（本年度累计结转结余资金总额</w:t>
            </w:r>
            <w:r>
              <w:rPr>
                <w:rFonts w:ascii="宋体" w:cs="宋体"/>
                <w:szCs w:val="24"/>
              </w:rPr>
              <w:t>-</w:t>
            </w:r>
            <w:r>
              <w:rPr>
                <w:rFonts w:hint="eastAsia" w:ascii="宋体" w:cs="宋体"/>
                <w:szCs w:val="24"/>
              </w:rPr>
              <w:t>上年度累计结转结余资金总额）</w:t>
            </w:r>
            <w:r>
              <w:rPr>
                <w:rFonts w:ascii="宋体" w:cs="宋体"/>
                <w:szCs w:val="24"/>
              </w:rPr>
              <w:t>/</w:t>
            </w:r>
            <w:r>
              <w:rPr>
                <w:rFonts w:hint="eastAsia" w:ascii="宋体" w:cs="宋体"/>
                <w:szCs w:val="24"/>
              </w:rPr>
              <w:t>上年度累计结转结余资金总额</w:t>
            </w:r>
            <w:r>
              <w:rPr>
                <w:rFonts w:ascii="宋体" w:cs="宋体"/>
                <w:szCs w:val="24"/>
              </w:rPr>
              <w:t>]</w:t>
            </w:r>
            <w:r>
              <w:rPr>
                <w:rFonts w:hint="eastAsia" w:ascii="宋体" w:cs="宋体"/>
                <w:szCs w:val="24"/>
              </w:rPr>
              <w:t>×</w:t>
            </w:r>
            <w:r>
              <w:rPr>
                <w:rFonts w:ascii="宋体" w:cs="宋体"/>
                <w:szCs w:val="24"/>
              </w:rPr>
              <w:t>100%</w:t>
            </w:r>
            <w:r>
              <w:rPr>
                <w:rFonts w:hint="eastAsia" w:asci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公用经费</w:t>
            </w:r>
          </w:p>
          <w:p>
            <w:pPr>
              <w:spacing w:line="240" w:lineRule="exact"/>
              <w:jc w:val="center"/>
              <w:rPr>
                <w:rFonts w:ascii="宋体" w:cs="宋体"/>
                <w:szCs w:val="24"/>
              </w:rPr>
            </w:pPr>
            <w:r>
              <w:rPr>
                <w:rFonts w:hint="eastAsia" w:ascii="宋体" w:cs="宋体"/>
                <w:szCs w:val="24"/>
              </w:rPr>
              <w:t>控制率（</w:t>
            </w:r>
            <w:r>
              <w:rPr>
                <w:rFonts w:ascii="宋体" w:cs="宋体"/>
                <w:szCs w:val="24"/>
              </w:rPr>
              <w:t>2</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339"/>
              <w:jc w:val="left"/>
              <w:rPr>
                <w:szCs w:val="24"/>
              </w:rPr>
            </w:pPr>
            <w:r>
              <w:rPr>
                <w:szCs w:val="24"/>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部门本年度实际支出的公用经费总额与预算安排的公用经费总额的比率，用以反映和考核部门对机构运转成本的实际控制程度。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公用经费控制率</w:t>
            </w:r>
            <w:r>
              <w:rPr>
                <w:rFonts w:ascii="宋体" w:cs="宋体"/>
                <w:szCs w:val="24"/>
              </w:rPr>
              <w:t>=</w:t>
            </w:r>
            <w:r>
              <w:rPr>
                <w:rFonts w:hint="eastAsia" w:ascii="宋体" w:cs="宋体"/>
                <w:szCs w:val="24"/>
              </w:rPr>
              <w:t>（实际支出公用经费总额</w:t>
            </w:r>
            <w:r>
              <w:rPr>
                <w:rFonts w:ascii="宋体" w:cs="宋体"/>
                <w:szCs w:val="24"/>
              </w:rPr>
              <w:t>/</w:t>
            </w:r>
            <w:r>
              <w:rPr>
                <w:rFonts w:hint="eastAsia" w:ascii="宋体" w:cs="宋体"/>
                <w:szCs w:val="24"/>
              </w:rPr>
              <w:t>预算安排公用经费总额）×</w:t>
            </w:r>
            <w:r>
              <w:rPr>
                <w:rFonts w:ascii="宋体" w:cs="宋体"/>
                <w:szCs w:val="24"/>
              </w:rPr>
              <w:t>100%</w:t>
            </w:r>
            <w:r>
              <w:rPr>
                <w:rFonts w:hint="eastAsia" w:asci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“三公经费”控制率（</w:t>
            </w:r>
            <w:r>
              <w:rPr>
                <w:rFonts w:ascii="宋体" w:cs="宋体"/>
                <w:szCs w:val="24"/>
              </w:rPr>
              <w:t>2</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ind w:firstLine="256"/>
              <w:jc w:val="left"/>
              <w:rPr>
                <w:szCs w:val="24"/>
              </w:rPr>
            </w:pPr>
            <w:r>
              <w:rPr>
                <w:szCs w:val="24"/>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部门本年度“三公经费”实际支出数与预算安排数的比率，用以反映和考核部门对“三公经费”的实际控制程度。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“三公经费”控制率</w:t>
            </w:r>
            <w:r>
              <w:rPr>
                <w:rFonts w:ascii="宋体" w:cs="宋体"/>
                <w:szCs w:val="24"/>
              </w:rPr>
              <w:t>=</w:t>
            </w:r>
            <w:r>
              <w:rPr>
                <w:rFonts w:hint="eastAsia" w:ascii="宋体" w:cs="宋体"/>
                <w:szCs w:val="24"/>
              </w:rPr>
              <w:t>（“三公经费”实际支出数</w:t>
            </w:r>
            <w:r>
              <w:rPr>
                <w:rFonts w:ascii="宋体" w:cs="宋体"/>
                <w:szCs w:val="24"/>
              </w:rPr>
              <w:t>/</w:t>
            </w:r>
            <w:r>
              <w:rPr>
                <w:rFonts w:hint="eastAsia" w:ascii="宋体" w:cs="宋体"/>
                <w:szCs w:val="24"/>
              </w:rPr>
              <w:t>“三公经费”预算安排数）×</w:t>
            </w:r>
            <w:r>
              <w:rPr>
                <w:rFonts w:ascii="宋体" w:cs="宋体"/>
                <w:szCs w:val="24"/>
              </w:rPr>
              <w:t>100%</w:t>
            </w:r>
            <w:r>
              <w:rPr>
                <w:rFonts w:hint="eastAsia" w:asci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政府采购</w:t>
            </w:r>
          </w:p>
          <w:p>
            <w:pPr>
              <w:spacing w:line="240" w:lineRule="exact"/>
              <w:jc w:val="center"/>
              <w:rPr>
                <w:rFonts w:ascii="宋体" w:cs="宋体"/>
                <w:szCs w:val="24"/>
              </w:rPr>
            </w:pPr>
            <w:r>
              <w:rPr>
                <w:rFonts w:hint="eastAsia" w:ascii="宋体" w:cs="宋体"/>
                <w:szCs w:val="24"/>
              </w:rPr>
              <w:t>执行率（</w:t>
            </w:r>
            <w:r>
              <w:rPr>
                <w:rFonts w:ascii="宋体" w:cs="宋体"/>
                <w:szCs w:val="24"/>
              </w:rPr>
              <w:t>4</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339"/>
              <w:jc w:val="left"/>
              <w:rPr>
                <w:szCs w:val="24"/>
              </w:rPr>
            </w:pPr>
            <w:r>
              <w:rPr>
                <w:szCs w:val="24"/>
              </w:rPr>
              <w:t>4</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部门本年度实际政府采购金额与年初政府采购预算的比率，用以反映和考核部门政府采购预算执行情况。</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政府采购执行率</w:t>
            </w:r>
            <w:r>
              <w:rPr>
                <w:rFonts w:ascii="宋体" w:cs="宋体"/>
                <w:szCs w:val="24"/>
              </w:rPr>
              <w:t>=</w:t>
            </w:r>
            <w:r>
              <w:rPr>
                <w:rFonts w:hint="eastAsia" w:ascii="宋体" w:cs="宋体"/>
                <w:szCs w:val="24"/>
              </w:rPr>
              <w:t>（实际政府采购金额</w:t>
            </w:r>
            <w:r>
              <w:rPr>
                <w:rFonts w:ascii="宋体" w:cs="宋体"/>
                <w:szCs w:val="24"/>
              </w:rPr>
              <w:t>/</w:t>
            </w:r>
            <w:r>
              <w:rPr>
                <w:rFonts w:hint="eastAsia" w:ascii="宋体" w:cs="宋体"/>
                <w:szCs w:val="24"/>
              </w:rPr>
              <w:t>政府采购预算数）×</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政府采购预算：采购机关根据事业发展计划和行政任务编制的、并经过规定程序批准的年度政府采购计划。</w:t>
            </w:r>
            <w:r>
              <w:rPr>
                <w:rFonts w:ascii="宋体" w:cs="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9" w:hRule="atLeast"/>
          <w:jc w:val="center"/>
        </w:trPr>
        <w:tc>
          <w:tcPr>
            <w:tcW w:w="307" w:type="pct"/>
            <w:vMerge w:val="restart"/>
            <w:vAlign w:val="center"/>
          </w:tcPr>
          <w:p>
            <w:pPr>
              <w:spacing w:line="240" w:lineRule="exact"/>
              <w:jc w:val="center"/>
              <w:rPr>
                <w:rFonts w:ascii="宋体" w:cs="宋体"/>
                <w:szCs w:val="24"/>
              </w:rPr>
            </w:pPr>
            <w:r>
              <w:rPr>
                <w:rFonts w:hint="eastAsia" w:ascii="宋体" w:cs="宋体"/>
                <w:szCs w:val="24"/>
              </w:rPr>
              <w:t>过</w:t>
            </w:r>
          </w:p>
          <w:p>
            <w:pPr>
              <w:spacing w:line="240" w:lineRule="exact"/>
              <w:jc w:val="center"/>
              <w:rPr>
                <w:rFonts w:ascii="宋体" w:cs="宋体"/>
                <w:szCs w:val="24"/>
              </w:rPr>
            </w:pPr>
            <w:r>
              <w:rPr>
                <w:rFonts w:hint="eastAsia" w:ascii="宋体" w:cs="宋体"/>
                <w:szCs w:val="24"/>
              </w:rPr>
              <w:t>程（</w:t>
            </w:r>
            <w:r>
              <w:rPr>
                <w:rFonts w:ascii="宋体" w:cs="宋体"/>
                <w:szCs w:val="24"/>
              </w:rPr>
              <w:t>30</w:t>
            </w:r>
            <w:r>
              <w:rPr>
                <w:rFonts w:hint="eastAsia" w:ascii="宋体" w:cs="宋体"/>
                <w:szCs w:val="24"/>
              </w:rPr>
              <w:t>分）</w:t>
            </w:r>
          </w:p>
        </w:tc>
        <w:tc>
          <w:tcPr>
            <w:tcW w:w="375" w:type="pct"/>
            <w:vMerge w:val="restar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预算</w:t>
            </w:r>
            <w:r>
              <w:rPr>
                <w:rFonts w:ascii="宋体" w:cs="宋体"/>
                <w:szCs w:val="24"/>
              </w:rPr>
              <w:br w:type="textWrapping"/>
            </w:r>
            <w:r>
              <w:rPr>
                <w:rFonts w:hint="eastAsia" w:ascii="宋体" w:cs="宋体"/>
                <w:szCs w:val="24"/>
              </w:rPr>
              <w:t>管理（</w:t>
            </w:r>
            <w:r>
              <w:rPr>
                <w:rFonts w:ascii="宋体" w:cs="宋体"/>
                <w:szCs w:val="24"/>
              </w:rPr>
              <w:t>5</w:t>
            </w:r>
            <w:r>
              <w:rPr>
                <w:rFonts w:hint="eastAsia" w:ascii="宋体" w:cs="宋体"/>
                <w:szCs w:val="24"/>
              </w:rPr>
              <w:t>分）</w:t>
            </w:r>
          </w:p>
          <w:p>
            <w:pPr>
              <w:spacing w:line="240" w:lineRule="exact"/>
              <w:jc w:val="center"/>
              <w:rPr>
                <w:rFonts w:ascii="宋体" w:cs="宋体"/>
                <w:szCs w:val="24"/>
              </w:rPr>
            </w:pPr>
            <w:r>
              <w:rPr>
                <w:rFonts w:hint="eastAsia" w:ascii="宋体" w:cs="宋体"/>
                <w:szCs w:val="24"/>
              </w:rPr>
              <w:t>）</w:t>
            </w: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管理制度</w:t>
            </w:r>
          </w:p>
          <w:p>
            <w:pPr>
              <w:spacing w:line="240" w:lineRule="exact"/>
              <w:jc w:val="center"/>
              <w:rPr>
                <w:rFonts w:ascii="宋体" w:cs="宋体"/>
                <w:szCs w:val="24"/>
              </w:rPr>
            </w:pPr>
            <w:r>
              <w:rPr>
                <w:rFonts w:hint="eastAsia" w:ascii="宋体" w:cs="宋体"/>
                <w:szCs w:val="24"/>
              </w:rPr>
              <w:t>健全性（</w:t>
            </w:r>
            <w:r>
              <w:rPr>
                <w:rFonts w:ascii="宋体" w:cs="宋体"/>
                <w:szCs w:val="24"/>
              </w:rPr>
              <w:t>2</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ind w:firstLine="378"/>
              <w:jc w:val="left"/>
              <w:rPr>
                <w:szCs w:val="24"/>
              </w:rPr>
            </w:pPr>
            <w:r>
              <w:rPr>
                <w:szCs w:val="24"/>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right w:w="10" w:type="dxa"/>
            </w:tcMar>
            <w:vAlign w:val="center"/>
          </w:tcPr>
          <w:p>
            <w:pPr>
              <w:spacing w:line="220" w:lineRule="exact"/>
              <w:ind w:left="105" w:leftChars="50" w:right="105" w:rightChars="50"/>
              <w:rPr>
                <w:rFonts w:ascii="宋体" w:cs="宋体"/>
                <w:szCs w:val="24"/>
              </w:rPr>
            </w:pPr>
            <w:r>
              <w:rPr>
                <w:rFonts w:hint="eastAsia" w:ascii="宋体" w:cs="宋体"/>
                <w:szCs w:val="24"/>
              </w:rPr>
              <w:t>评价要点：</w:t>
            </w:r>
            <w:r>
              <w:rPr>
                <w:rFonts w:ascii="宋体" w:cs="宋体"/>
                <w:szCs w:val="24"/>
              </w:rPr>
              <w:br w:type="textWrapping"/>
            </w:r>
            <w:r>
              <w:rPr>
                <w:rFonts w:hint="eastAsia" w:ascii="宋体" w:cs="宋体"/>
                <w:szCs w:val="24"/>
              </w:rPr>
              <w:t>①是否已制定或具有预算资金管理办法、内部财务管理制度、会计核算制度等管理制度；</w:t>
            </w:r>
            <w:r>
              <w:rPr>
                <w:rFonts w:ascii="宋体" w:cs="宋体"/>
                <w:szCs w:val="24"/>
              </w:rPr>
              <w:br w:type="textWrapping"/>
            </w:r>
            <w:r>
              <w:rPr>
                <w:rFonts w:hint="eastAsia" w:ascii="宋体" w:cs="宋体"/>
                <w:szCs w:val="24"/>
              </w:rPr>
              <w:t>②相关管理制度是否合法、合规、完整；</w:t>
            </w:r>
            <w:r>
              <w:rPr>
                <w:rFonts w:ascii="宋体" w:cs="宋体"/>
                <w:szCs w:val="24"/>
              </w:rPr>
              <w:br w:type="textWrapping"/>
            </w:r>
            <w:r>
              <w:rPr>
                <w:rFonts w:hint="eastAsia" w:ascii="宋体" w:cs="宋体"/>
                <w:szCs w:val="24"/>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资金使用</w:t>
            </w:r>
          </w:p>
          <w:p>
            <w:pPr>
              <w:spacing w:line="240" w:lineRule="exact"/>
              <w:jc w:val="center"/>
              <w:rPr>
                <w:rFonts w:ascii="宋体" w:cs="宋体"/>
                <w:szCs w:val="24"/>
              </w:rPr>
            </w:pPr>
            <w:r>
              <w:rPr>
                <w:rFonts w:hint="eastAsia" w:ascii="宋体" w:cs="宋体"/>
                <w:szCs w:val="24"/>
              </w:rPr>
              <w:t>合规性（</w:t>
            </w:r>
            <w:r>
              <w:rPr>
                <w:rFonts w:ascii="宋体" w:cs="宋体"/>
                <w:szCs w:val="24"/>
              </w:rPr>
              <w:t>1</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rPr>
                <w:szCs w:val="24"/>
              </w:rPr>
            </w:pPr>
          </w:p>
          <w:p>
            <w:pPr>
              <w:ind w:firstLine="278"/>
              <w:jc w:val="left"/>
              <w:rPr>
                <w:szCs w:val="24"/>
              </w:rPr>
            </w:pPr>
            <w:r>
              <w:rPr>
                <w:szCs w:val="24"/>
              </w:rPr>
              <w:t>1</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部门使用预算资金是否符合相关的预算财务管理制度的规定，用以反映和考核部门预算资金的规范运行情况。</w:t>
            </w:r>
          </w:p>
        </w:tc>
        <w:tc>
          <w:tcPr>
            <w:tcW w:w="1867" w:type="pct"/>
            <w:tcMar>
              <w:top w:w="10" w:type="dxa"/>
              <w:left w:w="10" w:type="dxa"/>
              <w:right w:w="10" w:type="dxa"/>
            </w:tcMar>
            <w:vAlign w:val="center"/>
          </w:tcPr>
          <w:p>
            <w:pPr>
              <w:spacing w:line="220" w:lineRule="exact"/>
              <w:ind w:left="105" w:leftChars="50" w:right="105" w:rightChars="50"/>
              <w:rPr>
                <w:rFonts w:ascii="宋体" w:cs="宋体"/>
                <w:szCs w:val="24"/>
              </w:rPr>
            </w:pPr>
            <w:r>
              <w:rPr>
                <w:rFonts w:hint="eastAsia" w:ascii="宋体" w:cs="宋体"/>
                <w:szCs w:val="24"/>
              </w:rPr>
              <w:t>评价要点：</w:t>
            </w:r>
            <w:r>
              <w:rPr>
                <w:rFonts w:ascii="宋体" w:cs="宋体"/>
                <w:szCs w:val="24"/>
              </w:rPr>
              <w:br w:type="textWrapping"/>
            </w:r>
            <w:r>
              <w:rPr>
                <w:rFonts w:hint="eastAsia" w:ascii="宋体" w:cs="宋体"/>
                <w:szCs w:val="24"/>
              </w:rPr>
              <w:t>①是否符合国家财经法规和财务管理制度规定以及有关预算支出管理办法的规定；</w:t>
            </w:r>
            <w:r>
              <w:rPr>
                <w:rFonts w:ascii="宋体" w:cs="宋体"/>
                <w:szCs w:val="24"/>
              </w:rPr>
              <w:br w:type="textWrapping"/>
            </w:r>
            <w:r>
              <w:rPr>
                <w:rFonts w:hint="eastAsia" w:ascii="宋体" w:cs="宋体"/>
                <w:szCs w:val="24"/>
              </w:rPr>
              <w:t>②资金的拨付是否有完整的审批程序和手续；</w:t>
            </w:r>
            <w:r>
              <w:rPr>
                <w:rFonts w:ascii="宋体" w:cs="宋体"/>
                <w:szCs w:val="24"/>
              </w:rPr>
              <w:br w:type="textWrapping"/>
            </w:r>
            <w:r>
              <w:rPr>
                <w:rFonts w:hint="eastAsia" w:ascii="宋体" w:cs="宋体"/>
                <w:szCs w:val="24"/>
              </w:rPr>
              <w:t>③预算支出的重大开支是否经过评估论证；</w:t>
            </w:r>
            <w:r>
              <w:rPr>
                <w:rFonts w:ascii="宋体" w:cs="宋体"/>
                <w:szCs w:val="24"/>
              </w:rPr>
              <w:br w:type="textWrapping"/>
            </w:r>
            <w:r>
              <w:rPr>
                <w:rFonts w:hint="eastAsia" w:ascii="宋体" w:cs="宋体"/>
                <w:szCs w:val="24"/>
              </w:rPr>
              <w:t>④是否符合部门预算批复的用途；</w:t>
            </w:r>
            <w:r>
              <w:rPr>
                <w:rFonts w:ascii="宋体" w:cs="宋体"/>
                <w:szCs w:val="24"/>
              </w:rPr>
              <w:br w:type="textWrapping"/>
            </w:r>
            <w:r>
              <w:rPr>
                <w:rFonts w:hint="eastAsia" w:ascii="宋体" w:cs="宋体"/>
                <w:szCs w:val="24"/>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预决算信</w:t>
            </w:r>
          </w:p>
          <w:p>
            <w:pPr>
              <w:spacing w:line="240" w:lineRule="exact"/>
              <w:jc w:val="center"/>
              <w:rPr>
                <w:rFonts w:ascii="宋体" w:cs="宋体"/>
                <w:szCs w:val="24"/>
              </w:rPr>
            </w:pPr>
            <w:r>
              <w:rPr>
                <w:rFonts w:hint="eastAsia" w:ascii="宋体" w:cs="宋体"/>
                <w:szCs w:val="24"/>
              </w:rPr>
              <w:t>息公开性（</w:t>
            </w:r>
            <w:r>
              <w:rPr>
                <w:rFonts w:ascii="宋体" w:cs="宋体"/>
                <w:szCs w:val="24"/>
              </w:rPr>
              <w:t>1</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261"/>
              <w:jc w:val="left"/>
              <w:rPr>
                <w:szCs w:val="24"/>
              </w:rPr>
            </w:pPr>
            <w:r>
              <w:rPr>
                <w:szCs w:val="24"/>
              </w:rPr>
              <w:t>1</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部门是否按照政府信息公开有关规定公开相关预决算信息，用以反映和考核部门预决算管理的公开透明情况。</w:t>
            </w:r>
          </w:p>
        </w:tc>
        <w:tc>
          <w:tcPr>
            <w:tcW w:w="1867" w:type="pct"/>
            <w:tcMar>
              <w:top w:w="10" w:type="dxa"/>
              <w:left w:w="10" w:type="dxa"/>
              <w:right w:w="10" w:type="dxa"/>
            </w:tcMar>
            <w:vAlign w:val="center"/>
          </w:tcPr>
          <w:p>
            <w:pPr>
              <w:spacing w:line="220" w:lineRule="exact"/>
              <w:ind w:left="105" w:leftChars="50" w:right="105" w:rightChars="50"/>
              <w:rPr>
                <w:rFonts w:ascii="宋体" w:cs="宋体"/>
                <w:szCs w:val="24"/>
              </w:rPr>
            </w:pPr>
            <w:r>
              <w:rPr>
                <w:rFonts w:hint="eastAsia" w:ascii="宋体" w:cs="宋体"/>
                <w:szCs w:val="24"/>
              </w:rPr>
              <w:t>评价要点：</w:t>
            </w:r>
            <w:r>
              <w:rPr>
                <w:rFonts w:ascii="宋体" w:cs="宋体"/>
                <w:szCs w:val="24"/>
              </w:rPr>
              <w:br w:type="textWrapping"/>
            </w:r>
            <w:r>
              <w:rPr>
                <w:rFonts w:hint="eastAsia" w:ascii="宋体" w:cs="宋体"/>
                <w:szCs w:val="24"/>
              </w:rPr>
              <w:t>①是否按规定内容公开预决算信息；</w:t>
            </w:r>
            <w:r>
              <w:rPr>
                <w:rFonts w:ascii="宋体" w:cs="宋体"/>
                <w:szCs w:val="24"/>
              </w:rPr>
              <w:br w:type="textWrapping"/>
            </w:r>
            <w:r>
              <w:rPr>
                <w:rFonts w:hint="eastAsia" w:ascii="宋体" w:cs="宋体"/>
                <w:szCs w:val="24"/>
              </w:rPr>
              <w:t>②是否按规定时限公开预决算信息。</w:t>
            </w:r>
            <w:r>
              <w:rPr>
                <w:rFonts w:ascii="宋体" w:cs="宋体"/>
                <w:szCs w:val="24"/>
              </w:rPr>
              <w:br w:type="textWrapping"/>
            </w:r>
            <w:r>
              <w:rPr>
                <w:rFonts w:hint="eastAsia" w:ascii="宋体" w:cs="宋体"/>
                <w:szCs w:val="24"/>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基础信息</w:t>
            </w:r>
          </w:p>
          <w:p>
            <w:pPr>
              <w:spacing w:line="240" w:lineRule="exact"/>
              <w:jc w:val="center"/>
              <w:rPr>
                <w:rFonts w:ascii="宋体" w:cs="宋体"/>
                <w:szCs w:val="24"/>
              </w:rPr>
            </w:pPr>
            <w:r>
              <w:rPr>
                <w:rFonts w:hint="eastAsia" w:ascii="宋体" w:cs="宋体"/>
                <w:szCs w:val="24"/>
              </w:rPr>
              <w:t>完善性（</w:t>
            </w:r>
            <w:r>
              <w:rPr>
                <w:rFonts w:ascii="宋体" w:cs="宋体"/>
                <w:szCs w:val="24"/>
              </w:rPr>
              <w:t>1</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ind w:firstLine="245"/>
              <w:jc w:val="left"/>
              <w:rPr>
                <w:szCs w:val="24"/>
              </w:rPr>
            </w:pPr>
            <w:r>
              <w:rPr>
                <w:szCs w:val="24"/>
              </w:rPr>
              <w:t>1</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部门基础信息是否完善，用以反映和考核基础信息对预算管理工作的支撑情况。</w:t>
            </w:r>
          </w:p>
        </w:tc>
        <w:tc>
          <w:tcPr>
            <w:tcW w:w="1867" w:type="pct"/>
            <w:tcMar>
              <w:top w:w="10" w:type="dxa"/>
              <w:left w:w="10" w:type="dxa"/>
              <w:right w:w="10" w:type="dxa"/>
            </w:tcMar>
            <w:vAlign w:val="center"/>
          </w:tcPr>
          <w:p>
            <w:pPr>
              <w:spacing w:line="220" w:lineRule="exact"/>
              <w:ind w:left="105" w:leftChars="50" w:right="105" w:rightChars="50"/>
              <w:rPr>
                <w:rFonts w:ascii="宋体" w:cs="宋体"/>
                <w:szCs w:val="24"/>
              </w:rPr>
            </w:pPr>
            <w:r>
              <w:rPr>
                <w:rFonts w:hint="eastAsia" w:ascii="宋体" w:cs="宋体"/>
                <w:szCs w:val="24"/>
              </w:rPr>
              <w:t>评价要点：</w:t>
            </w:r>
            <w:r>
              <w:rPr>
                <w:rFonts w:ascii="宋体" w:cs="宋体"/>
                <w:szCs w:val="24"/>
              </w:rPr>
              <w:br w:type="textWrapping"/>
            </w:r>
            <w:r>
              <w:rPr>
                <w:rFonts w:hint="eastAsia" w:ascii="宋体" w:cs="宋体"/>
                <w:szCs w:val="24"/>
              </w:rPr>
              <w:t>①基础数据信息和会计信息资料是否真实；</w:t>
            </w:r>
            <w:r>
              <w:rPr>
                <w:rFonts w:ascii="宋体" w:cs="宋体"/>
                <w:szCs w:val="24"/>
              </w:rPr>
              <w:br w:type="textWrapping"/>
            </w:r>
            <w:r>
              <w:rPr>
                <w:rFonts w:hint="eastAsia" w:ascii="宋体" w:cs="宋体"/>
                <w:szCs w:val="24"/>
              </w:rPr>
              <w:t>②基础数据信息和会计信息资料是否完整；</w:t>
            </w:r>
            <w:r>
              <w:rPr>
                <w:rFonts w:ascii="宋体" w:cs="宋体"/>
                <w:szCs w:val="24"/>
              </w:rPr>
              <w:br w:type="textWrapping"/>
            </w:r>
            <w:r>
              <w:rPr>
                <w:rFonts w:hint="eastAsia" w:ascii="宋体" w:cs="宋体"/>
                <w:szCs w:val="24"/>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right w:w="10" w:type="dxa"/>
            </w:tcMar>
            <w:textDirection w:val="tbRlV"/>
            <w:vAlign w:val="center"/>
          </w:tcPr>
          <w:p/>
        </w:tc>
        <w:tc>
          <w:tcPr>
            <w:tcW w:w="375" w:type="pct"/>
            <w:vMerge w:val="restar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资产</w:t>
            </w:r>
            <w:r>
              <w:rPr>
                <w:rFonts w:ascii="宋体" w:cs="宋体"/>
                <w:szCs w:val="24"/>
              </w:rPr>
              <w:br w:type="textWrapping"/>
            </w:r>
            <w:r>
              <w:rPr>
                <w:rFonts w:hint="eastAsia" w:ascii="宋体" w:cs="宋体"/>
                <w:szCs w:val="24"/>
              </w:rPr>
              <w:t>管理（</w:t>
            </w:r>
            <w:r>
              <w:rPr>
                <w:rFonts w:ascii="宋体" w:cs="宋体"/>
                <w:szCs w:val="24"/>
              </w:rPr>
              <w:t>5</w:t>
            </w:r>
            <w:r>
              <w:rPr>
                <w:rFonts w:hint="eastAsia" w:ascii="宋体" w:cs="宋体"/>
                <w:szCs w:val="24"/>
              </w:rPr>
              <w:t>分）</w:t>
            </w: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管理制度</w:t>
            </w:r>
          </w:p>
          <w:p>
            <w:pPr>
              <w:spacing w:line="240" w:lineRule="exact"/>
              <w:jc w:val="center"/>
              <w:rPr>
                <w:rFonts w:ascii="宋体" w:cs="宋体"/>
                <w:szCs w:val="24"/>
              </w:rPr>
            </w:pPr>
            <w:r>
              <w:rPr>
                <w:rFonts w:hint="eastAsia" w:ascii="宋体" w:cs="宋体"/>
                <w:szCs w:val="24"/>
              </w:rPr>
              <w:t>健全性（</w:t>
            </w:r>
            <w:r>
              <w:rPr>
                <w:rFonts w:ascii="宋体" w:cs="宋体"/>
                <w:szCs w:val="24"/>
              </w:rPr>
              <w:t>2</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261"/>
              <w:jc w:val="left"/>
              <w:rPr>
                <w:szCs w:val="24"/>
              </w:rPr>
            </w:pPr>
            <w:r>
              <w:rPr>
                <w:szCs w:val="24"/>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right w:w="10" w:type="dxa"/>
            </w:tcMar>
            <w:vAlign w:val="center"/>
          </w:tcPr>
          <w:p>
            <w:pPr>
              <w:spacing w:line="220" w:lineRule="exact"/>
              <w:ind w:left="105" w:leftChars="50" w:right="105" w:rightChars="50"/>
              <w:rPr>
                <w:rFonts w:ascii="宋体" w:cs="宋体"/>
                <w:szCs w:val="24"/>
              </w:rPr>
            </w:pPr>
            <w:r>
              <w:rPr>
                <w:rFonts w:hint="eastAsia" w:ascii="宋体" w:cs="宋体"/>
                <w:szCs w:val="24"/>
              </w:rPr>
              <w:t>评价要点：</w:t>
            </w:r>
            <w:r>
              <w:rPr>
                <w:rFonts w:ascii="宋体" w:cs="宋体"/>
                <w:szCs w:val="24"/>
              </w:rPr>
              <w:br w:type="textWrapping"/>
            </w:r>
            <w:r>
              <w:rPr>
                <w:rFonts w:hint="eastAsia" w:ascii="宋体" w:cs="宋体"/>
                <w:szCs w:val="24"/>
              </w:rPr>
              <w:t>①是否已制定或具有资产管理制度；</w:t>
            </w:r>
            <w:r>
              <w:rPr>
                <w:rFonts w:ascii="宋体" w:cs="宋体"/>
                <w:szCs w:val="24"/>
              </w:rPr>
              <w:t xml:space="preserve">           </w:t>
            </w:r>
            <w:r>
              <w:rPr>
                <w:rFonts w:hint="eastAsia" w:ascii="宋体" w:cs="宋体"/>
                <w:szCs w:val="24"/>
              </w:rPr>
              <w:t>②相关资金管理制度是否合法、合规、完整；</w:t>
            </w:r>
            <w:r>
              <w:rPr>
                <w:rFonts w:ascii="宋体" w:cs="宋体"/>
                <w:szCs w:val="24"/>
              </w:rPr>
              <w:br w:type="textWrapping"/>
            </w:r>
            <w:r>
              <w:rPr>
                <w:rFonts w:hint="eastAsia" w:ascii="宋体" w:cs="宋体"/>
                <w:szCs w:val="24"/>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资产管理</w:t>
            </w:r>
          </w:p>
          <w:p>
            <w:pPr>
              <w:spacing w:line="240" w:lineRule="exact"/>
              <w:jc w:val="center"/>
              <w:rPr>
                <w:rFonts w:ascii="宋体" w:cs="宋体"/>
                <w:szCs w:val="24"/>
              </w:rPr>
            </w:pPr>
            <w:r>
              <w:rPr>
                <w:rFonts w:hint="eastAsia" w:ascii="宋体" w:cs="宋体"/>
                <w:szCs w:val="24"/>
              </w:rPr>
              <w:t>安全性（</w:t>
            </w:r>
            <w:r>
              <w:rPr>
                <w:rFonts w:ascii="宋体" w:cs="宋体"/>
                <w:szCs w:val="24"/>
              </w:rPr>
              <w:t>2</w:t>
            </w:r>
            <w:r>
              <w:rPr>
                <w:rFonts w:hint="eastAsia" w:ascii="宋体" w:cs="宋体"/>
                <w:szCs w:val="24"/>
              </w:rPr>
              <w:t>分）</w:t>
            </w:r>
          </w:p>
        </w:tc>
        <w:tc>
          <w:tcPr>
            <w:tcW w:w="375" w:type="pct"/>
          </w:tcPr>
          <w:p>
            <w:pPr>
              <w:tabs>
                <w:tab w:val="left" w:pos="761"/>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ind w:firstLine="528"/>
              <w:jc w:val="left"/>
              <w:rPr>
                <w:szCs w:val="24"/>
              </w:rPr>
            </w:pPr>
            <w:r>
              <w:rPr>
                <w:szCs w:val="24"/>
              </w:rPr>
              <w:t>2</w:t>
            </w:r>
          </w:p>
        </w:tc>
        <w:tc>
          <w:tcPr>
            <w:tcW w:w="1576" w:type="pct"/>
            <w:tcMar>
              <w:top w:w="10" w:type="dxa"/>
              <w:left w:w="1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部门的资产是否保存完整、使用合规、配置合理、处置规范、收入及时足额上缴，用以反映和考核部门资产安全运行情况。</w:t>
            </w:r>
          </w:p>
        </w:tc>
        <w:tc>
          <w:tcPr>
            <w:tcW w:w="1867" w:type="pct"/>
            <w:tcMar>
              <w:top w:w="10" w:type="dxa"/>
              <w:left w:w="10" w:type="dxa"/>
              <w:right w:w="10" w:type="dxa"/>
            </w:tcMar>
            <w:vAlign w:val="center"/>
          </w:tcPr>
          <w:p>
            <w:pPr>
              <w:spacing w:line="220" w:lineRule="exact"/>
              <w:ind w:left="105" w:leftChars="50" w:right="105" w:rightChars="50"/>
              <w:rPr>
                <w:rFonts w:ascii="宋体" w:cs="宋体"/>
                <w:szCs w:val="24"/>
              </w:rPr>
            </w:pPr>
            <w:r>
              <w:rPr>
                <w:rFonts w:hint="eastAsia" w:ascii="宋体" w:cs="宋体"/>
                <w:szCs w:val="24"/>
              </w:rPr>
              <w:t>评价要点：</w:t>
            </w:r>
            <w:r>
              <w:rPr>
                <w:rFonts w:ascii="宋体" w:cs="宋体"/>
                <w:szCs w:val="24"/>
              </w:rPr>
              <w:br w:type="textWrapping"/>
            </w:r>
            <w:r>
              <w:rPr>
                <w:rFonts w:hint="eastAsia" w:ascii="宋体" w:cs="宋体"/>
                <w:szCs w:val="24"/>
              </w:rPr>
              <w:t>①资产保存是否完整；</w:t>
            </w:r>
            <w:r>
              <w:rPr>
                <w:rFonts w:ascii="宋体" w:cs="宋体"/>
                <w:szCs w:val="24"/>
              </w:rPr>
              <w:br w:type="textWrapping"/>
            </w:r>
            <w:r>
              <w:rPr>
                <w:rFonts w:hint="eastAsia" w:ascii="宋体" w:cs="宋体"/>
                <w:szCs w:val="24"/>
              </w:rPr>
              <w:t>②资产配置是否合理；</w:t>
            </w:r>
            <w:r>
              <w:rPr>
                <w:rFonts w:ascii="宋体" w:cs="宋体"/>
                <w:szCs w:val="24"/>
              </w:rPr>
              <w:br w:type="textWrapping"/>
            </w:r>
            <w:r>
              <w:rPr>
                <w:rFonts w:hint="eastAsia" w:ascii="宋体" w:cs="宋体"/>
                <w:szCs w:val="24"/>
              </w:rPr>
              <w:t>③资产处置是否规范；</w:t>
            </w:r>
            <w:r>
              <w:rPr>
                <w:rFonts w:ascii="宋体" w:cs="宋体"/>
                <w:szCs w:val="24"/>
              </w:rPr>
              <w:br w:type="textWrapping"/>
            </w:r>
            <w:r>
              <w:rPr>
                <w:rFonts w:hint="eastAsia" w:ascii="宋体" w:cs="宋体"/>
                <w:szCs w:val="24"/>
              </w:rPr>
              <w:t>④资产账务管理是否合规，是否帐实相符；</w:t>
            </w:r>
            <w:r>
              <w:rPr>
                <w:rFonts w:ascii="宋体" w:cs="宋体"/>
                <w:szCs w:val="24"/>
              </w:rPr>
              <w:br w:type="textWrapping"/>
            </w:r>
            <w:r>
              <w:rPr>
                <w:rFonts w:hint="eastAsia" w:ascii="宋体" w:cs="宋体"/>
                <w:szCs w:val="24"/>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固定资产</w:t>
            </w:r>
          </w:p>
          <w:p>
            <w:pPr>
              <w:spacing w:line="240" w:lineRule="exact"/>
              <w:jc w:val="center"/>
              <w:rPr>
                <w:rFonts w:ascii="宋体" w:cs="宋体"/>
                <w:szCs w:val="24"/>
              </w:rPr>
            </w:pPr>
            <w:r>
              <w:rPr>
                <w:rFonts w:hint="eastAsia" w:ascii="宋体" w:cs="宋体"/>
                <w:szCs w:val="24"/>
              </w:rPr>
              <w:t>利用率（</w:t>
            </w:r>
            <w:r>
              <w:rPr>
                <w:rFonts w:ascii="宋体" w:cs="宋体"/>
                <w:szCs w:val="24"/>
              </w:rPr>
              <w:t>1</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ind w:firstLine="361"/>
              <w:jc w:val="left"/>
              <w:rPr>
                <w:szCs w:val="24"/>
              </w:rPr>
            </w:pPr>
            <w:r>
              <w:rPr>
                <w:szCs w:val="24"/>
              </w:rPr>
              <w:t>1</w:t>
            </w:r>
          </w:p>
        </w:tc>
        <w:tc>
          <w:tcPr>
            <w:tcW w:w="1576" w:type="pct"/>
            <w:tcMar>
              <w:top w:w="10" w:type="dxa"/>
              <w:left w:w="10" w:type="dxa"/>
              <w:right w:w="10" w:type="dxa"/>
            </w:tcMar>
            <w:vAlign w:val="center"/>
          </w:tcPr>
          <w:p>
            <w:pPr>
              <w:tabs>
                <w:tab w:val="left" w:pos="2604"/>
              </w:tabs>
              <w:spacing w:line="220" w:lineRule="exact"/>
              <w:ind w:left="105" w:leftChars="50" w:right="105" w:rightChars="50" w:firstLine="96" w:firstLineChars="46"/>
              <w:rPr>
                <w:rFonts w:ascii="宋体" w:cs="宋体"/>
                <w:szCs w:val="24"/>
              </w:rPr>
            </w:pPr>
            <w:r>
              <w:rPr>
                <w:rFonts w:hint="eastAsia" w:ascii="宋体" w:cs="宋体"/>
                <w:szCs w:val="24"/>
              </w:rPr>
              <w:t>部门实际在用固定资产总额与所有固定资产总额的比率，用以反映和考核部门固定资产使用效率程度。</w:t>
            </w:r>
          </w:p>
        </w:tc>
        <w:tc>
          <w:tcPr>
            <w:tcW w:w="1867" w:type="pct"/>
            <w:tcMar>
              <w:top w:w="10" w:type="dxa"/>
              <w:left w:w="10" w:type="dxa"/>
              <w:right w:w="10" w:type="dxa"/>
            </w:tcMar>
            <w:vAlign w:val="center"/>
          </w:tcPr>
          <w:p>
            <w:pPr>
              <w:spacing w:line="220" w:lineRule="exact"/>
              <w:ind w:left="105" w:leftChars="50" w:right="105" w:rightChars="50"/>
              <w:rPr>
                <w:rFonts w:ascii="宋体" w:cs="宋体"/>
                <w:szCs w:val="24"/>
              </w:rPr>
            </w:pPr>
            <w:r>
              <w:rPr>
                <w:rFonts w:hint="eastAsia" w:ascii="宋体" w:cs="宋体"/>
                <w:szCs w:val="24"/>
              </w:rPr>
              <w:t>固定资产利用率</w:t>
            </w:r>
            <w:r>
              <w:rPr>
                <w:rFonts w:ascii="宋体" w:cs="宋体"/>
                <w:szCs w:val="24"/>
              </w:rPr>
              <w:t>=</w:t>
            </w:r>
            <w:r>
              <w:rPr>
                <w:rFonts w:hint="eastAsia" w:ascii="宋体" w:cs="宋体"/>
                <w:szCs w:val="24"/>
              </w:rPr>
              <w:t>（实际在用固定资产总额</w:t>
            </w:r>
            <w:r>
              <w:rPr>
                <w:rFonts w:ascii="宋体" w:cs="宋体"/>
                <w:szCs w:val="24"/>
              </w:rPr>
              <w:t>/</w:t>
            </w:r>
            <w:r>
              <w:rPr>
                <w:rFonts w:hint="eastAsia" w:ascii="宋体" w:cs="宋体"/>
                <w:szCs w:val="24"/>
              </w:rPr>
              <w:t>所有固定资产总额）×</w:t>
            </w:r>
            <w:r>
              <w:rPr>
                <w:rFonts w:ascii="宋体" w:cs="宋体"/>
                <w:szCs w:val="24"/>
              </w:rPr>
              <w:t>100%</w:t>
            </w:r>
            <w:r>
              <w:rPr>
                <w:rFonts w:hint="eastAsia" w:asci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right w:w="10" w:type="dxa"/>
            </w:tcMar>
            <w:textDirection w:val="tbRlV"/>
            <w:vAlign w:val="center"/>
          </w:tcPr>
          <w:p>
            <w:pPr>
              <w:spacing w:line="240" w:lineRule="exact"/>
              <w:jc w:val="center"/>
              <w:rPr>
                <w:rFonts w:ascii="宋体" w:cs="宋体"/>
                <w:szCs w:val="24"/>
              </w:rPr>
            </w:pPr>
            <w:r>
              <w:rPr>
                <w:rFonts w:hint="eastAsia" w:ascii="宋体" w:cs="宋体"/>
                <w:szCs w:val="24"/>
              </w:rPr>
              <w:t>产</w:t>
            </w:r>
            <w:r>
              <w:rPr>
                <w:rFonts w:ascii="宋体" w:cs="宋体"/>
                <w:szCs w:val="24"/>
              </w:rPr>
              <w:t xml:space="preserve">   </w:t>
            </w:r>
            <w:r>
              <w:rPr>
                <w:rFonts w:hint="eastAsia" w:ascii="宋体" w:cs="宋体"/>
                <w:szCs w:val="24"/>
              </w:rPr>
              <w:t>出（</w:t>
            </w:r>
            <w:r>
              <w:rPr>
                <w:rFonts w:ascii="宋体" w:cs="宋体"/>
                <w:szCs w:val="24"/>
              </w:rPr>
              <w:t>30</w:t>
            </w:r>
            <w:r>
              <w:rPr>
                <w:rFonts w:hint="eastAsia" w:ascii="宋体" w:cs="宋体"/>
                <w:szCs w:val="24"/>
              </w:rPr>
              <w:t>分）</w:t>
            </w:r>
          </w:p>
        </w:tc>
        <w:tc>
          <w:tcPr>
            <w:tcW w:w="375" w:type="pct"/>
            <w:vMerge w:val="restar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职责</w:t>
            </w:r>
            <w:r>
              <w:rPr>
                <w:rFonts w:ascii="宋体" w:cs="宋体"/>
                <w:szCs w:val="24"/>
              </w:rPr>
              <w:br w:type="textWrapping"/>
            </w:r>
            <w:r>
              <w:rPr>
                <w:rFonts w:hint="eastAsia" w:ascii="宋体" w:cs="宋体"/>
                <w:szCs w:val="24"/>
              </w:rPr>
              <w:t>履行（</w:t>
            </w:r>
            <w:r>
              <w:rPr>
                <w:rFonts w:ascii="宋体" w:cs="宋体"/>
                <w:szCs w:val="24"/>
              </w:rPr>
              <w:t>30</w:t>
            </w:r>
            <w:r>
              <w:rPr>
                <w:rFonts w:hint="eastAsia" w:ascii="宋体" w:cs="宋体"/>
                <w:szCs w:val="24"/>
              </w:rPr>
              <w:t>分）</w:t>
            </w: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实际</w:t>
            </w:r>
          </w:p>
          <w:p>
            <w:pPr>
              <w:spacing w:line="240" w:lineRule="exact"/>
              <w:jc w:val="center"/>
              <w:rPr>
                <w:rFonts w:ascii="宋体" w:cs="宋体"/>
                <w:szCs w:val="24"/>
              </w:rPr>
            </w:pPr>
            <w:r>
              <w:rPr>
                <w:rFonts w:hint="eastAsia" w:ascii="宋体" w:cs="宋体"/>
                <w:szCs w:val="24"/>
              </w:rPr>
              <w:t>完成率（</w:t>
            </w:r>
            <w:r>
              <w:rPr>
                <w:rFonts w:ascii="宋体" w:cs="宋体"/>
                <w:szCs w:val="24"/>
              </w:rPr>
              <w:t>8</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rPr>
                <w:szCs w:val="24"/>
              </w:rPr>
            </w:pPr>
          </w:p>
          <w:p>
            <w:pPr>
              <w:ind w:firstLine="306"/>
              <w:jc w:val="left"/>
              <w:rPr>
                <w:szCs w:val="24"/>
              </w:rPr>
            </w:pPr>
            <w:r>
              <w:rPr>
                <w:szCs w:val="24"/>
              </w:rPr>
              <w:t>7</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部门履行职责而实际完成工作数与计划工作数的比率，用以反映和考核部门履职工作任务目标的实现程度。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实际完成率</w:t>
            </w:r>
            <w:r>
              <w:rPr>
                <w:rFonts w:ascii="宋体" w:cs="宋体"/>
                <w:szCs w:val="24"/>
              </w:rPr>
              <w:t>=</w:t>
            </w:r>
            <w:r>
              <w:rPr>
                <w:rFonts w:hint="eastAsia" w:ascii="宋体" w:cs="宋体"/>
                <w:szCs w:val="24"/>
              </w:rPr>
              <w:t>（实际完成工作数</w:t>
            </w:r>
            <w:r>
              <w:rPr>
                <w:rFonts w:ascii="宋体" w:cs="宋体"/>
                <w:szCs w:val="24"/>
              </w:rPr>
              <w:t>/</w:t>
            </w:r>
            <w:r>
              <w:rPr>
                <w:rFonts w:hint="eastAsia" w:ascii="宋体" w:cs="宋体"/>
                <w:szCs w:val="24"/>
              </w:rPr>
              <w:t>计划工作数）×</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实际完成工作数：一定时期（年度或规划期）内部门实际完成工作任务的数量。</w:t>
            </w:r>
            <w:r>
              <w:rPr>
                <w:rFonts w:ascii="宋体" w:cs="宋体"/>
                <w:szCs w:val="24"/>
              </w:rPr>
              <w:br w:type="textWrapping"/>
            </w:r>
            <w:r>
              <w:rPr>
                <w:rFonts w:hint="eastAsia" w:ascii="宋体" w:cs="宋体"/>
                <w:szCs w:val="24"/>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完成</w:t>
            </w:r>
          </w:p>
          <w:p>
            <w:pPr>
              <w:spacing w:line="240" w:lineRule="exact"/>
              <w:jc w:val="center"/>
              <w:rPr>
                <w:rFonts w:ascii="宋体" w:cs="宋体"/>
                <w:szCs w:val="24"/>
              </w:rPr>
            </w:pPr>
            <w:r>
              <w:rPr>
                <w:rFonts w:hint="eastAsia" w:ascii="宋体" w:cs="宋体"/>
                <w:szCs w:val="24"/>
              </w:rPr>
              <w:t>及时率（</w:t>
            </w:r>
            <w:r>
              <w:rPr>
                <w:rFonts w:ascii="宋体" w:cs="宋体"/>
                <w:szCs w:val="24"/>
              </w:rPr>
              <w:t>4</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372"/>
              <w:jc w:val="left"/>
              <w:rPr>
                <w:szCs w:val="24"/>
              </w:rPr>
            </w:pPr>
            <w:r>
              <w:rPr>
                <w:szCs w:val="24"/>
              </w:rPr>
              <w:t>3</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部门在规定时限内及时完成的实际工作数与计划工作数的比率</w:t>
            </w:r>
            <w:r>
              <w:rPr>
                <w:rFonts w:ascii="宋体" w:cs="宋体"/>
                <w:szCs w:val="24"/>
              </w:rPr>
              <w:t>,</w:t>
            </w:r>
            <w:r>
              <w:rPr>
                <w:rFonts w:hint="eastAsia" w:ascii="宋体" w:cs="宋体"/>
                <w:szCs w:val="24"/>
              </w:rPr>
              <w:t>用以反映和考核部门履职时效目标的实现程度。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完成及时率</w:t>
            </w:r>
            <w:r>
              <w:rPr>
                <w:rFonts w:ascii="宋体" w:cs="宋体"/>
                <w:szCs w:val="24"/>
              </w:rPr>
              <w:t>=</w:t>
            </w:r>
            <w:r>
              <w:rPr>
                <w:rFonts w:hint="eastAsia" w:ascii="宋体" w:cs="宋体"/>
                <w:szCs w:val="24"/>
              </w:rPr>
              <w:t>（及时完成实际工作数</w:t>
            </w:r>
            <w:r>
              <w:rPr>
                <w:rFonts w:ascii="宋体" w:cs="宋体"/>
                <w:szCs w:val="24"/>
              </w:rPr>
              <w:t>/</w:t>
            </w:r>
            <w:r>
              <w:rPr>
                <w:rFonts w:hint="eastAsia" w:ascii="宋体" w:cs="宋体"/>
                <w:szCs w:val="24"/>
              </w:rPr>
              <w:t>计划工作数）×</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质量</w:t>
            </w:r>
          </w:p>
          <w:p>
            <w:pPr>
              <w:spacing w:line="240" w:lineRule="exact"/>
              <w:jc w:val="center"/>
              <w:rPr>
                <w:rFonts w:ascii="宋体" w:cs="宋体"/>
                <w:szCs w:val="24"/>
              </w:rPr>
            </w:pPr>
            <w:r>
              <w:rPr>
                <w:rFonts w:hint="eastAsia" w:ascii="宋体" w:cs="宋体"/>
                <w:szCs w:val="24"/>
              </w:rPr>
              <w:t>达标率（</w:t>
            </w:r>
            <w:r>
              <w:rPr>
                <w:rFonts w:ascii="宋体" w:cs="宋体"/>
                <w:szCs w:val="24"/>
              </w:rPr>
              <w:t>8</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272"/>
              <w:jc w:val="left"/>
              <w:rPr>
                <w:szCs w:val="24"/>
              </w:rPr>
            </w:pPr>
            <w:r>
              <w:rPr>
                <w:szCs w:val="24"/>
              </w:rPr>
              <w:t>7</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达到质量标准（绩效标准值）的实际工作数与计划工作数的比率</w:t>
            </w:r>
            <w:r>
              <w:rPr>
                <w:rFonts w:ascii="宋体" w:cs="宋体"/>
                <w:szCs w:val="24"/>
              </w:rPr>
              <w:t>,</w:t>
            </w:r>
            <w:r>
              <w:rPr>
                <w:rFonts w:hint="eastAsia" w:ascii="宋体" w:cs="宋体"/>
                <w:szCs w:val="24"/>
              </w:rPr>
              <w:t>用以反映和考核部门履职质量目标的实现程度。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质量达标率</w:t>
            </w:r>
            <w:r>
              <w:rPr>
                <w:rFonts w:ascii="宋体" w:cs="宋体"/>
                <w:szCs w:val="24"/>
              </w:rPr>
              <w:t>=</w:t>
            </w:r>
            <w:r>
              <w:rPr>
                <w:rFonts w:hint="eastAsia" w:ascii="宋体" w:cs="宋体"/>
                <w:szCs w:val="24"/>
              </w:rPr>
              <w:t>（质量达标实际工作数</w:t>
            </w:r>
            <w:r>
              <w:rPr>
                <w:rFonts w:ascii="宋体" w:cs="宋体"/>
                <w:szCs w:val="24"/>
              </w:rPr>
              <w:t>/</w:t>
            </w:r>
            <w:r>
              <w:rPr>
                <w:rFonts w:hint="eastAsia" w:ascii="宋体" w:cs="宋体"/>
                <w:szCs w:val="24"/>
              </w:rPr>
              <w:t>计划工作数）×</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重点工作</w:t>
            </w:r>
          </w:p>
          <w:p>
            <w:pPr>
              <w:spacing w:line="240" w:lineRule="exact"/>
              <w:jc w:val="center"/>
              <w:rPr>
                <w:rFonts w:ascii="宋体" w:cs="宋体"/>
                <w:szCs w:val="24"/>
              </w:rPr>
            </w:pPr>
            <w:r>
              <w:rPr>
                <w:rFonts w:hint="eastAsia" w:ascii="宋体" w:cs="宋体"/>
                <w:szCs w:val="24"/>
              </w:rPr>
              <w:t>办结率（</w:t>
            </w:r>
            <w:r>
              <w:rPr>
                <w:rFonts w:ascii="宋体" w:cs="宋体"/>
                <w:szCs w:val="24"/>
              </w:rPr>
              <w:t>10</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322"/>
              <w:jc w:val="left"/>
              <w:rPr>
                <w:szCs w:val="24"/>
              </w:rPr>
            </w:pPr>
            <w:r>
              <w:rPr>
                <w:szCs w:val="24"/>
              </w:rPr>
              <w:t>10</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部门年度重点工作实际完成数与交办或下达数的比率，用以反映部门对重点工作的办理落实程度。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重点工作办结率</w:t>
            </w:r>
            <w:r>
              <w:rPr>
                <w:rFonts w:ascii="宋体" w:cs="宋体"/>
                <w:szCs w:val="24"/>
              </w:rPr>
              <w:t>=</w:t>
            </w:r>
            <w:r>
              <w:rPr>
                <w:rFonts w:hint="eastAsia" w:ascii="宋体" w:cs="宋体"/>
                <w:szCs w:val="24"/>
              </w:rPr>
              <w:t>（重点工作实际完成数</w:t>
            </w:r>
            <w:r>
              <w:rPr>
                <w:rFonts w:ascii="宋体" w:cs="宋体"/>
                <w:szCs w:val="24"/>
              </w:rPr>
              <w:t>/</w:t>
            </w:r>
            <w:r>
              <w:rPr>
                <w:rFonts w:hint="eastAsia" w:ascii="宋体" w:cs="宋体"/>
                <w:szCs w:val="24"/>
              </w:rPr>
              <w:t>交办或下达数）×</w:t>
            </w:r>
            <w:r>
              <w:rPr>
                <w:rFonts w:ascii="宋体" w:cs="宋体"/>
                <w:szCs w:val="24"/>
              </w:rPr>
              <w:t>100%</w:t>
            </w:r>
            <w:r>
              <w:rPr>
                <w:rFonts w:hint="eastAsia" w:ascii="宋体" w:cs="宋体"/>
                <w:szCs w:val="24"/>
              </w:rPr>
              <w:t>。</w:t>
            </w:r>
            <w:r>
              <w:rPr>
                <w:rFonts w:ascii="宋体" w:cs="宋体"/>
                <w:szCs w:val="24"/>
              </w:rPr>
              <w:br w:type="textWrapping"/>
            </w:r>
            <w:r>
              <w:rPr>
                <w:rFonts w:hint="eastAsia" w:ascii="宋体" w:cs="宋体"/>
                <w:szCs w:val="24"/>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right w:w="10" w:type="dxa"/>
            </w:tcMar>
            <w:textDirection w:val="tbRlV"/>
            <w:vAlign w:val="center"/>
          </w:tcPr>
          <w:p>
            <w:pPr>
              <w:spacing w:line="240" w:lineRule="exact"/>
              <w:jc w:val="center"/>
              <w:rPr>
                <w:rFonts w:ascii="宋体" w:cs="宋体"/>
                <w:szCs w:val="24"/>
              </w:rPr>
            </w:pPr>
            <w:r>
              <w:rPr>
                <w:rFonts w:hint="eastAsia" w:ascii="宋体" w:cs="宋体"/>
                <w:szCs w:val="24"/>
              </w:rPr>
              <w:t>效</w:t>
            </w:r>
            <w:r>
              <w:rPr>
                <w:rFonts w:ascii="宋体" w:cs="宋体"/>
                <w:szCs w:val="24"/>
              </w:rPr>
              <w:t xml:space="preserve">   </w:t>
            </w:r>
            <w:r>
              <w:rPr>
                <w:rFonts w:hint="eastAsia" w:ascii="宋体" w:cs="宋体"/>
                <w:szCs w:val="24"/>
              </w:rPr>
              <w:t>果（</w:t>
            </w:r>
            <w:r>
              <w:rPr>
                <w:rFonts w:ascii="宋体" w:cs="宋体"/>
                <w:szCs w:val="24"/>
              </w:rPr>
              <w:t>20</w:t>
            </w:r>
            <w:r>
              <w:rPr>
                <w:rFonts w:hint="eastAsia" w:ascii="宋体" w:cs="宋体"/>
                <w:szCs w:val="24"/>
              </w:rPr>
              <w:t>分）</w:t>
            </w:r>
          </w:p>
        </w:tc>
        <w:tc>
          <w:tcPr>
            <w:tcW w:w="375" w:type="pct"/>
            <w:vMerge w:val="restar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履职</w:t>
            </w:r>
            <w:r>
              <w:rPr>
                <w:rFonts w:ascii="宋体" w:cs="宋体"/>
                <w:szCs w:val="24"/>
              </w:rPr>
              <w:br w:type="textWrapping"/>
            </w:r>
            <w:r>
              <w:rPr>
                <w:rFonts w:hint="eastAsia" w:ascii="宋体" w:cs="宋体"/>
                <w:szCs w:val="24"/>
              </w:rPr>
              <w:t>效益（</w:t>
            </w:r>
            <w:r>
              <w:rPr>
                <w:rFonts w:ascii="宋体" w:cs="宋体"/>
                <w:szCs w:val="24"/>
              </w:rPr>
              <w:t>20</w:t>
            </w:r>
            <w:r>
              <w:rPr>
                <w:rFonts w:hint="eastAsia" w:ascii="宋体" w:cs="宋体"/>
                <w:szCs w:val="24"/>
              </w:rPr>
              <w:t>分）</w:t>
            </w: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经济效益（</w:t>
            </w:r>
            <w:r>
              <w:rPr>
                <w:rFonts w:ascii="宋体" w:cs="宋体"/>
                <w:szCs w:val="24"/>
              </w:rPr>
              <w:t>5</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ind w:firstLine="272"/>
              <w:jc w:val="left"/>
              <w:rPr>
                <w:szCs w:val="24"/>
              </w:rPr>
            </w:pPr>
            <w:r>
              <w:rPr>
                <w:szCs w:val="24"/>
              </w:rPr>
              <w:t>4</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部门履行职责对经济发展所带来的直接或间接影响。</w:t>
            </w:r>
          </w:p>
        </w:tc>
        <w:tc>
          <w:tcPr>
            <w:tcW w:w="1867" w:type="pct"/>
            <w:vMerge w:val="restar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社会效益（</w:t>
            </w:r>
            <w:r>
              <w:rPr>
                <w:rFonts w:ascii="宋体" w:cs="宋体"/>
                <w:szCs w:val="24"/>
              </w:rPr>
              <w:t>5</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ind w:firstLine="289"/>
              <w:jc w:val="left"/>
              <w:rPr>
                <w:szCs w:val="24"/>
              </w:rPr>
            </w:pPr>
            <w:r>
              <w:rPr>
                <w:szCs w:val="24"/>
              </w:rPr>
              <w:t>4</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部门履行职责对社会发展所带来的直接或间接影响。</w:t>
            </w:r>
          </w:p>
        </w:tc>
        <w:tc>
          <w:tcPr>
            <w:tcW w:w="1867"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生态效益（</w:t>
            </w:r>
            <w:r>
              <w:rPr>
                <w:rFonts w:ascii="宋体" w:cs="宋体"/>
                <w:szCs w:val="24"/>
              </w:rPr>
              <w:t>5</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ind w:firstLine="389"/>
              <w:jc w:val="left"/>
              <w:rPr>
                <w:szCs w:val="24"/>
              </w:rPr>
            </w:pPr>
            <w:r>
              <w:rPr>
                <w:szCs w:val="24"/>
              </w:rPr>
              <w:t>4</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部门履行职责对生态环境所带来的直接或间接影响。</w:t>
            </w:r>
          </w:p>
        </w:tc>
        <w:tc>
          <w:tcPr>
            <w:tcW w:w="1867"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szCs w:val="24"/>
              </w:rPr>
            </w:pPr>
            <w:r>
              <w:rPr>
                <w:rFonts w:hint="eastAsia" w:ascii="宋体" w:cs="宋体"/>
                <w:szCs w:val="24"/>
              </w:rPr>
              <w:t>社会公众</w:t>
            </w:r>
          </w:p>
          <w:p>
            <w:pPr>
              <w:spacing w:line="240" w:lineRule="exact"/>
              <w:jc w:val="center"/>
              <w:rPr>
                <w:rFonts w:ascii="宋体" w:cs="宋体"/>
                <w:szCs w:val="24"/>
              </w:rPr>
            </w:pPr>
            <w:r>
              <w:rPr>
                <w:rFonts w:hint="eastAsia" w:ascii="宋体" w:cs="宋体"/>
                <w:szCs w:val="24"/>
              </w:rPr>
              <w:t>或服务对</w:t>
            </w:r>
          </w:p>
          <w:p>
            <w:pPr>
              <w:spacing w:line="240" w:lineRule="exact"/>
              <w:jc w:val="center"/>
              <w:rPr>
                <w:rFonts w:ascii="宋体" w:cs="宋体"/>
                <w:szCs w:val="24"/>
              </w:rPr>
            </w:pPr>
            <w:r>
              <w:rPr>
                <w:rFonts w:hint="eastAsia" w:ascii="宋体" w:cs="宋体"/>
                <w:szCs w:val="24"/>
              </w:rPr>
              <w:t>象满意度（</w:t>
            </w:r>
            <w:r>
              <w:rPr>
                <w:rFonts w:ascii="宋体" w:cs="宋体"/>
                <w:szCs w:val="24"/>
              </w:rPr>
              <w:t>5</w:t>
            </w:r>
            <w:r>
              <w:rPr>
                <w:rFonts w:hint="eastAsia" w:ascii="宋体" w:cs="宋体"/>
                <w:szCs w:val="24"/>
              </w:rPr>
              <w:t>分）</w:t>
            </w: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rPr>
                <w:szCs w:val="24"/>
              </w:rPr>
            </w:pPr>
          </w:p>
          <w:p>
            <w:pPr>
              <w:ind w:firstLine="339"/>
              <w:jc w:val="left"/>
              <w:rPr>
                <w:szCs w:val="24"/>
              </w:rPr>
            </w:pPr>
            <w:r>
              <w:rPr>
                <w:szCs w:val="24"/>
              </w:rPr>
              <w:t>4</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cs="宋体"/>
                <w:szCs w:val="24"/>
              </w:rPr>
              <w:t>社会公众或部门的服务对象对部门履职效果的满意程度。</w:t>
            </w: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r>
              <w:rPr>
                <w:rFonts w:hint="eastAsia" w:ascii="宋体" w:cs="宋体"/>
                <w:szCs w:val="24"/>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ascii="宋体" w:cs="宋体"/>
                <w:szCs w:val="24"/>
              </w:rPr>
            </w:pPr>
            <w:r>
              <w:rPr>
                <w:rFonts w:hint="eastAsia" w:ascii="宋体" w:cs="宋体"/>
                <w:szCs w:val="24"/>
              </w:rPr>
              <w:t>总分</w:t>
            </w:r>
          </w:p>
        </w:tc>
        <w:tc>
          <w:tcPr>
            <w:tcW w:w="375" w:type="pct"/>
            <w:vAlign w:val="center"/>
          </w:tcPr>
          <w:p>
            <w:pPr>
              <w:spacing w:line="240" w:lineRule="exact"/>
              <w:rPr>
                <w:rFonts w:ascii="宋体" w:cs="宋体"/>
                <w:szCs w:val="24"/>
              </w:rPr>
            </w:pPr>
          </w:p>
        </w:tc>
        <w:tc>
          <w:tcPr>
            <w:tcW w:w="500" w:type="pct"/>
            <w:tcMar>
              <w:top w:w="10" w:type="dxa"/>
              <w:left w:w="10" w:type="dxa"/>
              <w:right w:w="10" w:type="dxa"/>
            </w:tcMar>
            <w:vAlign w:val="center"/>
          </w:tcPr>
          <w:p>
            <w:pPr>
              <w:spacing w:line="240" w:lineRule="exact"/>
              <w:jc w:val="center"/>
              <w:rPr>
                <w:rFonts w:ascii="宋体" w:cs="宋体"/>
                <w:szCs w:val="24"/>
              </w:rPr>
            </w:pPr>
          </w:p>
        </w:tc>
        <w:tc>
          <w:tcPr>
            <w:tcW w:w="375" w:type="pct"/>
          </w:tcPr>
          <w:p>
            <w:pPr>
              <w:tabs>
                <w:tab w:val="left" w:pos="2604"/>
              </w:tabs>
              <w:spacing w:line="240" w:lineRule="exact"/>
              <w:ind w:left="105" w:leftChars="50" w:right="105" w:rightChars="50" w:firstLine="96" w:firstLineChars="46"/>
              <w:jc w:val="center"/>
              <w:rPr>
                <w:rFonts w:ascii="宋体" w:cs="宋体"/>
                <w:szCs w:val="24"/>
              </w:rPr>
            </w:pPr>
          </w:p>
          <w:p>
            <w:pPr>
              <w:ind w:firstLine="289"/>
              <w:jc w:val="left"/>
              <w:rPr>
                <w:szCs w:val="24"/>
              </w:rPr>
            </w:pPr>
            <w:r>
              <w:rPr>
                <w:szCs w:val="24"/>
              </w:rPr>
              <w:t>93</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p>
        </w:tc>
        <w:tc>
          <w:tcPr>
            <w:tcW w:w="1867" w:type="pct"/>
            <w:tcMar>
              <w:top w:w="10" w:type="dxa"/>
              <w:left w:w="10" w:type="dxa"/>
              <w:right w:w="10" w:type="dxa"/>
            </w:tcMar>
            <w:vAlign w:val="center"/>
          </w:tcPr>
          <w:p>
            <w:pPr>
              <w:spacing w:line="240" w:lineRule="exact"/>
              <w:ind w:left="105" w:leftChars="50" w:right="105" w:rightChars="50"/>
              <w:rPr>
                <w:rFonts w:ascii="宋体" w:cs="宋体"/>
                <w:szCs w:val="24"/>
              </w:rPr>
            </w:pPr>
          </w:p>
        </w:tc>
      </w:tr>
    </w:tbl>
    <w:p>
      <w:pPr>
        <w:rPr>
          <w:szCs w:val="24"/>
        </w:rPr>
      </w:pPr>
    </w:p>
    <w:p>
      <w:pPr>
        <w:spacing w:line="40" w:lineRule="exact"/>
        <w:rPr>
          <w:szCs w:val="24"/>
          <w:lang w:val="zh-CN"/>
        </w:rPr>
      </w:pPr>
    </w:p>
    <w:sectPr>
      <w:pgSz w:w="12240" w:h="15840"/>
      <w:pgMar w:top="2098" w:right="1474" w:bottom="1985" w:left="1588" w:header="720"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AEAAA2-72E7-4BB6-AB4E-CA2F581BF4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A29AD094-C0AD-4EC0-81AB-E420B526FA52}"/>
  </w:font>
  <w:font w:name="方正小标宋简体">
    <w:panose1 w:val="02000000000000000000"/>
    <w:charset w:val="86"/>
    <w:family w:val="auto"/>
    <w:pitch w:val="default"/>
    <w:sig w:usb0="00000001" w:usb1="080E0000" w:usb2="00000000" w:usb3="00000000" w:csb0="00040000" w:csb1="00000000"/>
    <w:embedRegular r:id="rId3" w:fontKey="{A5927B5C-9644-4F6C-86DA-9F15D7D3CF07}"/>
  </w:font>
  <w:font w:name="方正小标宋_GBK">
    <w:panose1 w:val="02000000000000000000"/>
    <w:charset w:val="86"/>
    <w:family w:val="script"/>
    <w:pitch w:val="default"/>
    <w:sig w:usb0="A00002BF" w:usb1="38CF7CFA" w:usb2="00082016" w:usb3="00000000" w:csb0="00040001" w:csb1="00000000"/>
    <w:embedRegular r:id="rId4" w:fontKey="{EF0A69D6-5171-4053-B5F1-51F30A4497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compat>
    <w:spaceForUL/>
    <w:balanceSingleByteDoubleByteWidth/>
    <w:ulTrailSpace/>
    <w:doNotExpandShiftReturn/>
    <w:adjustLineHeightInTable/>
    <w:useFELayout/>
    <w:compatSetting w:name="compatibilityMode" w:uri="http://schemas.microsoft.com/office/word" w:val="12"/>
  </w:compat>
  <w:rsids>
    <w:rsidRoot w:val="0016621F"/>
    <w:rsid w:val="00001AEC"/>
    <w:rsid w:val="00084BEE"/>
    <w:rsid w:val="0016621F"/>
    <w:rsid w:val="002233FC"/>
    <w:rsid w:val="00237EA2"/>
    <w:rsid w:val="00386D57"/>
    <w:rsid w:val="00442066"/>
    <w:rsid w:val="00593C36"/>
    <w:rsid w:val="00766E94"/>
    <w:rsid w:val="008003D9"/>
    <w:rsid w:val="00836EE4"/>
    <w:rsid w:val="008F2C8C"/>
    <w:rsid w:val="00980799"/>
    <w:rsid w:val="00AD05F3"/>
    <w:rsid w:val="00B50A28"/>
    <w:rsid w:val="00B7709A"/>
    <w:rsid w:val="00B93A72"/>
    <w:rsid w:val="00D5608A"/>
    <w:rsid w:val="00DB195C"/>
    <w:rsid w:val="00E6508D"/>
    <w:rsid w:val="00E92592"/>
    <w:rsid w:val="00E96AE8"/>
    <w:rsid w:val="00EF588E"/>
    <w:rsid w:val="00F55DE0"/>
    <w:rsid w:val="00FF285A"/>
    <w:rsid w:val="1B2C66C1"/>
    <w:rsid w:val="48F1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Times New Roman" w:hAnsi="Times New Roman" w:eastAsia="宋体" w:cs="Times New Roman"/>
      <w:kern w:val="2"/>
      <w:sz w:val="21"/>
      <w:szCs w:val="21"/>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rPr>
  </w:style>
  <w:style w:type="paragraph" w:styleId="4">
    <w:name w:val="heading 2"/>
    <w:basedOn w:val="1"/>
    <w:next w:val="1"/>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szCs w:val="24"/>
    </w:rPr>
  </w:style>
  <w:style w:type="paragraph" w:styleId="6">
    <w:name w:val="index 6"/>
    <w:basedOn w:val="1"/>
    <w:next w:val="1"/>
    <w:qFormat/>
    <w:uiPriority w:val="0"/>
    <w:pPr>
      <w:ind w:left="2100"/>
    </w:pPr>
  </w:style>
  <w:style w:type="paragraph" w:styleId="7">
    <w:name w:val="footer"/>
    <w:basedOn w:val="1"/>
    <w:uiPriority w:val="0"/>
    <w:pPr>
      <w:tabs>
        <w:tab w:val="center" w:pos="4153"/>
        <w:tab w:val="right" w:pos="8306"/>
      </w:tabs>
      <w:snapToGrid w:val="0"/>
      <w:jc w:val="left"/>
    </w:pPr>
    <w:rPr>
      <w:sz w:val="18"/>
      <w:szCs w:val="24"/>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paragraph" w:customStyle="1" w:styleId="13">
    <w:name w:val="Default"/>
    <w:next w:val="6"/>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4">
    <w:name w:val="页眉 Char"/>
    <w:basedOn w:val="11"/>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2303</Words>
  <Characters>13130</Characters>
  <Lines>109</Lines>
  <Paragraphs>30</Paragraphs>
  <TotalTime>138</TotalTime>
  <ScaleCrop>false</ScaleCrop>
  <LinksUpToDate>false</LinksUpToDate>
  <CharactersWithSpaces>15403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2021-10-26T06:50:00Z</dcterms:created>
  <dc:creator>Lenovo</dc:creator>
  <cp:lastModifiedBy>丫丫</cp:lastModifiedBy>
  <dcterms:modified xsi:type="dcterms:W3CDTF">2024-09-11T02:57:28Z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6FD43BEE756E49D2957CE067818B3455</vt:lpwstr>
  </property>
</Properties>
</file>