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rPr>
          <w:rFonts w:ascii="仿宋_GB2312" w:eastAsia="仿宋_GB2312"/>
          <w:sz w:val="32"/>
          <w:szCs w:val="32"/>
          <w:highlight w:val="white"/>
        </w:rPr>
      </w:pPr>
      <w:bookmarkStart w:id="0" w:name="_GoBack"/>
      <w:bookmarkEnd w:id="0"/>
    </w:p>
    <w:p>
      <w:pPr>
        <w:widowControl w:val="0"/>
        <w:spacing w:line="560" w:lineRule="exact"/>
        <w:jc w:val="center"/>
        <w:rPr>
          <w:rFonts w:ascii="方正小标宋简体" w:eastAsia="方正小标宋简体"/>
          <w:sz w:val="40"/>
          <w:szCs w:val="40"/>
          <w:highlight w:val="white"/>
        </w:rPr>
      </w:pPr>
      <w:r>
        <w:rPr>
          <w:rFonts w:hint="eastAsia" w:ascii="方正小标宋简体" w:eastAsia="方正小标宋简体"/>
          <w:sz w:val="40"/>
          <w:szCs w:val="40"/>
          <w:highlight w:val="white"/>
        </w:rPr>
        <w:t>2020年度益阳市赫山区医疗保障事务中心部门决算</w:t>
      </w:r>
    </w:p>
    <w:p>
      <w:pPr>
        <w:widowControl w:val="0"/>
        <w:spacing w:line="560" w:lineRule="exact"/>
        <w:rPr>
          <w:rFonts w:ascii="仿宋_GB2312" w:eastAsia="仿宋_GB2312"/>
          <w:sz w:val="32"/>
          <w:szCs w:val="32"/>
          <w:highlight w:val="white"/>
        </w:rPr>
      </w:pPr>
    </w:p>
    <w:p>
      <w:pPr>
        <w:widowControl w:val="0"/>
        <w:spacing w:line="560" w:lineRule="exact"/>
        <w:jc w:val="center"/>
        <w:rPr>
          <w:rFonts w:ascii="黑体" w:hAnsi="黑体" w:eastAsia="黑体"/>
          <w:sz w:val="32"/>
          <w:szCs w:val="32"/>
          <w:highlight w:val="white"/>
        </w:rPr>
      </w:pPr>
      <w:r>
        <w:rPr>
          <w:rFonts w:hint="eastAsia" w:ascii="黑体" w:hAnsi="黑体" w:eastAsia="黑体"/>
          <w:sz w:val="32"/>
          <w:szCs w:val="32"/>
          <w:highlight w:val="white"/>
        </w:rPr>
        <w:t>目 录</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第一部分  益阳市赫山区医疗保障事务中心概况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一、部门职责</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二、机构设置</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第二部分  2020年度部门决算表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一、收入支出决算总表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二、收入决算表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三、支出决算表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四、财政拨款收入支出决算总表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五、一般公共预算财政拨款支出决算表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六、一般公共预算财政拨款基本支出决算表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七、一般公共预算财政拨款“三公”经费支出决算表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八、政府性基金预算财政拨款收入支出决算表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九、国有资本经营预算财政拨款收入支出决算表</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第三部分  2020年度部门决算情况说明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一、收入支出决算总体情况说明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二、收入决算情况说明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三、支出决算情况说明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四、财政拨款收入支出决算总体情况说明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五、一般公共预算财政拨款支出决算情况说明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六、一般公共预算财政拨款基本支出决算情况说明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八、政府性基金预算收入支出决算情况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九、国有资本经营预算财政拨款支出决算情况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十、关于机关运行经费支出说明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十一、一般性支出情况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十二、关于政府采购支出说明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十三、关于国有资产占用情况说明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十四、关于2020年度预算绩效情况的说明</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第四部分  名词解释</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第五部分  附件</w:t>
      </w:r>
    </w:p>
    <w:p>
      <w:pPr>
        <w:jc w:val="left"/>
        <w:rPr>
          <w:rFonts w:ascii="仿宋_GB2312" w:eastAsia="仿宋_GB2312"/>
          <w:sz w:val="32"/>
          <w:szCs w:val="32"/>
          <w:highlight w:val="white"/>
        </w:rPr>
      </w:pPr>
      <w:r>
        <w:rPr>
          <w:rFonts w:ascii="仿宋_GB2312" w:eastAsia="仿宋_GB2312"/>
          <w:sz w:val="32"/>
          <w:szCs w:val="32"/>
          <w:highlight w:val="white"/>
        </w:rPr>
        <w:br w:type="page"/>
      </w:r>
    </w:p>
    <w:p>
      <w:pPr>
        <w:widowControl w:val="0"/>
        <w:spacing w:line="560" w:lineRule="exact"/>
        <w:rPr>
          <w:rFonts w:ascii="黑体" w:hAnsi="黑体" w:eastAsia="黑体"/>
          <w:sz w:val="32"/>
          <w:szCs w:val="32"/>
          <w:highlight w:val="white"/>
        </w:rPr>
      </w:pPr>
      <w:r>
        <w:rPr>
          <w:rFonts w:hint="eastAsia" w:ascii="黑体" w:hAnsi="黑体" w:eastAsia="黑体"/>
          <w:sz w:val="32"/>
          <w:szCs w:val="32"/>
          <w:highlight w:val="white"/>
        </w:rPr>
        <w:t>第一部分：</w:t>
      </w:r>
    </w:p>
    <w:p>
      <w:pPr>
        <w:widowControl w:val="0"/>
        <w:spacing w:line="560" w:lineRule="exact"/>
        <w:jc w:val="center"/>
        <w:rPr>
          <w:rFonts w:ascii="方正小标宋简体" w:eastAsia="方正小标宋简体"/>
          <w:sz w:val="42"/>
          <w:szCs w:val="42"/>
          <w:highlight w:val="white"/>
        </w:rPr>
      </w:pPr>
      <w:r>
        <w:rPr>
          <w:rFonts w:hint="eastAsia" w:ascii="方正小标宋简体" w:eastAsia="方正小标宋简体"/>
          <w:sz w:val="42"/>
          <w:szCs w:val="42"/>
          <w:highlight w:val="white"/>
        </w:rPr>
        <w:t>益阳市赫山区医疗保障事务中心概况</w:t>
      </w:r>
    </w:p>
    <w:p>
      <w:pPr>
        <w:widowControl w:val="0"/>
        <w:spacing w:line="560" w:lineRule="exact"/>
        <w:ind w:firstLine="640" w:firstLineChars="200"/>
        <w:rPr>
          <w:rFonts w:ascii="仿宋_GB2312" w:eastAsia="仿宋_GB2312"/>
          <w:sz w:val="32"/>
          <w:szCs w:val="32"/>
          <w:highlight w:val="white"/>
        </w:rPr>
      </w:pP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一、部门职责</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赫山区医疗保障事务中心是益阳市赫山区医疗保障局的二级机构，是参照公务员管理的公益一类事业单位，执行政府会计准则制度。主要职责和宗旨是负责全区城镇职工医疗保险、城乡居民医疗保险和生育保险的基金征缴、支付、管理工作。</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二、机构设置</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（一）内设机构设置</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在职职工30人，全额29人、差额1人，退休人员14人。内设办公室、财务股、城镇职工医疗保险审核股、城乡居民医疗保险审核股、征缴信息股、稽查股、联合督查组七个股室。各部门之间相互协调、相互配合，做到既分工又合作</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人员情况，2020年人员有变动，蔡毅2020年7月从金银山街道办事处调入，陈蓉2020年2月从桃花仑街道办事处调入，袁心如2020年3月退休。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 决算单位构成</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ab/>
      </w:r>
      <w:r>
        <w:rPr>
          <w:rFonts w:hint="eastAsia" w:ascii="仿宋_GB2312" w:eastAsia="仿宋_GB2312"/>
          <w:sz w:val="32"/>
          <w:szCs w:val="32"/>
          <w:highlight w:val="white"/>
        </w:rPr>
        <w:t>赫山区医疗保障事务中心只有本级，无其他二级预算单位。</w:t>
      </w:r>
    </w:p>
    <w:p>
      <w:pPr>
        <w:widowControl w:val="0"/>
        <w:spacing w:line="560" w:lineRule="exact"/>
        <w:ind w:firstLine="640" w:firstLineChars="200"/>
        <w:rPr>
          <w:rFonts w:ascii="仿宋_GB2312" w:eastAsia="仿宋_GB2312"/>
          <w:sz w:val="32"/>
          <w:szCs w:val="32"/>
          <w:highlight w:val="white"/>
        </w:rPr>
      </w:pPr>
    </w:p>
    <w:p>
      <w:pPr>
        <w:widowControl w:val="0"/>
        <w:spacing w:line="560" w:lineRule="exact"/>
        <w:rPr>
          <w:rFonts w:ascii="黑体" w:hAnsi="黑体" w:eastAsia="黑体"/>
          <w:sz w:val="32"/>
          <w:szCs w:val="32"/>
          <w:highlight w:val="white"/>
        </w:rPr>
      </w:pPr>
      <w:r>
        <w:rPr>
          <w:rFonts w:hint="eastAsia" w:ascii="黑体" w:hAnsi="黑体" w:eastAsia="黑体"/>
          <w:sz w:val="32"/>
          <w:szCs w:val="32"/>
          <w:highlight w:val="white"/>
        </w:rPr>
        <w:t>第二部分：</w:t>
      </w:r>
    </w:p>
    <w:p>
      <w:pPr>
        <w:widowControl w:val="0"/>
        <w:spacing w:line="560" w:lineRule="exact"/>
        <w:jc w:val="center"/>
        <w:rPr>
          <w:rFonts w:ascii="方正小标宋简体" w:eastAsia="方正小标宋简体"/>
          <w:sz w:val="42"/>
          <w:szCs w:val="42"/>
          <w:highlight w:val="white"/>
        </w:rPr>
      </w:pPr>
      <w:r>
        <w:rPr>
          <w:rFonts w:hint="eastAsia" w:ascii="方正小标宋简体" w:eastAsia="方正小标宋简体"/>
          <w:sz w:val="42"/>
          <w:szCs w:val="42"/>
          <w:highlight w:val="white"/>
        </w:rPr>
        <w:t>益阳市赫山区医疗保障事务中心</w:t>
      </w:r>
    </w:p>
    <w:p>
      <w:pPr>
        <w:widowControl w:val="0"/>
        <w:spacing w:line="560" w:lineRule="exact"/>
        <w:jc w:val="center"/>
        <w:rPr>
          <w:rFonts w:ascii="方正小标宋简体" w:eastAsia="方正小标宋简体"/>
          <w:sz w:val="42"/>
          <w:szCs w:val="42"/>
          <w:highlight w:val="white"/>
        </w:rPr>
      </w:pPr>
      <w:r>
        <w:rPr>
          <w:rFonts w:hint="eastAsia" w:ascii="方正小标宋简体" w:eastAsia="方正小标宋简体"/>
          <w:sz w:val="42"/>
          <w:szCs w:val="42"/>
          <w:highlight w:val="white"/>
        </w:rPr>
        <w:t>2020年度部门决算表（见附表）</w:t>
      </w:r>
    </w:p>
    <w:p>
      <w:pPr>
        <w:widowControl w:val="0"/>
        <w:spacing w:line="560" w:lineRule="exact"/>
        <w:ind w:firstLine="640" w:firstLineChars="200"/>
        <w:rPr>
          <w:rFonts w:ascii="仿宋_GB2312" w:eastAsia="仿宋_GB2312"/>
          <w:sz w:val="32"/>
          <w:szCs w:val="32"/>
          <w:highlight w:val="white"/>
        </w:rPr>
      </w:pPr>
    </w:p>
    <w:p>
      <w:pPr>
        <w:widowControl w:val="0"/>
        <w:spacing w:line="560" w:lineRule="exact"/>
        <w:rPr>
          <w:rFonts w:ascii="黑体" w:hAnsi="黑体" w:eastAsia="黑体"/>
          <w:sz w:val="32"/>
          <w:szCs w:val="32"/>
          <w:highlight w:val="white"/>
        </w:rPr>
      </w:pPr>
      <w:r>
        <w:rPr>
          <w:rFonts w:hint="eastAsia" w:ascii="黑体" w:hAnsi="黑体" w:eastAsia="黑体"/>
          <w:sz w:val="32"/>
          <w:szCs w:val="32"/>
          <w:highlight w:val="white"/>
        </w:rPr>
        <w:t>第三部分：</w:t>
      </w:r>
    </w:p>
    <w:p>
      <w:pPr>
        <w:widowControl w:val="0"/>
        <w:spacing w:line="560" w:lineRule="exact"/>
        <w:jc w:val="center"/>
        <w:rPr>
          <w:rFonts w:ascii="方正小标宋简体" w:eastAsia="方正小标宋简体"/>
          <w:sz w:val="42"/>
          <w:szCs w:val="42"/>
          <w:highlight w:val="white"/>
        </w:rPr>
      </w:pPr>
      <w:r>
        <w:rPr>
          <w:rFonts w:hint="eastAsia" w:ascii="方正小标宋简体" w:eastAsia="方正小标宋简体"/>
          <w:sz w:val="42"/>
          <w:szCs w:val="42"/>
          <w:highlight w:val="white"/>
        </w:rPr>
        <w:t>益阳市赫山区医疗保障事务中心</w:t>
      </w:r>
    </w:p>
    <w:p>
      <w:pPr>
        <w:widowControl w:val="0"/>
        <w:spacing w:line="560" w:lineRule="exact"/>
        <w:jc w:val="center"/>
        <w:rPr>
          <w:rFonts w:ascii="方正小标宋简体" w:eastAsia="方正小标宋简体"/>
          <w:sz w:val="42"/>
          <w:szCs w:val="42"/>
          <w:highlight w:val="white"/>
        </w:rPr>
      </w:pPr>
      <w:r>
        <w:rPr>
          <w:rFonts w:hint="eastAsia" w:ascii="方正小标宋简体" w:eastAsia="方正小标宋简体"/>
          <w:sz w:val="42"/>
          <w:szCs w:val="42"/>
          <w:highlight w:val="white"/>
        </w:rPr>
        <w:t>2020年度部门决算情况说明</w:t>
      </w:r>
    </w:p>
    <w:p>
      <w:pPr>
        <w:widowControl w:val="0"/>
        <w:spacing w:line="560" w:lineRule="exact"/>
        <w:ind w:firstLine="640" w:firstLineChars="200"/>
        <w:rPr>
          <w:rFonts w:ascii="黑体" w:hAnsi="黑体" w:eastAsia="黑体"/>
          <w:sz w:val="32"/>
          <w:szCs w:val="32"/>
          <w:highlight w:val="white"/>
        </w:rPr>
      </w:pP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一、收入支出决算总体情况说明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highlight w:val="white"/>
        </w:rPr>
        <w:t>2020年度收入44620.93万元，年末结转和结余126.46万元，总计44747.39万元。与2019年度收入45813.23相比，收入</w:t>
      </w:r>
      <w:r>
        <w:rPr>
          <w:rFonts w:hint="eastAsia" w:ascii="仿宋_GB2312" w:eastAsia="仿宋_GB2312"/>
          <w:sz w:val="32"/>
          <w:szCs w:val="32"/>
        </w:rPr>
        <w:t>减少1192.3</w:t>
      </w:r>
      <w:r>
        <w:rPr>
          <w:rFonts w:hint="eastAsia" w:ascii="仿宋_GB2312" w:eastAsia="仿宋_GB2312"/>
          <w:sz w:val="32"/>
          <w:szCs w:val="32"/>
          <w:highlight w:val="white"/>
        </w:rPr>
        <w:t>万元，下降2.6%，主要原因是</w:t>
      </w:r>
      <w:r>
        <w:rPr>
          <w:rFonts w:hint="eastAsia" w:ascii="仿宋_GB2312" w:eastAsia="仿宋_GB2312"/>
          <w:sz w:val="32"/>
          <w:szCs w:val="32"/>
        </w:rPr>
        <w:t>: 部分财政兜底资金和医疗救助资金的指标收入转移至赫山区医疗保障局。</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2020年度支出44737.93万元，年末结转和结余9.46万元，总计44747.39万元，较2019年支出45761.97万元减少了1024.04万元，下降2.24%，主要原因是部分财政兜底资金和医疗救助资金的支出转移至赫山区医疗保障局。</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二</w:t>
      </w:r>
      <w:r>
        <w:rPr>
          <w:rFonts w:ascii="黑体" w:hAnsi="黑体" w:eastAsia="黑体"/>
          <w:sz w:val="32"/>
          <w:szCs w:val="32"/>
          <w:highlight w:val="white"/>
        </w:rPr>
        <w:t>、</w:t>
      </w:r>
      <w:r>
        <w:rPr>
          <w:rFonts w:hint="eastAsia" w:ascii="黑体" w:hAnsi="黑体" w:eastAsia="黑体"/>
          <w:sz w:val="32"/>
          <w:szCs w:val="32"/>
          <w:highlight w:val="white"/>
        </w:rPr>
        <w:t>收入决算情况说明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本年收入合计44620.93万元，其中：一般公共预算财政拨款收入41517.42万元，占93.04%；政府性基金预算财政拨款收入3098.17万元，占6.94%；其他收入5.33万元，占0.01%。</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三</w:t>
      </w:r>
      <w:r>
        <w:rPr>
          <w:rFonts w:ascii="黑体" w:hAnsi="黑体" w:eastAsia="黑体"/>
          <w:sz w:val="32"/>
          <w:szCs w:val="32"/>
          <w:highlight w:val="white"/>
        </w:rPr>
        <w:t>、</w:t>
      </w:r>
      <w:r>
        <w:rPr>
          <w:rFonts w:hint="eastAsia" w:ascii="黑体" w:hAnsi="黑体" w:eastAsia="黑体"/>
          <w:sz w:val="32"/>
          <w:szCs w:val="32"/>
          <w:highlight w:val="white"/>
        </w:rPr>
        <w:t>支出决算情况说明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本年支出合计44737.93万元，其中：基本支出511.86万元，占1.14%；项目支出44226.07万元，占98.86%；</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四</w:t>
      </w:r>
      <w:r>
        <w:rPr>
          <w:rFonts w:ascii="黑体" w:hAnsi="黑体" w:eastAsia="黑体"/>
          <w:sz w:val="32"/>
          <w:szCs w:val="32"/>
          <w:highlight w:val="white"/>
        </w:rPr>
        <w:t>、</w:t>
      </w:r>
      <w:r>
        <w:rPr>
          <w:rFonts w:hint="eastAsia" w:ascii="黑体" w:hAnsi="黑体" w:eastAsia="黑体"/>
          <w:sz w:val="32"/>
          <w:szCs w:val="32"/>
          <w:highlight w:val="white"/>
        </w:rPr>
        <w:t xml:space="preserve">财政拨款收入支出决算总体情况说明 </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2020年度财政拨款收入总计44615.59万元，较2019年45813.23万元减少1197.64万元，</w:t>
      </w:r>
      <w:r>
        <w:rPr>
          <w:rFonts w:hint="eastAsia" w:ascii="仿宋_GB2312" w:eastAsia="仿宋_GB2312"/>
          <w:sz w:val="32"/>
          <w:szCs w:val="32"/>
          <w:highlight w:val="white"/>
        </w:rPr>
        <w:t>下降</w:t>
      </w:r>
      <w:r>
        <w:rPr>
          <w:rFonts w:hint="eastAsia" w:ascii="仿宋_GB2312" w:eastAsia="仿宋_GB2312"/>
          <w:sz w:val="32"/>
          <w:szCs w:val="32"/>
        </w:rPr>
        <w:t>2.61%，</w:t>
      </w:r>
      <w:r>
        <w:rPr>
          <w:rFonts w:hint="eastAsia" w:ascii="仿宋_GB2312" w:eastAsia="仿宋_GB2312"/>
          <w:sz w:val="32"/>
          <w:szCs w:val="32"/>
          <w:highlight w:val="white"/>
        </w:rPr>
        <w:t>主要原因是</w:t>
      </w:r>
      <w:r>
        <w:rPr>
          <w:rFonts w:hint="eastAsia" w:ascii="仿宋_GB2312" w:eastAsia="仿宋_GB2312"/>
          <w:sz w:val="32"/>
          <w:szCs w:val="32"/>
        </w:rPr>
        <w:t>:部分财政兜底资金和医疗救助资金的指标收入转移至赫山区医疗保障局。支出总计44732.6万元，较2019年支出45761.97减少了1029.37万元，下降2.25%，主要原因是部分财政兜底资金和医疗救助资金的指标收入转移至赫山区医疗保障局。（取数来源：公开04表总计行）</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w:t>
      </w:r>
      <w:r>
        <w:rPr>
          <w:rFonts w:hint="eastAsia" w:ascii="黑体" w:hAnsi="黑体" w:eastAsia="黑体"/>
          <w:sz w:val="32"/>
          <w:szCs w:val="32"/>
        </w:rPr>
        <w:t>一般公共预算财政拨款支出决算情况说明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（一）一般公共预算财政拨款支出决算总体情况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2020年度</w:t>
      </w:r>
      <w:r>
        <w:rPr>
          <w:rFonts w:hint="eastAsia" w:ascii="仿宋_GB2312" w:eastAsia="仿宋_GB2312"/>
          <w:sz w:val="32"/>
          <w:szCs w:val="32"/>
          <w:highlight w:val="white"/>
        </w:rPr>
        <w:t>一般公共预算</w:t>
      </w:r>
      <w:r>
        <w:rPr>
          <w:rFonts w:hint="eastAsia" w:ascii="仿宋_GB2312" w:eastAsia="仿宋_GB2312"/>
          <w:sz w:val="32"/>
          <w:szCs w:val="32"/>
        </w:rPr>
        <w:t>财政拨款支出41634.43万元，占本年支出合计的93.06%。与2019年度45761.97万元相比，</w:t>
      </w:r>
      <w:r>
        <w:rPr>
          <w:rFonts w:hint="eastAsia" w:ascii="仿宋_GB2312" w:eastAsia="仿宋_GB2312"/>
          <w:sz w:val="32"/>
          <w:szCs w:val="32"/>
          <w:highlight w:val="white"/>
        </w:rPr>
        <w:t>一般公共预算</w:t>
      </w:r>
      <w:r>
        <w:rPr>
          <w:rFonts w:hint="eastAsia" w:ascii="仿宋_GB2312" w:eastAsia="仿宋_GB2312"/>
          <w:sz w:val="32"/>
          <w:szCs w:val="32"/>
        </w:rPr>
        <w:t>财政拨款支出减少4127.54万元，减少9.02%,主要原因是部分财政兜底资金和医疗救助资金的指标收入转移至赫山区医疗保障局。</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rPr>
        <w:t>（二）一般公共预算</w:t>
      </w:r>
      <w:r>
        <w:rPr>
          <w:rFonts w:hint="eastAsia" w:ascii="仿宋_GB2312" w:eastAsia="仿宋_GB2312"/>
          <w:sz w:val="32"/>
          <w:szCs w:val="32"/>
          <w:highlight w:val="white"/>
        </w:rPr>
        <w:t>财政拨款支出决算结构情况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2020年度一般公共预算财政拨款支出41634.43万元，主要用于以下方面：社会保障和就业（类）支出50.5万元，占0.11%；卫生健康（类）支出41568.1万元，占92.91%；住房保障（类）支出21.16万元，占0.05%。</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rPr>
        <w:t>（三）一般公共预算</w:t>
      </w:r>
      <w:r>
        <w:rPr>
          <w:rFonts w:hint="eastAsia" w:ascii="仿宋_GB2312" w:eastAsia="仿宋_GB2312"/>
          <w:sz w:val="32"/>
          <w:szCs w:val="32"/>
          <w:highlight w:val="white"/>
        </w:rPr>
        <w:t>财政拨款支出决算具体情况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2020年度一般公共预算财政拨款支出年初预算为369.4万元，支出决算为41,634.43万元，</w:t>
      </w:r>
      <w:r>
        <w:rPr>
          <w:rFonts w:hint="eastAsia" w:ascii="仿宋_GB2312" w:eastAsia="仿宋_GB2312"/>
          <w:sz w:val="32"/>
          <w:szCs w:val="32"/>
        </w:rPr>
        <w:t>完成年初预算的11271%。</w:t>
      </w:r>
      <w:r>
        <w:rPr>
          <w:rFonts w:hint="eastAsia" w:ascii="仿宋_GB2312" w:eastAsia="仿宋_GB2312"/>
          <w:sz w:val="32"/>
          <w:szCs w:val="32"/>
          <w:highlight w:val="white"/>
        </w:rPr>
        <w:t>其中：</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1.社会保障和就业支出（类）退役安置（款）军队转业干部安置（项）。</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年初预算为0万元，支出决算为50.5万元，决算数大于年初预算数的主要原因是：调整预算增加了50.5万元。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2.卫生健康支出（类）财政对基本医疗保险基金的补助（款）财政对城乡居民基本医疗保险基金的补助（项）。</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年初预算为0万元，支出决算为39625.44万元，决算数大于年初预算数的主要原因是：调整预算增加了39625.44万元。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3.卫生健康支出（类）医疗救助（款）城乡医疗救助（项）。</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年初预算为0万元，支出决算为527.38万元，决算数大于年初预算数的主要原因是：调整预算增加了527.38万元。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4.卫生健康支出（类）医疗救助（款）其他医疗救助支出（项）。</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年初预算为0万元，支出决算为924.58万元，决算数大于年初预算数的主要原因是：调整预算增加了924.58万元。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5.卫生健康支出（类）医疗保障管理事务（款）行政运行（项）。</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年初预算为0万元，支出决算为485.37万元，决算数大于年初预算数的主要原因是：编制2020年度预算时，基本支出项目预算的功能科目中没有卫生健康支出-</w:t>
      </w:r>
      <w:r>
        <w:rPr>
          <w:rFonts w:hint="eastAsia" w:ascii="仿宋_GB2312" w:eastAsia="仿宋_GB2312"/>
          <w:sz w:val="32"/>
          <w:szCs w:val="32"/>
          <w:highlight w:val="white"/>
        </w:rPr>
        <w:t>医疗保障管理事务，</w:t>
      </w:r>
      <w:r>
        <w:rPr>
          <w:rFonts w:hint="eastAsia" w:ascii="仿宋_GB2312" w:eastAsia="仿宋_GB2312"/>
          <w:sz w:val="32"/>
          <w:szCs w:val="32"/>
        </w:rPr>
        <w:t>所以把基本支出项目预算放在社会保障和就业支出这个功能科目</w:t>
      </w:r>
      <w:r>
        <w:rPr>
          <w:rFonts w:hint="eastAsia" w:ascii="仿宋_GB2312" w:eastAsia="仿宋_GB2312"/>
          <w:sz w:val="32"/>
          <w:szCs w:val="32"/>
          <w:highlight w:val="white"/>
        </w:rPr>
        <w:t>，而在编制2020年度决算时，把</w:t>
      </w:r>
      <w:r>
        <w:rPr>
          <w:rFonts w:hint="eastAsia" w:ascii="仿宋_GB2312" w:eastAsia="仿宋_GB2312"/>
          <w:sz w:val="32"/>
          <w:szCs w:val="32"/>
        </w:rPr>
        <w:t>基本支出项目</w:t>
      </w:r>
      <w:r>
        <w:rPr>
          <w:rFonts w:hint="eastAsia" w:ascii="仿宋_GB2312" w:eastAsia="仿宋_GB2312"/>
          <w:sz w:val="32"/>
          <w:szCs w:val="32"/>
          <w:highlight w:val="white"/>
        </w:rPr>
        <w:t>决算数据放在了</w:t>
      </w:r>
      <w:r>
        <w:rPr>
          <w:rFonts w:hint="eastAsia" w:ascii="仿宋_GB2312" w:eastAsia="仿宋_GB2312"/>
          <w:sz w:val="32"/>
          <w:szCs w:val="32"/>
        </w:rPr>
        <w:t>卫生健康支出-</w:t>
      </w:r>
      <w:r>
        <w:rPr>
          <w:rFonts w:hint="eastAsia" w:ascii="仿宋_GB2312" w:eastAsia="仿宋_GB2312"/>
          <w:sz w:val="32"/>
          <w:szCs w:val="32"/>
          <w:highlight w:val="white"/>
        </w:rPr>
        <w:t>医疗保障管理事务。</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6.住房保障支出（类）住房改革支出（款）住房公积金（项）。</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年初预算为21.56万元，支出决算为21.26万元，决算数大于年初预算数的主要原因是：</w:t>
      </w:r>
      <w:r>
        <w:rPr>
          <w:rFonts w:hint="eastAsia" w:ascii="仿宋_GB2312" w:eastAsia="仿宋_GB2312"/>
          <w:sz w:val="32"/>
          <w:szCs w:val="32"/>
          <w:highlight w:val="white"/>
        </w:rPr>
        <w:t>袁心如2020年3月退休</w:t>
      </w:r>
      <w:r>
        <w:rPr>
          <w:rFonts w:hint="eastAsia" w:ascii="仿宋_GB2312" w:eastAsia="仿宋_GB2312"/>
          <w:sz w:val="32"/>
          <w:szCs w:val="32"/>
        </w:rPr>
        <w:t xml:space="preserve">。 </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7.社会保障和就业支出（类）人力资源和社会保障管理事务（款）行政运行（项）。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rPr>
        <w:t>年初预算为329.87万元，支出决算为0万元，决算数大于年初预算数的主要原因是：编制2020年度预算时，基本支出项目预算的功能科目中没有卫生健康支出-</w:t>
      </w:r>
      <w:r>
        <w:rPr>
          <w:rFonts w:hint="eastAsia" w:ascii="仿宋_GB2312" w:eastAsia="仿宋_GB2312"/>
          <w:sz w:val="32"/>
          <w:szCs w:val="32"/>
          <w:highlight w:val="white"/>
        </w:rPr>
        <w:t>医疗保障管理事务，</w:t>
      </w:r>
      <w:r>
        <w:rPr>
          <w:rFonts w:hint="eastAsia" w:ascii="仿宋_GB2312" w:eastAsia="仿宋_GB2312"/>
          <w:sz w:val="32"/>
          <w:szCs w:val="32"/>
        </w:rPr>
        <w:t>所以把基本支出项目预算放在社会保障和就业支出这个功能科目</w:t>
      </w:r>
      <w:r>
        <w:rPr>
          <w:rFonts w:hint="eastAsia" w:ascii="仿宋_GB2312" w:eastAsia="仿宋_GB2312"/>
          <w:sz w:val="32"/>
          <w:szCs w:val="32"/>
          <w:highlight w:val="white"/>
        </w:rPr>
        <w:t>，而在编制2020年度决算时，把</w:t>
      </w:r>
      <w:r>
        <w:rPr>
          <w:rFonts w:hint="eastAsia" w:ascii="仿宋_GB2312" w:eastAsia="仿宋_GB2312"/>
          <w:sz w:val="32"/>
          <w:szCs w:val="32"/>
        </w:rPr>
        <w:t>基本支出项目</w:t>
      </w:r>
      <w:r>
        <w:rPr>
          <w:rFonts w:hint="eastAsia" w:ascii="仿宋_GB2312" w:eastAsia="仿宋_GB2312"/>
          <w:sz w:val="32"/>
          <w:szCs w:val="32"/>
          <w:highlight w:val="white"/>
        </w:rPr>
        <w:t>决算数据放在了</w:t>
      </w:r>
      <w:r>
        <w:rPr>
          <w:rFonts w:hint="eastAsia" w:ascii="仿宋_GB2312" w:eastAsia="仿宋_GB2312"/>
          <w:sz w:val="32"/>
          <w:szCs w:val="32"/>
        </w:rPr>
        <w:t>卫生健康支出-</w:t>
      </w:r>
      <w:r>
        <w:rPr>
          <w:rFonts w:hint="eastAsia" w:ascii="仿宋_GB2312" w:eastAsia="仿宋_GB2312"/>
          <w:sz w:val="32"/>
          <w:szCs w:val="32"/>
          <w:highlight w:val="white"/>
        </w:rPr>
        <w:t>医疗保障管理事务。</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highlight w:val="white"/>
        </w:rPr>
        <w:t>8.</w:t>
      </w:r>
      <w:r>
        <w:rPr>
          <w:rFonts w:hint="eastAsia" w:ascii="仿宋_GB2312" w:eastAsia="仿宋_GB2312"/>
          <w:sz w:val="32"/>
          <w:szCs w:val="32"/>
        </w:rPr>
        <w:t xml:space="preserve"> 社会保障和就业支出（类）行政事业单位养老支出（款）行政事业单位养老保险缴费支出（项）。</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年初预算为29.48万元，支出决算为0万元，原因是：发生的支出47.35万元放在卫生健康支出（类）医疗保障管理事务（款）行政运行（项）里核算了。</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9.卫生健康支出（类）行政事业单位医疗（款）事业单位医疗（项）。</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年初预算为17.97万元，支出决算为0万元，原因是：发生的支出38.46万元放在卫生健康支出（类）医疗保障管理事务（款）行政运行（项）里核算了。</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六、一般公共预算财政拨款基本支出决算情况说明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一般公共预算财政拨款基本支出506.53万元，其中:人员经费402.97万元，占基本支出的78.73%，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公用经费103.56万元，占基本支出的20.23%，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七、一般公共预算财政拨款“三公”经费支出决算情况说明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（一）“三公”经费财政拨款支出决算总体情况说明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2020年度“三公”经费财政拨款支出预算为15.5万元，调整预算数为0.9万元，支出决算为0.9万元,完成预算的100%，其中：</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无因公出国（境）费支出预算与决算；   </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无公务用车购置费及运行维护费支出预算与决算；   </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公务接待费支出预算为15.5万元，调整预算数0.9万元，支出决算为0.9万元,完成预算的100%，我单位严格按预算执行决算。与上年1.19万元相比减少0.29万元，减少24.37%,减少主要原因是认真贯彻落实</w:t>
      </w:r>
      <w:r>
        <w:rPr>
          <w:rFonts w:hint="eastAsia" w:ascii="仿宋_GB2312" w:eastAsia="仿宋_GB2312"/>
          <w:sz w:val="32"/>
          <w:szCs w:val="32"/>
          <w:lang w:eastAsia="zh-CN"/>
        </w:rPr>
        <w:t>中央八项规定</w:t>
      </w:r>
      <w:r>
        <w:rPr>
          <w:rFonts w:hint="eastAsia" w:ascii="仿宋_GB2312" w:eastAsia="仿宋_GB2312"/>
          <w:sz w:val="32"/>
          <w:szCs w:val="32"/>
        </w:rPr>
        <w:t>精神和厉行节约要求，从严控制“三公”经费开支，全年支出比上年有所压减。</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（二）“三公”经费财政拨款支出决算具体情况说明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2020年度“三公”经费财政拨款支出决算中，因公出国（境）费支出决算0万元，公务用车购置费及运行维护费支出决算0万元，公务接待费支出决算0.9万元，占100%。其中：</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highlight w:val="white"/>
        </w:rPr>
        <w:t>公务接待费支出决算为0.9万元，其中：其他国内公务接待支出0.9万元。主要用于与有关单位交流工作情况及接受相关部门检查指导工作发生的接待支出。</w:t>
      </w:r>
      <w:r>
        <w:rPr>
          <w:rFonts w:hint="eastAsia" w:ascii="仿宋_GB2312" w:eastAsia="仿宋_GB2312"/>
          <w:sz w:val="32"/>
          <w:szCs w:val="32"/>
        </w:rPr>
        <w:t>益阳市赫山区医疗保障事务中心2020年共接待国内公务接待批次10个、接待人次60人次（不包括陪同人员）。</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八、政府性基金预算收入支出决算情况</w:t>
      </w:r>
    </w:p>
    <w:p>
      <w:pPr>
        <w:widowControl w:val="0"/>
        <w:spacing w:line="560" w:lineRule="exact"/>
        <w:ind w:firstLine="640" w:firstLineChars="200"/>
        <w:rPr>
          <w:rFonts w:ascii="仿宋_GB2312" w:eastAsia="仿宋_GB2312"/>
          <w:sz w:val="32"/>
          <w:szCs w:val="32"/>
          <w:highlight w:val="yellow"/>
        </w:rPr>
      </w:pPr>
      <w:r>
        <w:rPr>
          <w:rFonts w:hint="eastAsia" w:ascii="仿宋_GB2312" w:eastAsia="仿宋_GB2312"/>
          <w:sz w:val="32"/>
          <w:szCs w:val="32"/>
          <w:highlight w:val="white"/>
        </w:rPr>
        <w:t>2020年政府性基金本年收入3098.17万元,占本年收入合计的6.94%。本年支出3098.17万元,占本年支出合计的6.93%。</w:t>
      </w:r>
      <w:r>
        <w:rPr>
          <w:rFonts w:hint="eastAsia" w:ascii="仿宋_GB2312" w:eastAsia="仿宋_GB2312"/>
          <w:sz w:val="32"/>
          <w:szCs w:val="32"/>
        </w:rPr>
        <w:t>项目支出3098.17万元,</w:t>
      </w:r>
      <w:r>
        <w:rPr>
          <w:rFonts w:hint="eastAsia" w:ascii="仿宋_GB2312" w:eastAsia="仿宋_GB2312"/>
          <w:sz w:val="32"/>
          <w:szCs w:val="32"/>
          <w:highlight w:val="white"/>
        </w:rPr>
        <w:t>占本年支出合计的6.93%。</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九、国有资本经营预算财政拨款支出决算情况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本年度无国有资本经营预算财政拨款收入和支出。</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十、关于机关运行经费支出说明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益阳市赫山区医疗保障事务中心2020年机关运行经费支出103.56万元。与年初预算数27.93万元相比，增长了270.78%。主要原因是：1.为宣传医保政策，印刷了大量的宣传资料。2.稽查部门下乡稽查的用车补助和误餐费年初没有预算。</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十一、一般性支出情况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本部门开支会议费1.71万元，主要用于：1.用于召开2020年城乡居民医保筹资工作会议，人数23人，内容为城乡居民医保筹资情况汇报，业务指导等。2.用于召2020年开城乡居民医保门诊统筹业务指导会议，人数72人，内容为城乡居民医保门诊统筹业务指导等。3.用于召开2020年城乡居民门诊统筹推进会议，人数51人，内容为城乡居民医保门诊统筹相关政策解读，信息系统使用培训等。开支培训费2.01万元，主要用于：1.用于开展城乡居民门诊统筹及两病业务培训，人数51人，内容为解读省市门诊统筹及两病文件精神，安排部署我区门诊统筹及两病业务。2.用于开展打击欺诈骗保行为自查自纠部署会，人数76人，内容为学习省市区相关文件，自查自纠工作安排部署等。没有举办节庆、晚会、论坛、赛事活动，开支0万元。</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十二、关于政府采购支出说明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 xml:space="preserve">本年度无政府采购。   </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十三、关于国有资产占有情况说明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本单位年末无车辆。年末无单价50万元以上通用设备，年末无单价100万元以上专用设备。</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 xml:space="preserve"> 十四、关于2020年度预算绩效情况的说明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（一）绩效管理工作开展情况。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为进一步规范财政资金的管理，强化财政支出绩效理念，建立健全财务管理制度和内控制度，依法、有效地使用财政资金，提高财政资金使用效率。</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１.成立了绩效评价小组，完善绩效自评评价指标。成立了由医保局分管副局长任组长，办公室、财务股、稽核股等组成工作小组,各股长为评价工作小组成员。本单位实际制订了自评方案，完善了评价指标体系，特别是对产出及效率指标进行细化、量化，如：对职责履行指标，围绕针对社会效益指标，围绕本部门职能设置具体产出评价指标。</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下发通知，布置单位自评。本单位高度重视，第一时间下发了《关于做好2020年度部门整体支出绩效自评工作的通知》，自评工作小组本着客观、公正、科学的原则，对照部门整体支出绩效评价指标表，通过基础数据、原始资料、会计报表、业务报表审核自查，对组织机构、人员编制、预算管理、预算执行情况等进行了全面绩效自评，在自评过程中发现问题，查找原因，及时纠正偏差，为下一步工作夯实基础。保证了绩效自评工作真实性、准确性和完整性。</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3.集查阅资料。收集相关规章、制度、职责、工作计划等各种资料，对相关资料进行审核，确保资料的真实完整、可信。</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4.形成评价结论。通过对资料分类整理和分析，按照评价指标、评价标准进行打分，形成自评结论，在自评过程中发现问题，查找原因，积极整改，为下一步的工作打下基础。</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5.整理归档。绩效自评小组将各预算单位自评情况、数据及相关佐证资料进行分类归档，有效索引。力争考核有数据、评价有依据、指标脉络明确、事实证据充分。</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（二）部门决算中项目绩效自评结果。</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上级各项资金都按时到位，按资金来源的要求专款专用。全区医保资金金额大，覆盖面广，受益人数多。为了管理好这些资金，2020年我区医疗保障工作在区委、区政府和上级主管部门的正确领导下，在区直各有关部门的大力支持和配合下，认真贯彻落实上级医疗保障有关政策法规及文件精神，在确保基金安全的前提下，充分发挥基金效益，参保群众受益度不断提高，社会效益明显。确保建档立卡贫困人口100%参加基本医疗保险和大病保险，实行贫困人口“基本医疗保险+大病保险+扶贫特惠保+医疗救助+财政兜底”一站式结算模式。认真执行上级精神。通过以上工作，我们进行了自评，既肯定了工作又找出了差距。</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参保对象对工作满意度95%。完善一站式服务平台，提高了群众报账效率、优化报账流程。参保群众对城乡居民医保工作开展比较满意。现行的城乡居民医保制度更优质、更实际，参保居民的获得感和满意度不断提高。</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（三）以部门为主体开展的重点绩效评价结果。</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1.预算支出概况。</w:t>
      </w:r>
    </w:p>
    <w:p>
      <w:pPr>
        <w:widowControl w:val="0"/>
        <w:spacing w:line="560" w:lineRule="exact"/>
        <w:ind w:firstLine="640" w:firstLineChars="200"/>
        <w:rPr>
          <w:rFonts w:ascii="仿宋_GB2312" w:eastAsia="仿宋_GB2312"/>
          <w:sz w:val="32"/>
          <w:szCs w:val="32"/>
          <w:highlight w:val="yellow"/>
        </w:rPr>
      </w:pPr>
      <w:r>
        <w:rPr>
          <w:rFonts w:hint="eastAsia" w:ascii="仿宋_GB2312" w:eastAsia="仿宋_GB2312"/>
          <w:sz w:val="32"/>
          <w:szCs w:val="32"/>
        </w:rPr>
        <w:t>项目1：城乡居民医保市级财政补助资金28010000元，文号：2020社指0090，来源类型：市级补助。</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项目2：2020年城乡居民医保省级财政补助结算资金10194000元，文号：2020社指0174，来源类型：省级补助。</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项目3：2020年城乡居民医保市级财政补助资金7567300元，文号：2020社指0134，来源类型：市级补助。</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项目4：2020年城乡居民基本医疗保险中央和省级财政补助资金（省级补助）77540000元，文号：2020社指0008，来源类型：上级专项。</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项目5：2020年城乡居民基本医疗保险中央和省级财政补助资金（中央资金）255370000元，文号：2020社指0008，来源类型：上级专项。</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我单位严格执行贯彻中央医疗保障制度改革有关城乡居民医保决策部署，依据中央和国务院深化医疗保障制度改革的意见进行决策，决策符合预算绩效管理要求和资金管理办法。2020年度我区城乡居民参保人数698940人，各级财政补助标准550元/人。我区2020年补助政策与市级出台文件一致。一是基金运行平稳有序。2020年全区以常住人口为基础计算的基本医保综合参保率98.29%；无重复参保人数，无虚报参保人数；参保人政策范围内住院费用报销比例64.30%，参保人住院费用实际报销比例51.30%。二是保障水平逐年提高。政策范围内报销比例由62.04%提高到64.30%，实际报销比例由50.76%提高到51.30%。实行了按病种、按人头付费等支付方式改革，开展门诊统筹，实行个人账户向门诊统筹过渡，住院人次的逐年增加，体现了城乡居民医保制度的优越性和先进性。为保障居民的受益度，从单一的住院补偿发展到现在的大病二次补偿、门诊统筹补偿、特慢疾病补偿、特药补偿筹等，居民的健康需求得到了满足，群众对城乡居民医保的满意度逐年增加，经办机构管理逐步规范，城乡居民医保的实施，保障了居民基本医疗，改善乡镇卫生院和区级医疗机构的医疗环境的同时也提高了乡镇医疗技术水平，各医疗机构内部管理更加规范。基金累计结余可支配月数3.8个月。</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2.预算资金使用管理情况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根据资金预算情况，制定了年度城乡居民医保实施方案。按城乡居民医保基金财务管理制度要求，严格管理城乡居民医保基金的收缴、使用、支付，在资金管理上强化责任意识，建立健全管理制度，定期调度资金拨付情况，提高预算执行效率和资金使用效益，确保资金使用安全。</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3.预算支出绩效目标完成程度。</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①强化政策宣传，提升知晓率。一是以各级各类会议、培训为媒介，大力解读城乡居民医保筹资政策，并结合实例广泛宣传城乡居民医保政策，因患重大疾病从中得到医疗救助实惠的典型事例引导居民积极参保。二是印发城乡居民医保政策宣传单、宣传册，确保参保人员及时了解政策。三是通过广播对最新的政策进行宣传。  </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②严把基金监管，确保安全。主要做到了严把“四关”，即严把审核关、稽查关、收支关、监管关。一是严格执行定点医疗机构协议管理办法，实行考核评价机制及准入退出机制。按定期与不定期，网上审核、现场稽查、病历抽查等方法对全区协议医疗机构进行稽核。开展打击欺诈骗保专项行动，组织各协议医药机构开展打击欺诈骗保自查自纠。二是落实城乡居民医保三级定期公示制度。定期公示城乡居民医保主要政策、就诊（转诊）流程、医疗费用报销情况和监督举报电话等内容。广泛接受社会及群众监督。三是对违反《中华人民共和国社会保险法》和基本医疗保险制度政策等有关规定骗取、套取城乡居民医保基金的行为，严肃查处，绝不姑息。</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③深化医保改革，卓有成效。一是实现参保群众全国异地住院即时结算，现阶段我们按省里统一要求进行系统备案，参保群众跨省异地就医无需跑腿、垫资。二是完善一站式平台建设。根据精准扶贫政策要求，建立一站式窗口，完善一站式平台，贫困人口基本医疗、大病保险、医疗救助、扶贫特惠保、医院减免、财政兜底一次性补偿到位，为贫困患者报销提供了便捷的服务，让他们少跑路，得实惠。</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④我区落实各种优惠政策：一是对贫困人口的政策倾斜：住院基本医疗补偿提高10%、大病报销起付线降低50%；开展就医结算“一站式”服务工作，整合各部门资金，建立“一站式”结算专户，确保建档立卡贫困人口在区内定点医院住院综合保障后报销比例达到85%，经转诊后，区外定点医院4类9种疾病及扩大病种住院综合保障后报销比例达到80%；二是特殊困难群体的优惠政策：五保户在区内定点医院综合报销比例达到100%；三是提高大病二次补偿的报销比例；四是对43种门诊特殊病种进行了“一站式”救助补偿。这些政策的落实，真正解决了困难群体的需求，对防止其因病致贫、因病返贫起到了重要作用。</w:t>
      </w:r>
    </w:p>
    <w:p>
      <w:pPr>
        <w:widowControl w:val="0"/>
        <w:spacing w:line="560" w:lineRule="exact"/>
        <w:ind w:firstLine="640" w:firstLineChars="200"/>
        <w:rPr>
          <w:rFonts w:ascii="黑体" w:hAnsi="黑体" w:eastAsia="黑体"/>
          <w:sz w:val="32"/>
          <w:szCs w:val="32"/>
        </w:rPr>
      </w:pPr>
    </w:p>
    <w:p>
      <w:pPr>
        <w:widowControl w:val="0"/>
        <w:spacing w:line="560" w:lineRule="exact"/>
        <w:rPr>
          <w:rFonts w:ascii="黑体" w:hAnsi="黑体" w:eastAsia="黑体"/>
          <w:sz w:val="32"/>
          <w:szCs w:val="32"/>
          <w:highlight w:val="white"/>
        </w:rPr>
      </w:pPr>
      <w:r>
        <w:rPr>
          <w:rFonts w:hint="eastAsia" w:ascii="黑体" w:hAnsi="黑体" w:eastAsia="黑体"/>
          <w:sz w:val="32"/>
          <w:szCs w:val="32"/>
          <w:highlight w:val="white"/>
        </w:rPr>
        <w:t>第</w:t>
      </w:r>
      <w:r>
        <w:rPr>
          <w:rFonts w:ascii="黑体" w:hAnsi="黑体" w:eastAsia="黑体"/>
          <w:sz w:val="32"/>
          <w:szCs w:val="32"/>
          <w:highlight w:val="white"/>
        </w:rPr>
        <w:t xml:space="preserve">四部分 </w:t>
      </w:r>
      <w:r>
        <w:rPr>
          <w:rFonts w:hint="eastAsia" w:ascii="黑体" w:hAnsi="黑体" w:eastAsia="黑体"/>
          <w:sz w:val="32"/>
          <w:szCs w:val="32"/>
          <w:highlight w:val="white"/>
        </w:rPr>
        <w:t>名词解释</w:t>
      </w:r>
    </w:p>
    <w:p>
      <w:pPr>
        <w:widowControl w:val="0"/>
        <w:spacing w:line="560" w:lineRule="exact"/>
        <w:ind w:firstLine="640" w:firstLineChars="200"/>
        <w:rPr>
          <w:rFonts w:ascii="仿宋_GB2312" w:eastAsia="仿宋_GB2312"/>
          <w:sz w:val="32"/>
          <w:szCs w:val="32"/>
          <w:highlight w:val="white"/>
        </w:rPr>
      </w:pP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财政拨款收入：指本级财政当年拨付的资金。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政府性基金预算财政拨款收入：指本级财政当年拨付的政府性基金预算资金。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其他收入：指除上述“财政拨款收入”、“上级补助收入”、“事业收入”、“经营收入”、“附属单位上缴收入”等以外的收入。</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上年结转和结余：指以前年度尚未完成、结转到本年按有关规定继续使用的资金。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年末结转和结余资金：指本年度或以前年度预算安排、因客观条件发生变化无法按原计划实施，需要延迟到以后年度按有关规定继续使用的资金。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卫生健康支出（类）：是指用于医疗卫生与计划生育方面的支出，包括保障机构正常运转、完成日常和特定的工作任务或事业发展目标的支出。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住房保障支出（类）：是指用于住房方面的支出，包括保障机构正常运转、完成日常和特定的工作任务或事业发展目标的支出。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其他支出（类）：是指用于反映除上述项目以外其他不能划分到具体功能科目中的支出项目，包括保障机构正常运转、完成日常和特定的工作任务或事业发展目标的支出。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抗疫特别国债安排的支出（类）：是指用于抗疫特别国债安排的支出项目，包括特定的工作任务或事业发展目标的支出。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基本支出：指保障机构正常运转、完成支日常工作任务而发生的人员支出和公用支出。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项目支出：指在基本支出之外为完成特定行政任务和事业发展目标所发生的支出。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工资福利支出：反映单位开支的在职职工和编制外长期聘用人员的各类劳动报酬，以及为上述人员缴纳的各项社会保险费等。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津贴补贴：反映经国家批准建立的机关事业单位艰苦边远地区津贴、机关工作人员地区附加津贴、机关工作人员岗位津贴、事业单位工作人员特殊岗位津贴补贴等。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奖金：反映机关工作人员年终一次性奖金。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伙食补助费：反映单位发给职工的伙食补助费，如误餐补助等。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机关事业单位基本养老保险缴费：反映机关事业单位缴纳的基本养老保险费。由单位代扣的工作人员基本养老保险缴费，不在此科目反映。</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职业年金缴费：反映机关事业单位实际缴纳的职业年金支出。由单位代扣的工作人员职业年金缴费，不在此科目反映。</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职工基本医疗保险缴费：反映单位为职工缴纳的基本医疗保险费。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其他社会保障缴费：反映单位为职工缴纳的基本医疗、失业、工伤、生育等社会保险费，残疾人就业保障金，军队（含武警）为军人缴纳的伤亡、退役医疗等社会保险费。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住房公积金：反映行政事业单位按人力资源和社会保障部、财政部规定的基本工资和津贴补贴以及规定比例为职工缴纳的住房公积金。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商品和服务支出：反映单位购买商品和服务的支出（不包括用于购置固定资产的支出、战略性和应急储备支出）。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办公费：反映单位购买按财务会计制度规定不符合固定资产确认标准的日常办公用品、书报杂志等支出。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印刷费：反映单位的印刷费支出。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水费：反映单位支付的水费、污水处理费等支出。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电费：反映单位的电费支出。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邮电费：反映单位开支的信函、包裹、货物等物品的邮寄费及电话费、电报费、传真费、网络通讯费等。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物业管理费：反映单位开支的办公用房以及未实行职工住宅物业服务改革的在职职工和离退休人员宿舍等的物业管理费，包括综合治理、绿化、卫生等方面的支出。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差旅费：反映单位工作人员出差发生的城市间交通费、住宿费、伙食补贴费和市内交通费。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维修(护)费：反映单位日常开支的固定资产（不包括车船等交通工具）修理和维护费用，网络信息系统运行与维护费用，以及按规定提取的修购基金。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会议费：反映会议中按规定开支的住宿费、伙食费、会议室租金、交通费、文件印刷费、医药费等。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培训费：反映除因公出国（境）培训费以外的各类培训支出。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公务接待费：反映单位按规定开支的各类公务接待（含外宾接待）费用。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工会经费：反映单位按规定提取的工会经费。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其他交通费用：反映单位除公务用车运行维护费以外的其他交通费用。如公务交通补贴，租车费用、出租车费用，飞机、船舶等的燃料费、维修费、保险费等。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其他商品和服务支出：反映上述科目未包括的日常公用支出。如行政赔偿费和诉讼费、国内组织的会员费、来访费、广告宣传、其他劳务费及离休人员特需费、公用经费等。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pPr>
        <w:widowControl w:val="0"/>
        <w:spacing w:line="560" w:lineRule="exact"/>
        <w:ind w:firstLine="640" w:firstLineChars="200"/>
        <w:rPr>
          <w:rFonts w:ascii="仿宋_GB2312" w:eastAsia="仿宋_GB2312"/>
          <w:sz w:val="32"/>
          <w:szCs w:val="32"/>
          <w:highlight w:val="white"/>
        </w:rPr>
      </w:pPr>
    </w:p>
    <w:p>
      <w:pPr>
        <w:widowControl w:val="0"/>
        <w:spacing w:line="560" w:lineRule="exact"/>
        <w:rPr>
          <w:rFonts w:ascii="黑体" w:hAnsi="黑体" w:eastAsia="黑体"/>
          <w:sz w:val="32"/>
          <w:szCs w:val="32"/>
        </w:rPr>
      </w:pPr>
      <w:r>
        <w:rPr>
          <w:rFonts w:hint="eastAsia" w:ascii="黑体" w:hAnsi="黑体" w:eastAsia="黑体"/>
          <w:sz w:val="32"/>
          <w:szCs w:val="32"/>
          <w:highlight w:val="white"/>
        </w:rPr>
        <w:t>附件:</w:t>
      </w:r>
    </w:p>
    <w:p>
      <w:pPr>
        <w:widowControl w:val="0"/>
        <w:spacing w:line="560" w:lineRule="exact"/>
        <w:jc w:val="center"/>
        <w:rPr>
          <w:rFonts w:ascii="方正小标宋简体" w:eastAsia="方正小标宋简体"/>
          <w:sz w:val="42"/>
          <w:szCs w:val="42"/>
        </w:rPr>
      </w:pPr>
      <w:r>
        <w:rPr>
          <w:rFonts w:hint="eastAsia" w:ascii="方正小标宋简体" w:eastAsia="方正小标宋简体"/>
          <w:sz w:val="42"/>
          <w:szCs w:val="42"/>
        </w:rPr>
        <w:t>益阳市赫山区医疗保障事务中心</w:t>
      </w:r>
    </w:p>
    <w:p>
      <w:pPr>
        <w:widowControl w:val="0"/>
        <w:spacing w:line="560" w:lineRule="exact"/>
        <w:jc w:val="center"/>
        <w:rPr>
          <w:rFonts w:ascii="方正小标宋简体" w:eastAsia="方正小标宋简体"/>
          <w:sz w:val="42"/>
          <w:szCs w:val="42"/>
        </w:rPr>
      </w:pPr>
      <w:r>
        <w:rPr>
          <w:rFonts w:hint="eastAsia" w:ascii="方正小标宋简体" w:eastAsia="方正小标宋简体"/>
          <w:sz w:val="42"/>
          <w:szCs w:val="42"/>
        </w:rPr>
        <w:t>2020年度部门整体支出绩效评价报告</w:t>
      </w:r>
    </w:p>
    <w:p>
      <w:pPr>
        <w:widowControl w:val="0"/>
        <w:spacing w:line="560" w:lineRule="exact"/>
        <w:ind w:firstLine="640" w:firstLineChars="200"/>
        <w:rPr>
          <w:rFonts w:ascii="仿宋_GB2312" w:eastAsia="仿宋_GB2312"/>
          <w:sz w:val="32"/>
          <w:szCs w:val="32"/>
        </w:rPr>
      </w:pP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为进一步规范财政资金管理，牢固树立预算绩效理念，强化部门支出责任，提高财政资金使用效益，根据《益阳市赫山区财政局关于做好2020年度预算绩效自评工作的通知》（益赫财绩〔2021〕1号）的文件要求，对2020年度部门整体支出绩效进行了自评，具体情况如下：</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一、基本情况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赫山区医疗保障事务中心是益阳市赫山区医疗保障局的二级机构，是参照公务员管理的事业单位，执行政府会计准则制度。主要职责和宗旨是负责全区城镇职工医疗保险、城乡居民医疗保险的基金征缴、支付、管理工作。在职职工30人，全额29人、差额1人，退休人员14人。内设办公室、财务股、城镇职工医疗保险审核股、城乡居民医疗保险审核股、征缴信息股、稽查股、联合督查组七个股室。各部门之间相互协调、相互配合，做到既分工又合作。</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二、一般公共预算支出情况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（一）基本支出情况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部门决算收入是44620.93万元，财政拨款收入44615.6万元，其他收入5.33万元，是肖乐，陈蓉生育津贴之差。上年基本支出结转126.46万元。财政拨款收入包括：军队转业干部安置拨款收入为50.5万元，占总收入比率为0.1%；卫生与健康支出拨款收入为41445.75万元，占总收入比率为92.9%，其中包括：1.财政对城乡居民医疗的补助拨款收入39625.43万元，2.城乡医疗救助拨款收入为1451.96万元，3.医疗保障管理事务运行经费拨款收入368.38万元；住房保障支出收入21.16万元；用于城乡医疗救助的彩票公益基金收入106.92万元；其他抗疫相关支出收入（对城乡居民医保的补助）2991.25万元。2020年总收入为44620.93万元，比去年减少1192.3万元，下降了2.6%。主要是健康扶贫兜底资金的项目指标移至区医疗保障局。</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部门决算支出是44737.93万元，按基本与项目分：基本支出511.86万元。其中：行政运行支出是511.86万元，本单位的行政运行经费是指为保障单位正常运转、完成日常工作任务而发生的各项人员工资类开支，包括：1、基本工资、津贴补贴、绩效工资、基本养老保险、职业年金、医疗保险等人员经费共计381.81万元；2、商品和服务支出等：是指为保障单位正常运转、完成日常工作任务而发生的各项公用开支，包括办公费、印刷费、水电费、维（修）护费、会议费、培训费、公务接待费、专用材料费、工会经费、福利费、公务用车运行及维护费支出等等日常公用经费共计108.89万元；住房保障支出中21.16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（二）项目支出情况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项目支出为44226.07万元占总支出的98.64%。包括：军队转业干部安置拨款收入为50.5万元；卫生与健康支出拨款收入为41077.4万元，占总收入比率为92.9%，其中包括：1.财政对城乡居民医疗的补助拨款收入39625.44万元，2.城乡医疗救助拨款收入为1451.96万元；用于城乡医疗救助的彩票公益基金支出106.92万元；其他抗疫相关支出（对城乡居民医保的补助）2991.25万元。总支出比去年减少1024.04万元，下降了2.24%。主要是健康扶贫兜底资金的项目指标移至区医疗保障局。</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政府性基金预算支出情况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highlight w:val="white"/>
        </w:rPr>
        <w:t>本单位无政府性基金预算支出</w:t>
      </w:r>
      <w:r>
        <w:rPr>
          <w:rFonts w:hint="eastAsia" w:ascii="仿宋_GB2312" w:eastAsia="仿宋_GB2312"/>
          <w:sz w:val="32"/>
          <w:szCs w:val="32"/>
        </w:rPr>
        <w:t>。</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四、国有资本经营预算支出情况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highlight w:val="white"/>
        </w:rPr>
        <w:t>本单位无国有资本经营预算支出</w:t>
      </w:r>
      <w:r>
        <w:rPr>
          <w:rFonts w:hint="eastAsia" w:ascii="仿宋_GB2312" w:eastAsia="仿宋_GB2312"/>
          <w:sz w:val="32"/>
          <w:szCs w:val="32"/>
        </w:rPr>
        <w:t>。</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rPr>
        <w:t>五、社会保险基金预算支出情况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2020年全区城乡居民基本医疗保险住院补偿 127538人次，住院率18%，住院总费用82230万元，可报费用66285万元，住院补偿50014万元，实际住院补偿率81%，实报率为61%；全年门诊补偿12899万元（含门诊大病）。</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城乡居民大病商业保险受理案件 6239起，补偿金额4535万元。城乡居民意外伤害保险受理案件5375起，补偿金额1690万元。</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享受一站式保障39762人次，住院总费用38687万元，可报销费用31468万元，报销金额28584万元，其中：基本医疗补助21583万元;大病保险补助4291万元;特惠保补助355万元；医疗救助1124万元;财政兜底1231万元。综合保障后实际报销比例达到82%。</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城镇职工医疗保险基金支付16538万元，其中社会统筹医疗基金支出9312万元；个人账户医疗基金支出7226万元；大病统筹基金支出690万元；二等乙级以上残军等特殊人员医疗基金支出224万元；意外伤害统筹基金支出143万元。</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六、部门整体支出绩效情况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上级各项资金都按时到位，按资金来源的要求专款专用。全区医保资金金额大，覆盖面广，受益人数多。为了管理好这些资金，2020年我区医疗保障工作在区委、区政府和上级主管部门的正确领导下，在区直各有关部门的大力支持和配合下，认真贯彻落实上级医疗保障有关政策法规及文件精神，在确保基金安全的前提下，充分发挥基金效益，参保群众受益度不断提高，社会效益明显。确保建档立卡贫困人口100%参加基本医疗保险和大病保险，实行贫困人口“基本医疗保险+大病保险+扶贫特惠保+医疗救助+财政兜底”一站式结算模式。认真执行上级精神。通过以上工作，我们进行了自评，既肯定了工作又找出了差距。</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参保对象对工作满意度95%。完善一站式服务平台，提高了群众报账效率、优化报账流程。参保群众对城乡居民医保工作开展比较满意。现行的城乡居民医保制度更优质、更实际，参保居民的获得感和满意度不断提高。</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七、存在的问题及原因分析</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highlight w:val="white"/>
        </w:rPr>
        <w:t>筹资年年提标，筹资压力加大。</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个人缴费标准由220元提高到250元，个人缴费标准逐年增加，部分群众交了没享受过报销，不能接受缴费年年涨的事实，不愿意交钱参保；部分在外地务工人员，在当地参加了医疗保险，由于政策要求不能重复参保重复报销，所以这一部分人在赫山就不再参保了，乡镇、街道筹资压力加大，若参保率下降，基金量减小，我区医保基金存在安全隐患。</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highlight w:val="white"/>
        </w:rPr>
        <w:t>医疗费用增长过快，基金面临压力。</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近几年，由于参保群众就医需求提高，医疗机构受利益的驱动，各种检查、用药费用居高不下，参保群众住院费用越来越高，参保群众住院费用逐年增长，医保基金的增长幅度远远不及住院费用的增长速度。开通省、市即时结算以后，医疗机构我们无法监管，方便了参保群众的同时医保基金也面临不小的压力。</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highlight w:val="white"/>
        </w:rPr>
        <w:t>医院违规现象仍然存在，监管难度增大。</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highlight w:val="white"/>
        </w:rPr>
        <w:t>一是门诊病人住院化。不应该收住院的门诊病人收住院治疗来增加医疗费用，一张床位住多个病人。二是检查用药主观化。不要检查的项目统统用上来，不要用的抗生素、价格高的中药和西药一并用上。三是追求利润最大化。没有上的服务项目收了费用；转诊病人还在虚记医疗费用；故意拖延住院时间套取医疗费用等。因协议医院太多，稽查人手有限，给监管带来了很大的难度。</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八、下一步改进措施</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（一）加大政策宣传力度</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全方位、多层次、多渠道宣传医疗保险政策，尤其是异地就医结算、大病保险、意外伤害保险、精准扶贫等惠民政策，做到家喻户晓、人人皆知。</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（二）落实好惠民政策</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按省、市、区文件要求落实好困难群众各项扶贫优惠政策，确保政策不走样；扎实做好异地就医备案和结算工作，方便参保群众在省内外异地医疗机构就诊报销。</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（三）加强医疗机构监管</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完善医疗机构服务协议，注重加强对各协议服务医疗机构落实、执行协议的监管，强化对协议服务医疗机构参保人员发生费用的实时监控，确保医保基金安全，有序地运行。</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（四）不断提升服务水平</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深入推进“放管服”改革，提升“互联网+医保”服务水平，推动窗口服务模式转变，打造群众满意示范窗口。建立健全医保内控制度，确保基金出口安全。加强医保系统能力建设，不断增强创造力、凝聚力、战斗力。</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九、其他需要说明的情况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无其他需要说明的情况。</w:t>
      </w:r>
    </w:p>
    <w:p>
      <w:pPr>
        <w:widowControl w:val="0"/>
        <w:spacing w:line="560" w:lineRule="exact"/>
        <w:ind w:firstLine="640" w:firstLineChars="200"/>
        <w:rPr>
          <w:rFonts w:ascii="仿宋_GB2312" w:eastAsia="仿宋_GB2312"/>
          <w:sz w:val="32"/>
          <w:szCs w:val="32"/>
        </w:rPr>
      </w:pPr>
    </w:p>
    <w:p>
      <w:pPr>
        <w:widowControl w:val="0"/>
        <w:spacing w:line="560" w:lineRule="exact"/>
        <w:ind w:firstLine="4640" w:firstLineChars="1450"/>
        <w:rPr>
          <w:rFonts w:ascii="仿宋_GB2312" w:eastAsia="仿宋_GB2312"/>
          <w:sz w:val="32"/>
          <w:szCs w:val="32"/>
        </w:rPr>
      </w:pPr>
      <w:r>
        <w:rPr>
          <w:rFonts w:hint="eastAsia" w:ascii="仿宋_GB2312" w:eastAsia="仿宋_GB2312"/>
          <w:sz w:val="32"/>
          <w:szCs w:val="32"/>
        </w:rPr>
        <w:t>赫山区医疗保障事务中心</w:t>
      </w:r>
    </w:p>
    <w:p>
      <w:pPr>
        <w:widowControl w:val="0"/>
        <w:spacing w:line="560" w:lineRule="exact"/>
        <w:ind w:firstLine="5120" w:firstLineChars="1600"/>
        <w:rPr>
          <w:rFonts w:ascii="仿宋_GB2312" w:eastAsia="仿宋_GB2312"/>
          <w:sz w:val="32"/>
          <w:szCs w:val="32"/>
        </w:rPr>
      </w:pPr>
      <w:r>
        <w:rPr>
          <w:rFonts w:hint="eastAsia" w:ascii="仿宋_GB2312" w:eastAsia="仿宋_GB2312"/>
          <w:sz w:val="32"/>
          <w:szCs w:val="32"/>
        </w:rPr>
        <w:t>2021年7月23日</w:t>
      </w:r>
    </w:p>
    <w:p>
      <w:pPr>
        <w:spacing w:line="480" w:lineRule="exact"/>
        <w:rPr>
          <w:rFonts w:ascii="方正小标宋简体" w:eastAsia="方正小标宋简体"/>
          <w:sz w:val="44"/>
          <w:szCs w:val="24"/>
        </w:rPr>
      </w:pPr>
      <w:r>
        <w:rPr>
          <w:rFonts w:ascii="方正小标宋简体" w:eastAsia="方正小标宋简体" w:cs="方正小标宋简体"/>
          <w:sz w:val="44"/>
          <w:szCs w:val="44"/>
        </w:rPr>
        <w:t>2020</w:t>
      </w:r>
      <w:r>
        <w:rPr>
          <w:rFonts w:hint="eastAsia" w:ascii="方正小标宋简体" w:eastAsia="方正小标宋简体" w:cs="方正小标宋简体"/>
          <w:sz w:val="44"/>
          <w:szCs w:val="44"/>
        </w:rPr>
        <w:t>年度部门整体支出绩效自评指标计分表</w:t>
      </w:r>
    </w:p>
    <w:p>
      <w:pPr>
        <w:spacing w:line="480" w:lineRule="exact"/>
        <w:rPr>
          <w:rFonts w:ascii="仿宋_GB2312"/>
          <w:szCs w:val="24"/>
        </w:rPr>
      </w:pPr>
    </w:p>
    <w:tbl>
      <w:tblPr>
        <w:tblStyle w:val="7"/>
        <w:tblW w:w="9364"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7"/>
        <w:gridCol w:w="570"/>
        <w:gridCol w:w="703"/>
        <w:gridCol w:w="446"/>
        <w:gridCol w:w="2976"/>
        <w:gridCol w:w="4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rPr>
        <w:tc>
          <w:tcPr>
            <w:tcW w:w="547" w:type="dxa"/>
            <w:tcMar>
              <w:top w:w="10" w:type="dxa"/>
              <w:left w:w="10" w:type="dxa"/>
              <w:bottom w:w="0" w:type="dxa"/>
              <w:right w:w="10" w:type="dxa"/>
            </w:tcMar>
            <w:vAlign w:val="center"/>
          </w:tcPr>
          <w:p>
            <w:pPr>
              <w:spacing w:line="220" w:lineRule="exact"/>
              <w:jc w:val="center"/>
              <w:rPr>
                <w:rFonts w:ascii="宋体" w:hAnsi="宋体" w:cs="宋体"/>
              </w:rPr>
            </w:pPr>
            <w:r>
              <w:rPr>
                <w:rFonts w:hint="eastAsia" w:ascii="宋体" w:hAnsi="宋体" w:cs="宋体"/>
              </w:rPr>
              <w:t>一级</w:t>
            </w:r>
          </w:p>
          <w:p>
            <w:pPr>
              <w:spacing w:line="220" w:lineRule="exact"/>
              <w:jc w:val="center"/>
              <w:rPr>
                <w:rFonts w:ascii="宋体" w:hAnsi="宋体"/>
              </w:rPr>
            </w:pPr>
            <w:r>
              <w:rPr>
                <w:rFonts w:hint="eastAsia" w:ascii="宋体" w:hAnsi="宋体" w:cs="宋体"/>
              </w:rPr>
              <w:t>指标</w:t>
            </w:r>
          </w:p>
        </w:tc>
        <w:tc>
          <w:tcPr>
            <w:tcW w:w="570" w:type="dxa"/>
            <w:tcMar>
              <w:top w:w="10" w:type="dxa"/>
              <w:left w:w="10" w:type="dxa"/>
              <w:bottom w:w="0" w:type="dxa"/>
              <w:right w:w="10" w:type="dxa"/>
            </w:tcMar>
            <w:vAlign w:val="center"/>
          </w:tcPr>
          <w:p>
            <w:pPr>
              <w:spacing w:line="220" w:lineRule="exact"/>
              <w:jc w:val="center"/>
              <w:rPr>
                <w:rFonts w:ascii="宋体" w:hAnsi="宋体"/>
              </w:rPr>
            </w:pPr>
            <w:r>
              <w:rPr>
                <w:rFonts w:hint="eastAsia" w:ascii="宋体" w:hAnsi="宋体" w:cs="宋体"/>
              </w:rPr>
              <w:t>二级指标</w:t>
            </w:r>
          </w:p>
        </w:tc>
        <w:tc>
          <w:tcPr>
            <w:tcW w:w="703" w:type="dxa"/>
            <w:tcMar>
              <w:top w:w="10" w:type="dxa"/>
              <w:left w:w="10" w:type="dxa"/>
              <w:bottom w:w="0" w:type="dxa"/>
              <w:right w:w="10" w:type="dxa"/>
            </w:tcMar>
            <w:vAlign w:val="center"/>
          </w:tcPr>
          <w:p>
            <w:pPr>
              <w:spacing w:line="220" w:lineRule="exact"/>
              <w:jc w:val="center"/>
              <w:rPr>
                <w:rFonts w:ascii="宋体" w:hAnsi="宋体"/>
              </w:rPr>
            </w:pPr>
            <w:r>
              <w:rPr>
                <w:rFonts w:hint="eastAsia" w:ascii="宋体" w:hAnsi="宋体" w:cs="宋体"/>
              </w:rPr>
              <w:t>三级指标</w:t>
            </w:r>
          </w:p>
        </w:tc>
        <w:tc>
          <w:tcPr>
            <w:tcW w:w="446" w:type="dxa"/>
            <w:tcMar>
              <w:top w:w="10" w:type="dxa"/>
              <w:left w:w="10" w:type="dxa"/>
              <w:bottom w:w="0" w:type="dxa"/>
              <w:right w:w="10" w:type="dxa"/>
            </w:tcMar>
            <w:vAlign w:val="center"/>
          </w:tcPr>
          <w:p>
            <w:pPr>
              <w:spacing w:line="220" w:lineRule="exact"/>
              <w:jc w:val="center"/>
              <w:rPr>
                <w:rFonts w:ascii="宋体" w:hAnsi="宋体"/>
              </w:rPr>
            </w:pPr>
            <w:r>
              <w:rPr>
                <w:rFonts w:hint="eastAsia" w:ascii="宋体" w:hAnsi="宋体" w:cs="宋体"/>
              </w:rPr>
              <w:t>自评分</w:t>
            </w:r>
          </w:p>
        </w:tc>
        <w:tc>
          <w:tcPr>
            <w:tcW w:w="2976" w:type="dxa"/>
            <w:tcMar>
              <w:top w:w="10" w:type="dxa"/>
              <w:left w:w="10" w:type="dxa"/>
              <w:bottom w:w="0" w:type="dxa"/>
              <w:right w:w="10" w:type="dxa"/>
            </w:tcMar>
            <w:vAlign w:val="center"/>
          </w:tcPr>
          <w:p>
            <w:pPr>
              <w:spacing w:line="220" w:lineRule="exact"/>
              <w:jc w:val="center"/>
              <w:rPr>
                <w:rFonts w:ascii="宋体" w:hAnsi="宋体"/>
              </w:rPr>
            </w:pPr>
            <w:r>
              <w:rPr>
                <w:rFonts w:hint="eastAsia" w:ascii="宋体" w:hAnsi="宋体" w:cs="宋体"/>
              </w:rPr>
              <w:t>指标解释</w:t>
            </w:r>
          </w:p>
        </w:tc>
        <w:tc>
          <w:tcPr>
            <w:tcW w:w="4122" w:type="dxa"/>
            <w:tcMar>
              <w:top w:w="10" w:type="dxa"/>
              <w:left w:w="10" w:type="dxa"/>
              <w:bottom w:w="0" w:type="dxa"/>
              <w:right w:w="10" w:type="dxa"/>
            </w:tcMar>
            <w:vAlign w:val="center"/>
          </w:tcPr>
          <w:p>
            <w:pPr>
              <w:spacing w:line="220" w:lineRule="exact"/>
              <w:jc w:val="center"/>
              <w:rPr>
                <w:rFonts w:ascii="宋体" w:hAnsi="宋体"/>
              </w:rPr>
            </w:pPr>
            <w:r>
              <w:rPr>
                <w:rFonts w:hint="eastAsia" w:ascii="宋体" w:hAnsi="宋体" w:cs="宋体"/>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restart"/>
            <w:tcMar>
              <w:top w:w="10" w:type="dxa"/>
              <w:left w:w="10" w:type="dxa"/>
              <w:bottom w:w="0" w:type="dxa"/>
              <w:right w:w="10" w:type="dxa"/>
            </w:tcMar>
            <w:textDirection w:val="tbRlV"/>
            <w:vAlign w:val="center"/>
          </w:tcPr>
          <w:p>
            <w:pPr>
              <w:spacing w:line="220" w:lineRule="exact"/>
              <w:jc w:val="center"/>
              <w:rPr>
                <w:rFonts w:ascii="宋体" w:hAnsi="宋体"/>
              </w:rPr>
            </w:pPr>
            <w:r>
              <w:rPr>
                <w:rFonts w:hint="eastAsia" w:ascii="宋体" w:hAnsi="宋体" w:cs="宋体"/>
              </w:rPr>
              <w:t>投</w:t>
            </w:r>
            <w:r>
              <w:rPr>
                <w:rFonts w:ascii="宋体" w:hAnsi="宋体" w:cs="宋体"/>
              </w:rPr>
              <w:t xml:space="preserve">   </w:t>
            </w:r>
            <w:r>
              <w:rPr>
                <w:rFonts w:hint="eastAsia" w:ascii="宋体" w:hAnsi="宋体" w:cs="宋体"/>
              </w:rPr>
              <w:t>入（</w:t>
            </w:r>
            <w:r>
              <w:rPr>
                <w:rFonts w:ascii="宋体" w:hAnsi="宋体" w:cs="宋体"/>
              </w:rPr>
              <w:t>20</w:t>
            </w:r>
            <w:r>
              <w:rPr>
                <w:rFonts w:hint="eastAsia" w:ascii="宋体" w:hAnsi="宋体" w:cs="宋体"/>
              </w:rPr>
              <w:t>分）</w:t>
            </w:r>
          </w:p>
        </w:tc>
        <w:tc>
          <w:tcPr>
            <w:tcW w:w="570" w:type="dxa"/>
            <w:vMerge w:val="restart"/>
            <w:tcMar>
              <w:top w:w="10" w:type="dxa"/>
              <w:left w:w="10" w:type="dxa"/>
              <w:bottom w:w="0" w:type="dxa"/>
              <w:right w:w="10" w:type="dxa"/>
            </w:tcMar>
            <w:vAlign w:val="center"/>
          </w:tcPr>
          <w:p>
            <w:pPr>
              <w:spacing w:line="220" w:lineRule="exact"/>
              <w:jc w:val="center"/>
              <w:rPr>
                <w:rFonts w:ascii="宋体" w:hAnsi="宋体" w:cs="宋体"/>
              </w:rPr>
            </w:pPr>
            <w:r>
              <w:rPr>
                <w:rFonts w:hint="eastAsia" w:ascii="宋体" w:hAnsi="宋体" w:cs="宋体"/>
              </w:rPr>
              <w:t>目标</w:t>
            </w:r>
          </w:p>
          <w:p>
            <w:pPr>
              <w:spacing w:line="220" w:lineRule="exact"/>
              <w:jc w:val="center"/>
              <w:rPr>
                <w:rFonts w:ascii="宋体" w:hAnsi="宋体"/>
              </w:rPr>
            </w:pPr>
            <w:r>
              <w:rPr>
                <w:rFonts w:hint="eastAsia" w:ascii="宋体" w:hAnsi="宋体" w:cs="宋体"/>
              </w:rPr>
              <w:t>设定（</w:t>
            </w:r>
            <w:r>
              <w:rPr>
                <w:rFonts w:ascii="宋体" w:hAnsi="宋体" w:cs="宋体"/>
              </w:rPr>
              <w:t>5</w:t>
            </w:r>
            <w:r>
              <w:rPr>
                <w:rFonts w:hint="eastAsia" w:ascii="宋体" w:hAnsi="宋体" w:cs="宋体"/>
              </w:rPr>
              <w:t>分）</w:t>
            </w:r>
          </w:p>
        </w:tc>
        <w:tc>
          <w:tcPr>
            <w:tcW w:w="703" w:type="dxa"/>
            <w:tcMar>
              <w:top w:w="10" w:type="dxa"/>
              <w:left w:w="10" w:type="dxa"/>
              <w:bottom w:w="0" w:type="dxa"/>
              <w:right w:w="10" w:type="dxa"/>
            </w:tcMar>
            <w:vAlign w:val="center"/>
          </w:tcPr>
          <w:p>
            <w:pPr>
              <w:spacing w:line="220" w:lineRule="exact"/>
              <w:jc w:val="center"/>
              <w:rPr>
                <w:rFonts w:ascii="宋体" w:hAnsi="宋体"/>
              </w:rPr>
            </w:pPr>
            <w:r>
              <w:rPr>
                <w:rFonts w:hint="eastAsia" w:ascii="宋体" w:hAnsi="宋体" w:cs="宋体"/>
              </w:rPr>
              <w:t>绩效目标合理性（</w:t>
            </w:r>
            <w:r>
              <w:rPr>
                <w:rFonts w:ascii="宋体" w:hAnsi="宋体" w:cs="宋体"/>
              </w:rPr>
              <w:t>2</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20" w:lineRule="exact"/>
              <w:jc w:val="center"/>
              <w:rPr>
                <w:rFonts w:ascii="宋体" w:hAnsi="宋体"/>
              </w:rPr>
            </w:pPr>
            <w:r>
              <w:rPr>
                <w:rFonts w:ascii="宋体" w:hAnsi="宋体"/>
              </w:rPr>
              <w:t>2</w:t>
            </w:r>
          </w:p>
        </w:tc>
        <w:tc>
          <w:tcPr>
            <w:tcW w:w="2976" w:type="dxa"/>
            <w:tcMar>
              <w:top w:w="10" w:type="dxa"/>
              <w:left w:w="10" w:type="dxa"/>
              <w:bottom w:w="0" w:type="dxa"/>
              <w:right w:w="10" w:type="dxa"/>
            </w:tcMar>
            <w:vAlign w:val="center"/>
          </w:tcPr>
          <w:p>
            <w:pPr>
              <w:tabs>
                <w:tab w:val="left" w:pos="2604"/>
              </w:tabs>
              <w:spacing w:line="220" w:lineRule="exact"/>
              <w:rPr>
                <w:rFonts w:ascii="宋体" w:hAnsi="宋体"/>
              </w:rPr>
            </w:pPr>
            <w:r>
              <w:rPr>
                <w:rFonts w:hint="eastAsia" w:ascii="宋体" w:hAnsi="宋体" w:cs="宋体"/>
              </w:rPr>
              <w:t>部门所设立的整体绩效目标依据是否充分，是否符合客观实际，用以反映和考核部门整体绩效目标与部门履职、年度工作任务的相符性情况。</w:t>
            </w:r>
          </w:p>
        </w:tc>
        <w:tc>
          <w:tcPr>
            <w:tcW w:w="4122" w:type="dxa"/>
            <w:tcMar>
              <w:top w:w="10" w:type="dxa"/>
              <w:left w:w="10" w:type="dxa"/>
              <w:bottom w:w="0" w:type="dxa"/>
              <w:right w:w="10" w:type="dxa"/>
            </w:tcMar>
            <w:vAlign w:val="center"/>
          </w:tcPr>
          <w:p>
            <w:pPr>
              <w:spacing w:line="220" w:lineRule="exact"/>
              <w:rPr>
                <w:rFonts w:ascii="宋体" w:hAnsi="宋体"/>
              </w:rPr>
            </w:pPr>
            <w:r>
              <w:rPr>
                <w:rFonts w:hint="eastAsia" w:ascii="宋体" w:hAnsi="宋体" w:cs="宋体"/>
              </w:rPr>
              <w:t>①符合国家法律法规、国民经济和社会发展总体规划计</w:t>
            </w:r>
            <w:r>
              <w:rPr>
                <w:rFonts w:ascii="宋体" w:hAnsi="宋体" w:cs="宋体"/>
              </w:rPr>
              <w:t>1</w:t>
            </w:r>
            <w:r>
              <w:rPr>
                <w:rFonts w:hint="eastAsia" w:ascii="宋体" w:hAnsi="宋体" w:cs="宋体"/>
              </w:rPr>
              <w:t>分；②符合部门“三定”方案确定的职责计</w:t>
            </w:r>
            <w:r>
              <w:rPr>
                <w:rFonts w:ascii="宋体" w:hAnsi="宋体" w:cs="宋体"/>
              </w:rPr>
              <w:t>0.5</w:t>
            </w:r>
            <w:r>
              <w:rPr>
                <w:rFonts w:hint="eastAsia" w:ascii="宋体" w:hAnsi="宋体" w:cs="宋体"/>
              </w:rPr>
              <w:t>分；③是否符合部门制定的中长期实施规划计</w:t>
            </w:r>
            <w:r>
              <w:rPr>
                <w:rFonts w:ascii="宋体" w:hAnsi="宋体" w:cs="宋体"/>
              </w:rPr>
              <w:t>0.5</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20" w:lineRule="exact"/>
              <w:jc w:val="center"/>
              <w:rPr>
                <w:rFonts w:ascii="宋体" w:hAnsi="宋体"/>
              </w:rPr>
            </w:pPr>
          </w:p>
        </w:tc>
        <w:tc>
          <w:tcPr>
            <w:tcW w:w="570" w:type="dxa"/>
            <w:vMerge w:val="continue"/>
            <w:vAlign w:val="center"/>
          </w:tcPr>
          <w:p>
            <w:pPr>
              <w:spacing w:line="220" w:lineRule="exact"/>
              <w:jc w:val="center"/>
              <w:rPr>
                <w:rFonts w:ascii="宋体" w:hAnsi="宋体"/>
              </w:rPr>
            </w:pPr>
          </w:p>
        </w:tc>
        <w:tc>
          <w:tcPr>
            <w:tcW w:w="703" w:type="dxa"/>
            <w:tcMar>
              <w:top w:w="10" w:type="dxa"/>
              <w:left w:w="10" w:type="dxa"/>
              <w:bottom w:w="0" w:type="dxa"/>
              <w:right w:w="10" w:type="dxa"/>
            </w:tcMar>
            <w:vAlign w:val="center"/>
          </w:tcPr>
          <w:p>
            <w:pPr>
              <w:spacing w:line="220" w:lineRule="exact"/>
              <w:jc w:val="center"/>
              <w:rPr>
                <w:rFonts w:ascii="宋体" w:hAnsi="宋体"/>
              </w:rPr>
            </w:pPr>
            <w:r>
              <w:rPr>
                <w:rFonts w:hint="eastAsia" w:ascii="宋体" w:hAnsi="宋体" w:cs="宋体"/>
              </w:rPr>
              <w:t>绩效指标明确性（</w:t>
            </w:r>
            <w:r>
              <w:rPr>
                <w:rFonts w:ascii="宋体" w:hAnsi="宋体" w:cs="宋体"/>
              </w:rPr>
              <w:t>3</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20" w:lineRule="exact"/>
              <w:jc w:val="center"/>
              <w:rPr>
                <w:rFonts w:ascii="宋体" w:hAnsi="宋体"/>
              </w:rPr>
            </w:pPr>
            <w:r>
              <w:rPr>
                <w:rFonts w:ascii="宋体" w:hAnsi="宋体"/>
              </w:rPr>
              <w:t>3</w:t>
            </w:r>
          </w:p>
        </w:tc>
        <w:tc>
          <w:tcPr>
            <w:tcW w:w="2976" w:type="dxa"/>
            <w:tcMar>
              <w:top w:w="10" w:type="dxa"/>
              <w:left w:w="10" w:type="dxa"/>
              <w:bottom w:w="0" w:type="dxa"/>
              <w:right w:w="10" w:type="dxa"/>
            </w:tcMar>
            <w:vAlign w:val="center"/>
          </w:tcPr>
          <w:p>
            <w:pPr>
              <w:tabs>
                <w:tab w:val="left" w:pos="2604"/>
              </w:tabs>
              <w:spacing w:line="220" w:lineRule="exact"/>
              <w:rPr>
                <w:rFonts w:ascii="宋体" w:hAnsi="宋体"/>
              </w:rPr>
            </w:pPr>
            <w:r>
              <w:rPr>
                <w:rFonts w:hint="eastAsia" w:ascii="宋体" w:hAnsi="宋体" w:cs="宋体"/>
              </w:rPr>
              <w:t>部门依据整体绩效目标所设定的绩效指标是否清晰、细化、可衡量，用以反映和考核部门整体绩效目标的明细化情况。</w:t>
            </w:r>
          </w:p>
        </w:tc>
        <w:tc>
          <w:tcPr>
            <w:tcW w:w="4122" w:type="dxa"/>
            <w:tcMar>
              <w:top w:w="10" w:type="dxa"/>
              <w:left w:w="10" w:type="dxa"/>
              <w:bottom w:w="0" w:type="dxa"/>
              <w:right w:w="10" w:type="dxa"/>
            </w:tcMar>
            <w:vAlign w:val="center"/>
          </w:tcPr>
          <w:p>
            <w:pPr>
              <w:spacing w:line="220" w:lineRule="exact"/>
              <w:rPr>
                <w:rFonts w:ascii="宋体" w:hAnsi="宋体"/>
              </w:rPr>
            </w:pPr>
            <w:r>
              <w:rPr>
                <w:rFonts w:hint="eastAsia" w:ascii="宋体" w:hAnsi="宋体" w:cs="宋体"/>
              </w:rPr>
              <w:t>①将部门整体的绩效目标细化分解为具体的工作任务计</w:t>
            </w:r>
            <w:r>
              <w:rPr>
                <w:rFonts w:ascii="宋体" w:hAnsi="宋体" w:cs="宋体"/>
              </w:rPr>
              <w:t>1</w:t>
            </w:r>
            <w:r>
              <w:rPr>
                <w:rFonts w:hint="eastAsia" w:ascii="宋体" w:hAnsi="宋体" w:cs="宋体"/>
              </w:rPr>
              <w:t>分；②通过清晰、可衡量的指标值予以体现计</w:t>
            </w:r>
            <w:r>
              <w:rPr>
                <w:rFonts w:ascii="宋体" w:hAnsi="宋体" w:cs="宋体"/>
              </w:rPr>
              <w:t>0.5</w:t>
            </w:r>
            <w:r>
              <w:rPr>
                <w:rFonts w:hint="eastAsia" w:ascii="宋体" w:hAnsi="宋体" w:cs="宋体"/>
              </w:rPr>
              <w:t>分。③与部门年度的任务数或计划数相对应计</w:t>
            </w:r>
            <w:r>
              <w:rPr>
                <w:rFonts w:ascii="宋体" w:hAnsi="宋体" w:cs="宋体"/>
              </w:rPr>
              <w:t>0.5</w:t>
            </w:r>
            <w:r>
              <w:rPr>
                <w:rFonts w:hint="eastAsia" w:ascii="宋体" w:hAnsi="宋体" w:cs="宋体"/>
              </w:rPr>
              <w:t>分；④与本年度部门预算资金相匹配计</w:t>
            </w:r>
            <w:r>
              <w:rPr>
                <w:rFonts w:ascii="宋体" w:hAnsi="宋体" w:cs="宋体"/>
              </w:rPr>
              <w:t>1</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20" w:lineRule="exact"/>
              <w:jc w:val="center"/>
              <w:rPr>
                <w:rFonts w:ascii="宋体" w:hAnsi="宋体"/>
              </w:rPr>
            </w:pPr>
          </w:p>
        </w:tc>
        <w:tc>
          <w:tcPr>
            <w:tcW w:w="570" w:type="dxa"/>
            <w:vMerge w:val="restart"/>
            <w:tcMar>
              <w:top w:w="10" w:type="dxa"/>
              <w:left w:w="10" w:type="dxa"/>
              <w:bottom w:w="0" w:type="dxa"/>
              <w:right w:w="10" w:type="dxa"/>
            </w:tcMar>
            <w:vAlign w:val="center"/>
          </w:tcPr>
          <w:p>
            <w:pPr>
              <w:spacing w:line="220" w:lineRule="exact"/>
              <w:jc w:val="center"/>
              <w:rPr>
                <w:rFonts w:ascii="宋体" w:hAnsi="宋体" w:cs="宋体"/>
              </w:rPr>
            </w:pPr>
            <w:r>
              <w:rPr>
                <w:rFonts w:hint="eastAsia" w:ascii="宋体" w:hAnsi="宋体" w:cs="宋体"/>
              </w:rPr>
              <w:t>预算</w:t>
            </w:r>
          </w:p>
          <w:p>
            <w:pPr>
              <w:spacing w:line="220" w:lineRule="exact"/>
              <w:jc w:val="center"/>
              <w:rPr>
                <w:rFonts w:ascii="宋体" w:hAnsi="宋体"/>
              </w:rPr>
            </w:pPr>
            <w:r>
              <w:rPr>
                <w:rFonts w:hint="eastAsia" w:ascii="宋体" w:hAnsi="宋体" w:cs="宋体"/>
              </w:rPr>
              <w:t>配置（</w:t>
            </w:r>
            <w:r>
              <w:rPr>
                <w:rFonts w:ascii="宋体" w:hAnsi="宋体" w:cs="宋体"/>
              </w:rPr>
              <w:t>15</w:t>
            </w:r>
            <w:r>
              <w:rPr>
                <w:rFonts w:hint="eastAsia" w:ascii="宋体" w:hAnsi="宋体" w:cs="宋体"/>
              </w:rPr>
              <w:t>分）</w:t>
            </w:r>
          </w:p>
        </w:tc>
        <w:tc>
          <w:tcPr>
            <w:tcW w:w="703" w:type="dxa"/>
            <w:tcMar>
              <w:top w:w="10" w:type="dxa"/>
              <w:left w:w="10" w:type="dxa"/>
              <w:bottom w:w="0" w:type="dxa"/>
              <w:right w:w="10" w:type="dxa"/>
            </w:tcMar>
            <w:vAlign w:val="center"/>
          </w:tcPr>
          <w:p>
            <w:pPr>
              <w:spacing w:line="220" w:lineRule="exact"/>
              <w:jc w:val="center"/>
              <w:rPr>
                <w:rFonts w:ascii="宋体" w:hAnsi="宋体"/>
              </w:rPr>
            </w:pPr>
            <w:r>
              <w:rPr>
                <w:rFonts w:hint="eastAsia" w:ascii="宋体" w:hAnsi="宋体" w:cs="宋体"/>
              </w:rPr>
              <w:t>在职人员控制率（</w:t>
            </w:r>
            <w:r>
              <w:rPr>
                <w:rFonts w:ascii="宋体" w:hAnsi="宋体" w:cs="宋体"/>
              </w:rPr>
              <w:t>5</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20" w:lineRule="exact"/>
              <w:jc w:val="center"/>
              <w:rPr>
                <w:rFonts w:ascii="宋体" w:hAnsi="宋体"/>
              </w:rPr>
            </w:pPr>
            <w:r>
              <w:rPr>
                <w:rFonts w:ascii="宋体" w:hAnsi="宋体"/>
              </w:rPr>
              <w:t>5</w:t>
            </w:r>
          </w:p>
        </w:tc>
        <w:tc>
          <w:tcPr>
            <w:tcW w:w="2976" w:type="dxa"/>
            <w:tcMar>
              <w:top w:w="10" w:type="dxa"/>
              <w:left w:w="10" w:type="dxa"/>
              <w:bottom w:w="0" w:type="dxa"/>
              <w:right w:w="10" w:type="dxa"/>
            </w:tcMar>
            <w:vAlign w:val="center"/>
          </w:tcPr>
          <w:p>
            <w:pPr>
              <w:tabs>
                <w:tab w:val="left" w:pos="2604"/>
              </w:tabs>
              <w:spacing w:line="220" w:lineRule="exact"/>
              <w:rPr>
                <w:rFonts w:ascii="宋体" w:hAnsi="宋体"/>
              </w:rPr>
            </w:pPr>
            <w:r>
              <w:rPr>
                <w:rFonts w:hint="eastAsia" w:ascii="宋体" w:hAnsi="宋体" w:cs="宋体"/>
              </w:rPr>
              <w:t>部门本年度实际在职人员数与编制数的比率，用以反映和考核部门对人员成本的控制程度。</w:t>
            </w:r>
          </w:p>
        </w:tc>
        <w:tc>
          <w:tcPr>
            <w:tcW w:w="4122" w:type="dxa"/>
            <w:tcMar>
              <w:top w:w="10" w:type="dxa"/>
              <w:left w:w="10" w:type="dxa"/>
              <w:bottom w:w="0" w:type="dxa"/>
              <w:right w:w="10" w:type="dxa"/>
            </w:tcMar>
            <w:vAlign w:val="center"/>
          </w:tcPr>
          <w:p>
            <w:pPr>
              <w:spacing w:line="220" w:lineRule="exact"/>
              <w:rPr>
                <w:rFonts w:ascii="宋体" w:hAnsi="宋体"/>
              </w:rPr>
            </w:pPr>
            <w:r>
              <w:rPr>
                <w:rFonts w:hint="eastAsia" w:ascii="宋体" w:hAnsi="宋体" w:cs="宋体"/>
              </w:rPr>
              <w:t>在职人员控制率</w:t>
            </w:r>
            <w:r>
              <w:rPr>
                <w:rFonts w:ascii="宋体" w:hAnsi="宋体" w:cs="宋体"/>
              </w:rPr>
              <w:t>=</w:t>
            </w:r>
            <w:r>
              <w:rPr>
                <w:rFonts w:hint="eastAsia" w:ascii="宋体" w:hAnsi="宋体" w:cs="宋体"/>
              </w:rPr>
              <w:t>（在职人员数</w:t>
            </w:r>
            <w:r>
              <w:rPr>
                <w:rFonts w:ascii="宋体" w:hAnsi="宋体" w:cs="宋体"/>
              </w:rPr>
              <w:t>/</w:t>
            </w:r>
            <w:r>
              <w:rPr>
                <w:rFonts w:hint="eastAsia" w:ascii="宋体" w:hAnsi="宋体" w:cs="宋体"/>
              </w:rPr>
              <w:t>编制数）×</w:t>
            </w:r>
            <w:r>
              <w:rPr>
                <w:rFonts w:ascii="宋体" w:hAnsi="宋体" w:cs="宋体"/>
              </w:rPr>
              <w:t>100%</w:t>
            </w:r>
            <w:r>
              <w:rPr>
                <w:rFonts w:hint="eastAsia" w:ascii="宋体" w:hAnsi="宋体" w:cs="宋体"/>
              </w:rPr>
              <w:t>小于或等于</w:t>
            </w:r>
            <w:r>
              <w:rPr>
                <w:rFonts w:ascii="宋体" w:hAnsi="宋体" w:cs="宋体"/>
              </w:rPr>
              <w:t>1</w:t>
            </w:r>
            <w:r>
              <w:rPr>
                <w:rFonts w:hint="eastAsia" w:ascii="宋体" w:hAnsi="宋体" w:cs="宋体"/>
              </w:rPr>
              <w:t>计</w:t>
            </w:r>
            <w:r>
              <w:rPr>
                <w:rFonts w:ascii="宋体" w:hAnsi="宋体" w:cs="宋体"/>
              </w:rPr>
              <w:t>5</w:t>
            </w:r>
            <w:r>
              <w:rPr>
                <w:rFonts w:hint="eastAsia" w:ascii="宋体" w:hAnsi="宋体" w:cs="宋体"/>
              </w:rPr>
              <w:t>分，否则按比例计分。在职人员数：部门实际在职人数，以财政部确定的部门决算编制口径为准。编制数：机构编制部门核定批复的部门的人员编制数。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20" w:lineRule="exact"/>
              <w:jc w:val="center"/>
              <w:rPr>
                <w:rFonts w:ascii="宋体" w:hAnsi="宋体"/>
              </w:rPr>
            </w:pPr>
          </w:p>
        </w:tc>
        <w:tc>
          <w:tcPr>
            <w:tcW w:w="570" w:type="dxa"/>
            <w:vMerge w:val="continue"/>
            <w:vAlign w:val="center"/>
          </w:tcPr>
          <w:p>
            <w:pPr>
              <w:spacing w:line="220" w:lineRule="exact"/>
              <w:jc w:val="center"/>
              <w:rPr>
                <w:rFonts w:ascii="宋体" w:hAnsi="宋体"/>
              </w:rPr>
            </w:pPr>
          </w:p>
        </w:tc>
        <w:tc>
          <w:tcPr>
            <w:tcW w:w="703" w:type="dxa"/>
            <w:tcMar>
              <w:top w:w="10" w:type="dxa"/>
              <w:left w:w="10" w:type="dxa"/>
              <w:bottom w:w="0" w:type="dxa"/>
              <w:right w:w="10" w:type="dxa"/>
            </w:tcMar>
            <w:vAlign w:val="center"/>
          </w:tcPr>
          <w:p>
            <w:pPr>
              <w:spacing w:line="220" w:lineRule="exact"/>
              <w:jc w:val="center"/>
              <w:rPr>
                <w:rFonts w:ascii="宋体" w:hAnsi="宋体"/>
              </w:rPr>
            </w:pPr>
            <w:r>
              <w:rPr>
                <w:rFonts w:hint="eastAsia" w:ascii="宋体" w:hAnsi="宋体" w:cs="宋体"/>
              </w:rPr>
              <w:t>“三公经费”</w:t>
            </w:r>
          </w:p>
          <w:p>
            <w:pPr>
              <w:spacing w:line="220" w:lineRule="exact"/>
              <w:jc w:val="center"/>
              <w:rPr>
                <w:rFonts w:ascii="宋体" w:hAnsi="宋体"/>
              </w:rPr>
            </w:pPr>
            <w:r>
              <w:rPr>
                <w:rFonts w:hint="eastAsia" w:ascii="宋体" w:hAnsi="宋体" w:cs="宋体"/>
              </w:rPr>
              <w:t>变动率（</w:t>
            </w:r>
            <w:r>
              <w:rPr>
                <w:rFonts w:ascii="宋体" w:hAnsi="宋体" w:cs="宋体"/>
              </w:rPr>
              <w:t>5</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20" w:lineRule="exact"/>
              <w:jc w:val="center"/>
              <w:rPr>
                <w:rFonts w:ascii="宋体" w:hAnsi="宋体"/>
              </w:rPr>
            </w:pPr>
            <w:r>
              <w:rPr>
                <w:rFonts w:ascii="宋体" w:hAnsi="宋体"/>
              </w:rPr>
              <w:t>5</w:t>
            </w:r>
          </w:p>
        </w:tc>
        <w:tc>
          <w:tcPr>
            <w:tcW w:w="2976" w:type="dxa"/>
            <w:tcMar>
              <w:top w:w="10" w:type="dxa"/>
              <w:left w:w="10" w:type="dxa"/>
              <w:bottom w:w="0" w:type="dxa"/>
              <w:right w:w="10" w:type="dxa"/>
            </w:tcMar>
            <w:vAlign w:val="center"/>
          </w:tcPr>
          <w:p>
            <w:pPr>
              <w:tabs>
                <w:tab w:val="left" w:pos="2604"/>
              </w:tabs>
              <w:spacing w:line="220" w:lineRule="exact"/>
              <w:rPr>
                <w:rFonts w:ascii="宋体" w:hAnsi="宋体"/>
              </w:rPr>
            </w:pPr>
            <w:r>
              <w:rPr>
                <w:rFonts w:hint="eastAsia" w:ascii="宋体" w:hAnsi="宋体" w:cs="宋体"/>
              </w:rPr>
              <w:t>部门本年度“三公经费”预算数与上年度“三公经费”预算数的变动比率，用以反映和考核部门对控制重点行政成本的努力程度。</w:t>
            </w:r>
          </w:p>
        </w:tc>
        <w:tc>
          <w:tcPr>
            <w:tcW w:w="4122" w:type="dxa"/>
            <w:tcMar>
              <w:top w:w="10" w:type="dxa"/>
              <w:left w:w="10" w:type="dxa"/>
              <w:bottom w:w="0" w:type="dxa"/>
              <w:right w:w="10" w:type="dxa"/>
            </w:tcMar>
            <w:vAlign w:val="center"/>
          </w:tcPr>
          <w:p>
            <w:pPr>
              <w:spacing w:line="220" w:lineRule="exact"/>
              <w:rPr>
                <w:rFonts w:ascii="宋体" w:hAnsi="宋体"/>
              </w:rPr>
            </w:pPr>
            <w:r>
              <w:rPr>
                <w:rFonts w:hint="eastAsia" w:ascii="宋体" w:hAnsi="宋体" w:cs="宋体"/>
              </w:rPr>
              <w:t>“三公经费”变动率</w:t>
            </w:r>
            <w:r>
              <w:rPr>
                <w:rFonts w:ascii="宋体" w:hAnsi="宋体" w:cs="宋体"/>
              </w:rPr>
              <w:t>=[</w:t>
            </w:r>
            <w:r>
              <w:rPr>
                <w:rFonts w:hint="eastAsia" w:ascii="宋体" w:hAnsi="宋体" w:cs="宋体"/>
              </w:rPr>
              <w:t>（本年度“三公经费”总额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。下降的计</w:t>
            </w:r>
            <w:r>
              <w:rPr>
                <w:rFonts w:ascii="宋体" w:hAnsi="宋体" w:cs="宋体"/>
              </w:rPr>
              <w:t>5</w:t>
            </w:r>
            <w:r>
              <w:rPr>
                <w:rFonts w:hint="eastAsia" w:ascii="宋体" w:hAnsi="宋体" w:cs="宋体"/>
              </w:rPr>
              <w:t>分，增加的按比例扣减。“三公经费”：年度预算安排的因公出国（境）费、公务车辆购置及运行费和公务招待费。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20" w:lineRule="exact"/>
              <w:jc w:val="center"/>
              <w:rPr>
                <w:rFonts w:ascii="宋体" w:hAnsi="宋体"/>
              </w:rPr>
            </w:pPr>
          </w:p>
        </w:tc>
        <w:tc>
          <w:tcPr>
            <w:tcW w:w="570" w:type="dxa"/>
            <w:vMerge w:val="continue"/>
            <w:vAlign w:val="center"/>
          </w:tcPr>
          <w:p>
            <w:pPr>
              <w:spacing w:line="220" w:lineRule="exact"/>
              <w:jc w:val="center"/>
              <w:rPr>
                <w:rFonts w:ascii="宋体" w:hAnsi="宋体"/>
              </w:rPr>
            </w:pPr>
          </w:p>
        </w:tc>
        <w:tc>
          <w:tcPr>
            <w:tcW w:w="703" w:type="dxa"/>
            <w:tcMar>
              <w:top w:w="10" w:type="dxa"/>
              <w:left w:w="10" w:type="dxa"/>
              <w:bottom w:w="0" w:type="dxa"/>
              <w:right w:w="10" w:type="dxa"/>
            </w:tcMar>
            <w:vAlign w:val="center"/>
          </w:tcPr>
          <w:p>
            <w:pPr>
              <w:spacing w:line="220" w:lineRule="exact"/>
              <w:jc w:val="center"/>
              <w:rPr>
                <w:rFonts w:ascii="宋体" w:hAnsi="宋体"/>
              </w:rPr>
            </w:pPr>
            <w:r>
              <w:rPr>
                <w:rFonts w:hint="eastAsia" w:ascii="宋体" w:hAnsi="宋体" w:cs="宋体"/>
              </w:rPr>
              <w:t>重点支出安排率（</w:t>
            </w:r>
            <w:r>
              <w:rPr>
                <w:rFonts w:ascii="宋体" w:hAnsi="宋体" w:cs="宋体"/>
              </w:rPr>
              <w:t>5</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20" w:lineRule="exact"/>
              <w:jc w:val="center"/>
              <w:rPr>
                <w:rFonts w:ascii="宋体" w:hAnsi="宋体"/>
              </w:rPr>
            </w:pPr>
            <w:r>
              <w:rPr>
                <w:rFonts w:ascii="宋体" w:hAnsi="宋体"/>
              </w:rPr>
              <w:t>5</w:t>
            </w:r>
          </w:p>
        </w:tc>
        <w:tc>
          <w:tcPr>
            <w:tcW w:w="2976" w:type="dxa"/>
            <w:tcMar>
              <w:top w:w="10" w:type="dxa"/>
              <w:left w:w="10" w:type="dxa"/>
              <w:bottom w:w="0" w:type="dxa"/>
              <w:right w:w="10" w:type="dxa"/>
            </w:tcMar>
            <w:vAlign w:val="center"/>
          </w:tcPr>
          <w:p>
            <w:pPr>
              <w:tabs>
                <w:tab w:val="left" w:pos="2604"/>
              </w:tabs>
              <w:spacing w:line="220" w:lineRule="exact"/>
              <w:rPr>
                <w:rFonts w:ascii="宋体" w:hAnsi="宋体"/>
              </w:rPr>
            </w:pPr>
            <w:r>
              <w:rPr>
                <w:rFonts w:hint="eastAsia" w:ascii="宋体" w:hAnsi="宋体" w:cs="宋体"/>
              </w:rPr>
              <w:t>部门本年度预算安排的重点项目支出与部门项目总支出的比率，用以反映和考核部门对履行主要职责或完成重点任务的保障程度。</w:t>
            </w:r>
          </w:p>
        </w:tc>
        <w:tc>
          <w:tcPr>
            <w:tcW w:w="4122" w:type="dxa"/>
            <w:tcMar>
              <w:top w:w="10" w:type="dxa"/>
              <w:left w:w="10" w:type="dxa"/>
              <w:bottom w:w="0" w:type="dxa"/>
              <w:right w:w="10" w:type="dxa"/>
            </w:tcMar>
            <w:vAlign w:val="center"/>
          </w:tcPr>
          <w:p>
            <w:pPr>
              <w:spacing w:line="200" w:lineRule="exact"/>
              <w:rPr>
                <w:rFonts w:ascii="宋体" w:hAnsi="宋体"/>
              </w:rPr>
            </w:pPr>
            <w:r>
              <w:rPr>
                <w:rFonts w:hint="eastAsia" w:ascii="宋体" w:hAnsi="宋体" w:cs="宋体"/>
              </w:rPr>
              <w:t>重点支出安排率</w:t>
            </w:r>
            <w:r>
              <w:rPr>
                <w:rFonts w:ascii="宋体" w:hAnsi="宋体" w:cs="宋体"/>
              </w:rPr>
              <w:t>=</w:t>
            </w:r>
            <w:r>
              <w:rPr>
                <w:rFonts w:hint="eastAsia" w:ascii="宋体" w:hAnsi="宋体" w:cs="宋体"/>
              </w:rPr>
              <w:t>（重点项目支出</w:t>
            </w:r>
            <w:r>
              <w:rPr>
                <w:rFonts w:ascii="宋体" w:hAnsi="宋体" w:cs="宋体"/>
              </w:rPr>
              <w:t>/</w:t>
            </w:r>
            <w:r>
              <w:rPr>
                <w:rFonts w:hint="eastAsia" w:ascii="宋体" w:hAnsi="宋体" w:cs="宋体"/>
              </w:rPr>
              <w:t>项目总支出）×</w:t>
            </w:r>
            <w:r>
              <w:rPr>
                <w:rFonts w:ascii="宋体" w:hAnsi="宋体" w:cs="宋体"/>
              </w:rPr>
              <w:t>100%</w:t>
            </w:r>
            <w:r>
              <w:rPr>
                <w:rFonts w:hint="eastAsia" w:ascii="宋体" w:hAnsi="宋体" w:cs="宋体"/>
              </w:rPr>
              <w:t>。实际得分</w:t>
            </w:r>
            <w:r>
              <w:rPr>
                <w:rFonts w:ascii="宋体" w:hAnsi="宋体" w:cs="宋体"/>
              </w:rPr>
              <w:t>=</w:t>
            </w:r>
            <w:r>
              <w:rPr>
                <w:rFonts w:hint="eastAsia" w:ascii="宋体" w:hAnsi="宋体" w:cs="宋体"/>
              </w:rPr>
              <w:t>支出安排率</w:t>
            </w:r>
            <w:r>
              <w:rPr>
                <w:rFonts w:ascii="宋体" w:hAnsi="宋体" w:cs="宋体"/>
              </w:rPr>
              <w:t>*5</w:t>
            </w:r>
            <w:r>
              <w:rPr>
                <w:rFonts w:hint="eastAsia" w:ascii="宋体" w:hAnsi="宋体" w:cs="宋体"/>
              </w:rPr>
              <w:t>分。重点项目支出：部门年度预算安排的，与本部门履职和发展密切相关、具有明显社会和经济影响、党委政府关心或社会比较关注的项目支出总额。项目总支出：部门年度预算安排的项目支出总额。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restart"/>
            <w:tcMar>
              <w:top w:w="10" w:type="dxa"/>
              <w:left w:w="10" w:type="dxa"/>
              <w:bottom w:w="0" w:type="dxa"/>
              <w:right w:w="10" w:type="dxa"/>
            </w:tcMar>
            <w:textDirection w:val="tbRlV"/>
            <w:vAlign w:val="center"/>
          </w:tcPr>
          <w:p>
            <w:pPr>
              <w:spacing w:line="220" w:lineRule="exact"/>
              <w:jc w:val="center"/>
              <w:rPr>
                <w:rFonts w:ascii="宋体" w:hAnsi="宋体"/>
              </w:rPr>
            </w:pPr>
            <w:r>
              <w:rPr>
                <w:rFonts w:hint="eastAsia" w:ascii="宋体" w:hAnsi="宋体" w:cs="宋体"/>
              </w:rPr>
              <w:t>过</w:t>
            </w:r>
            <w:r>
              <w:rPr>
                <w:rFonts w:ascii="宋体" w:hAnsi="宋体" w:cs="宋体"/>
              </w:rPr>
              <w:t xml:space="preserve">             </w:t>
            </w:r>
            <w:r>
              <w:rPr>
                <w:rFonts w:hint="eastAsia" w:ascii="宋体" w:hAnsi="宋体" w:cs="宋体"/>
              </w:rPr>
              <w:t>程（</w:t>
            </w:r>
            <w:r>
              <w:rPr>
                <w:rFonts w:ascii="宋体" w:hAnsi="宋体" w:cs="宋体"/>
              </w:rPr>
              <w:t>30</w:t>
            </w:r>
            <w:r>
              <w:rPr>
                <w:rFonts w:hint="eastAsia" w:ascii="宋体" w:hAnsi="宋体" w:cs="宋体"/>
              </w:rPr>
              <w:t>分）</w:t>
            </w:r>
          </w:p>
        </w:tc>
        <w:tc>
          <w:tcPr>
            <w:tcW w:w="570" w:type="dxa"/>
            <w:vMerge w:val="restart"/>
            <w:tcMar>
              <w:top w:w="10" w:type="dxa"/>
              <w:left w:w="10" w:type="dxa"/>
              <w:bottom w:w="0" w:type="dxa"/>
              <w:right w:w="10" w:type="dxa"/>
            </w:tcMar>
            <w:vAlign w:val="center"/>
          </w:tcPr>
          <w:p>
            <w:pPr>
              <w:spacing w:line="220" w:lineRule="exact"/>
              <w:jc w:val="center"/>
              <w:rPr>
                <w:rFonts w:ascii="宋体" w:hAnsi="宋体" w:cs="宋体"/>
              </w:rPr>
            </w:pPr>
            <w:r>
              <w:rPr>
                <w:rFonts w:hint="eastAsia" w:ascii="宋体" w:hAnsi="宋体" w:cs="宋体"/>
              </w:rPr>
              <w:t>预算</w:t>
            </w:r>
          </w:p>
          <w:p>
            <w:pPr>
              <w:spacing w:line="220" w:lineRule="exact"/>
              <w:jc w:val="center"/>
              <w:rPr>
                <w:rFonts w:ascii="宋体" w:hAnsi="宋体"/>
              </w:rPr>
            </w:pPr>
            <w:r>
              <w:rPr>
                <w:rFonts w:hint="eastAsia" w:ascii="宋体" w:hAnsi="宋体" w:cs="宋体"/>
              </w:rPr>
              <w:t>执行</w:t>
            </w:r>
          </w:p>
          <w:p>
            <w:pPr>
              <w:spacing w:line="220" w:lineRule="exact"/>
              <w:jc w:val="center"/>
              <w:rPr>
                <w:rFonts w:ascii="宋体" w:hAnsi="宋体"/>
              </w:rPr>
            </w:pPr>
            <w:r>
              <w:rPr>
                <w:rFonts w:hint="eastAsia" w:ascii="宋体" w:hAnsi="宋体" w:cs="宋体"/>
              </w:rPr>
              <w:t>（</w:t>
            </w:r>
            <w:r>
              <w:rPr>
                <w:rFonts w:ascii="宋体" w:hAnsi="宋体" w:cs="宋体"/>
              </w:rPr>
              <w:t>20</w:t>
            </w:r>
            <w:r>
              <w:rPr>
                <w:rFonts w:hint="eastAsia" w:ascii="宋体" w:hAnsi="宋体" w:cs="宋体"/>
              </w:rPr>
              <w:t>分）</w:t>
            </w:r>
          </w:p>
        </w:tc>
        <w:tc>
          <w:tcPr>
            <w:tcW w:w="703" w:type="dxa"/>
            <w:tcMar>
              <w:top w:w="10" w:type="dxa"/>
              <w:left w:w="10" w:type="dxa"/>
              <w:bottom w:w="0" w:type="dxa"/>
              <w:right w:w="10" w:type="dxa"/>
            </w:tcMar>
            <w:vAlign w:val="center"/>
          </w:tcPr>
          <w:p>
            <w:pPr>
              <w:spacing w:line="220" w:lineRule="exact"/>
              <w:jc w:val="center"/>
              <w:rPr>
                <w:rFonts w:ascii="宋体" w:hAnsi="宋体"/>
              </w:rPr>
            </w:pPr>
            <w:r>
              <w:rPr>
                <w:rFonts w:hint="eastAsia" w:ascii="宋体" w:hAnsi="宋体" w:cs="宋体"/>
              </w:rPr>
              <w:t>预算完成率（</w:t>
            </w:r>
            <w:r>
              <w:rPr>
                <w:rFonts w:ascii="宋体" w:hAnsi="宋体" w:cs="宋体"/>
              </w:rPr>
              <w:t>4</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20" w:lineRule="exact"/>
              <w:jc w:val="center"/>
              <w:rPr>
                <w:rFonts w:ascii="宋体" w:hAnsi="宋体"/>
              </w:rPr>
            </w:pPr>
            <w:r>
              <w:rPr>
                <w:rFonts w:ascii="宋体" w:hAnsi="宋体"/>
              </w:rPr>
              <w:t>4</w:t>
            </w:r>
          </w:p>
        </w:tc>
        <w:tc>
          <w:tcPr>
            <w:tcW w:w="2976" w:type="dxa"/>
            <w:tcMar>
              <w:top w:w="10" w:type="dxa"/>
              <w:left w:w="10" w:type="dxa"/>
              <w:bottom w:w="0" w:type="dxa"/>
              <w:right w:w="10" w:type="dxa"/>
            </w:tcMar>
            <w:vAlign w:val="center"/>
          </w:tcPr>
          <w:p>
            <w:pPr>
              <w:tabs>
                <w:tab w:val="left" w:pos="2604"/>
              </w:tabs>
              <w:spacing w:line="220" w:lineRule="exact"/>
              <w:rPr>
                <w:rFonts w:ascii="宋体" w:hAnsi="宋体"/>
              </w:rPr>
            </w:pPr>
            <w:r>
              <w:rPr>
                <w:rFonts w:hint="eastAsia" w:ascii="宋体" w:hAnsi="宋体" w:cs="宋体"/>
              </w:rPr>
              <w:t>部门本年度预算完成数与预算数的比率，用以反映和考核部门预算完成程度。</w:t>
            </w:r>
          </w:p>
        </w:tc>
        <w:tc>
          <w:tcPr>
            <w:tcW w:w="4122" w:type="dxa"/>
            <w:tcMar>
              <w:top w:w="10" w:type="dxa"/>
              <w:left w:w="10" w:type="dxa"/>
              <w:bottom w:w="0" w:type="dxa"/>
              <w:right w:w="10" w:type="dxa"/>
            </w:tcMar>
            <w:vAlign w:val="center"/>
          </w:tcPr>
          <w:p>
            <w:pPr>
              <w:spacing w:line="220" w:lineRule="exact"/>
              <w:rPr>
                <w:rFonts w:ascii="宋体" w:hAnsi="宋体"/>
                <w:spacing w:val="-8"/>
              </w:rPr>
            </w:pPr>
            <w:r>
              <w:rPr>
                <w:rFonts w:hint="eastAsia" w:ascii="宋体" w:hAnsi="宋体" w:cs="宋体"/>
                <w:spacing w:val="-8"/>
              </w:rPr>
              <w:t>预算完成率</w:t>
            </w:r>
            <w:r>
              <w:rPr>
                <w:rFonts w:ascii="宋体" w:hAnsi="宋体" w:cs="宋体"/>
                <w:spacing w:val="-8"/>
              </w:rPr>
              <w:t>=</w:t>
            </w:r>
            <w:r>
              <w:rPr>
                <w:rFonts w:hint="eastAsia" w:ascii="宋体" w:hAnsi="宋体" w:cs="宋体"/>
                <w:spacing w:val="-8"/>
              </w:rPr>
              <w:t>（预算完成数</w:t>
            </w:r>
            <w:r>
              <w:rPr>
                <w:rFonts w:ascii="宋体" w:hAnsi="宋体" w:cs="宋体"/>
                <w:spacing w:val="-8"/>
              </w:rPr>
              <w:t>/</w:t>
            </w:r>
            <w:r>
              <w:rPr>
                <w:rFonts w:hint="eastAsia" w:ascii="宋体" w:hAnsi="宋体" w:cs="宋体"/>
                <w:spacing w:val="-8"/>
              </w:rPr>
              <w:t>预算数）×</w:t>
            </w:r>
            <w:r>
              <w:rPr>
                <w:rFonts w:ascii="宋体" w:hAnsi="宋体" w:cs="宋体"/>
                <w:spacing w:val="-8"/>
              </w:rPr>
              <w:t>100%</w:t>
            </w:r>
            <w:r>
              <w:rPr>
                <w:rFonts w:hint="eastAsia" w:ascii="宋体" w:hAnsi="宋体" w:cs="宋体"/>
                <w:spacing w:val="-8"/>
              </w:rPr>
              <w:t>。完成年初预算计</w:t>
            </w:r>
            <w:r>
              <w:rPr>
                <w:rFonts w:ascii="宋体" w:hAnsi="宋体" w:cs="宋体"/>
                <w:spacing w:val="-8"/>
              </w:rPr>
              <w:t>4</w:t>
            </w:r>
            <w:r>
              <w:rPr>
                <w:rFonts w:hint="eastAsia" w:ascii="宋体" w:hAnsi="宋体" w:cs="宋体"/>
                <w:spacing w:val="-8"/>
              </w:rPr>
              <w:t>分，未完成年初预算按比例扣减，预算完成数：部门本年度实际完成的预算数。预算数：财政部门批复的本年度部门预算数。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20" w:lineRule="exact"/>
              <w:jc w:val="center"/>
              <w:rPr>
                <w:rFonts w:ascii="宋体" w:hAnsi="宋体"/>
              </w:rPr>
            </w:pPr>
          </w:p>
        </w:tc>
        <w:tc>
          <w:tcPr>
            <w:tcW w:w="570" w:type="dxa"/>
            <w:vMerge w:val="continue"/>
            <w:vAlign w:val="center"/>
          </w:tcPr>
          <w:p>
            <w:pPr>
              <w:spacing w:line="220" w:lineRule="exact"/>
              <w:jc w:val="center"/>
              <w:rPr>
                <w:rFonts w:ascii="宋体" w:hAnsi="宋体"/>
              </w:rPr>
            </w:pPr>
          </w:p>
        </w:tc>
        <w:tc>
          <w:tcPr>
            <w:tcW w:w="703" w:type="dxa"/>
            <w:tcMar>
              <w:top w:w="10" w:type="dxa"/>
              <w:left w:w="10" w:type="dxa"/>
              <w:bottom w:w="0" w:type="dxa"/>
              <w:right w:w="10" w:type="dxa"/>
            </w:tcMar>
            <w:vAlign w:val="center"/>
          </w:tcPr>
          <w:p>
            <w:pPr>
              <w:spacing w:line="220" w:lineRule="exact"/>
              <w:jc w:val="center"/>
              <w:rPr>
                <w:rFonts w:ascii="宋体" w:hAnsi="宋体"/>
              </w:rPr>
            </w:pPr>
            <w:r>
              <w:rPr>
                <w:rFonts w:hint="eastAsia" w:ascii="宋体" w:hAnsi="宋体" w:cs="宋体"/>
              </w:rPr>
              <w:t>预算调整率（</w:t>
            </w:r>
            <w:r>
              <w:rPr>
                <w:rFonts w:ascii="宋体" w:hAnsi="宋体" w:cs="宋体"/>
              </w:rPr>
              <w:t>2</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20" w:lineRule="exact"/>
              <w:jc w:val="center"/>
              <w:rPr>
                <w:rFonts w:ascii="宋体" w:hAnsi="宋体"/>
              </w:rPr>
            </w:pPr>
            <w:r>
              <w:rPr>
                <w:rFonts w:ascii="宋体" w:hAnsi="宋体"/>
              </w:rPr>
              <w:t>2</w:t>
            </w:r>
          </w:p>
        </w:tc>
        <w:tc>
          <w:tcPr>
            <w:tcW w:w="2976" w:type="dxa"/>
            <w:tcMar>
              <w:top w:w="10" w:type="dxa"/>
              <w:left w:w="10" w:type="dxa"/>
              <w:bottom w:w="0" w:type="dxa"/>
              <w:right w:w="10" w:type="dxa"/>
            </w:tcMar>
            <w:vAlign w:val="center"/>
          </w:tcPr>
          <w:p>
            <w:pPr>
              <w:tabs>
                <w:tab w:val="left" w:pos="2604"/>
              </w:tabs>
              <w:spacing w:line="220" w:lineRule="exact"/>
              <w:rPr>
                <w:rFonts w:ascii="宋体" w:hAnsi="宋体"/>
              </w:rPr>
            </w:pPr>
            <w:r>
              <w:rPr>
                <w:rFonts w:hint="eastAsia" w:ascii="宋体" w:hAnsi="宋体" w:cs="宋体"/>
              </w:rPr>
              <w:t>部门本年度预算调整数与预算数的比率，用以反映和考核部门预算的调整程度。</w:t>
            </w:r>
          </w:p>
        </w:tc>
        <w:tc>
          <w:tcPr>
            <w:tcW w:w="4122" w:type="dxa"/>
            <w:tcMar>
              <w:top w:w="10" w:type="dxa"/>
              <w:left w:w="10" w:type="dxa"/>
              <w:bottom w:w="0" w:type="dxa"/>
              <w:right w:w="10" w:type="dxa"/>
            </w:tcMar>
            <w:vAlign w:val="center"/>
          </w:tcPr>
          <w:p>
            <w:pPr>
              <w:spacing w:line="200" w:lineRule="exact"/>
              <w:rPr>
                <w:rFonts w:ascii="宋体" w:hAnsi="宋体"/>
              </w:rPr>
            </w:pPr>
            <w:r>
              <w:rPr>
                <w:rFonts w:hint="eastAsia" w:ascii="宋体" w:hAnsi="宋体" w:cs="宋体"/>
              </w:rPr>
              <w:t>预算调整率</w:t>
            </w:r>
            <w:r>
              <w:rPr>
                <w:rFonts w:ascii="宋体" w:hAnsi="宋体" w:cs="宋体"/>
              </w:rPr>
              <w:t>=</w:t>
            </w:r>
            <w:r>
              <w:rPr>
                <w:rFonts w:hint="eastAsia" w:ascii="宋体" w:hAnsi="宋体" w:cs="宋体"/>
              </w:rPr>
              <w:t>（预算调整数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。未调整的计</w:t>
            </w:r>
            <w:r>
              <w:rPr>
                <w:rFonts w:ascii="宋体" w:hAnsi="宋体" w:cs="宋体"/>
              </w:rPr>
              <w:t>2</w:t>
            </w:r>
            <w:r>
              <w:rPr>
                <w:rFonts w:hint="eastAsia" w:ascii="宋体" w:hAnsi="宋体" w:cs="宋体"/>
              </w:rPr>
              <w:t>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20" w:lineRule="exact"/>
              <w:jc w:val="center"/>
              <w:rPr>
                <w:rFonts w:ascii="宋体" w:hAnsi="宋体"/>
              </w:rPr>
            </w:pPr>
          </w:p>
        </w:tc>
        <w:tc>
          <w:tcPr>
            <w:tcW w:w="570" w:type="dxa"/>
            <w:vMerge w:val="continue"/>
            <w:vAlign w:val="center"/>
          </w:tcPr>
          <w:p>
            <w:pPr>
              <w:spacing w:line="220" w:lineRule="exact"/>
              <w:jc w:val="center"/>
              <w:rPr>
                <w:rFonts w:ascii="宋体" w:hAnsi="宋体"/>
              </w:rPr>
            </w:pPr>
          </w:p>
        </w:tc>
        <w:tc>
          <w:tcPr>
            <w:tcW w:w="703" w:type="dxa"/>
            <w:tcMar>
              <w:top w:w="10" w:type="dxa"/>
              <w:left w:w="10" w:type="dxa"/>
              <w:bottom w:w="0" w:type="dxa"/>
              <w:right w:w="10" w:type="dxa"/>
            </w:tcMar>
            <w:vAlign w:val="center"/>
          </w:tcPr>
          <w:p>
            <w:pPr>
              <w:spacing w:line="220" w:lineRule="exact"/>
              <w:jc w:val="center"/>
              <w:rPr>
                <w:rFonts w:ascii="宋体" w:hAnsi="宋体"/>
              </w:rPr>
            </w:pPr>
            <w:r>
              <w:rPr>
                <w:rFonts w:hint="eastAsia" w:ascii="宋体" w:hAnsi="宋体" w:cs="宋体"/>
              </w:rPr>
              <w:t>支付进度率（</w:t>
            </w:r>
            <w:r>
              <w:rPr>
                <w:rFonts w:ascii="宋体" w:hAnsi="宋体" w:cs="宋体"/>
              </w:rPr>
              <w:t>2</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20" w:lineRule="exact"/>
              <w:jc w:val="center"/>
              <w:rPr>
                <w:rFonts w:ascii="宋体" w:hAnsi="宋体"/>
              </w:rPr>
            </w:pPr>
            <w:r>
              <w:rPr>
                <w:rFonts w:ascii="宋体" w:hAnsi="宋体"/>
              </w:rPr>
              <w:t>2</w:t>
            </w:r>
          </w:p>
        </w:tc>
        <w:tc>
          <w:tcPr>
            <w:tcW w:w="2976" w:type="dxa"/>
            <w:tcMar>
              <w:top w:w="10" w:type="dxa"/>
              <w:left w:w="10" w:type="dxa"/>
              <w:bottom w:w="0" w:type="dxa"/>
              <w:right w:w="10" w:type="dxa"/>
            </w:tcMar>
            <w:vAlign w:val="center"/>
          </w:tcPr>
          <w:p>
            <w:pPr>
              <w:tabs>
                <w:tab w:val="left" w:pos="2604"/>
              </w:tabs>
              <w:spacing w:line="220" w:lineRule="exact"/>
              <w:rPr>
                <w:rFonts w:ascii="宋体" w:hAnsi="宋体"/>
              </w:rPr>
            </w:pPr>
            <w:r>
              <w:rPr>
                <w:rFonts w:hint="eastAsia" w:ascii="宋体" w:hAnsi="宋体" w:cs="宋体"/>
              </w:rPr>
              <w:t>部门实际支付进度与既定支付进度的比率，用以反映和考核部门预算执行的及时性和均衡性程度。</w:t>
            </w:r>
          </w:p>
        </w:tc>
        <w:tc>
          <w:tcPr>
            <w:tcW w:w="4122" w:type="dxa"/>
            <w:tcMar>
              <w:top w:w="10" w:type="dxa"/>
              <w:left w:w="10" w:type="dxa"/>
              <w:bottom w:w="0" w:type="dxa"/>
              <w:right w:w="10" w:type="dxa"/>
            </w:tcMar>
            <w:vAlign w:val="center"/>
          </w:tcPr>
          <w:p>
            <w:pPr>
              <w:spacing w:line="220" w:lineRule="exact"/>
              <w:rPr>
                <w:rFonts w:ascii="宋体" w:hAnsi="宋体"/>
              </w:rPr>
            </w:pPr>
            <w:r>
              <w:rPr>
                <w:rFonts w:hint="eastAsia" w:ascii="宋体" w:hAnsi="宋体" w:cs="宋体"/>
              </w:rPr>
              <w:t>支付进度率</w:t>
            </w:r>
            <w:r>
              <w:rPr>
                <w:rFonts w:ascii="宋体" w:hAnsi="宋体" w:cs="宋体"/>
              </w:rPr>
              <w:t>=</w:t>
            </w:r>
            <w:r>
              <w:rPr>
                <w:rFonts w:hint="eastAsia" w:ascii="宋体" w:hAnsi="宋体" w:cs="宋体"/>
              </w:rPr>
              <w:t>（实际支付进度</w:t>
            </w:r>
            <w:r>
              <w:rPr>
                <w:rFonts w:ascii="宋体" w:hAnsi="宋体" w:cs="宋体"/>
              </w:rPr>
              <w:t>/</w:t>
            </w:r>
            <w:r>
              <w:rPr>
                <w:rFonts w:hint="eastAsia" w:ascii="宋体" w:hAnsi="宋体" w:cs="宋体"/>
              </w:rPr>
              <w:t>既定支付进度）×</w:t>
            </w:r>
            <w:r>
              <w:rPr>
                <w:rFonts w:ascii="宋体" w:hAnsi="宋体" w:cs="宋体"/>
              </w:rPr>
              <w:t>100%</w:t>
            </w:r>
            <w:r>
              <w:rPr>
                <w:rFonts w:hint="eastAsia" w:ascii="宋体" w:hAnsi="宋体" w:cs="宋体"/>
              </w:rPr>
              <w:t>。完成年终进度的计</w:t>
            </w:r>
            <w:r>
              <w:rPr>
                <w:rFonts w:ascii="宋体" w:hAnsi="宋体" w:cs="宋体"/>
              </w:rPr>
              <w:t>1</w:t>
            </w:r>
            <w:r>
              <w:rPr>
                <w:rFonts w:hint="eastAsia" w:ascii="宋体" w:hAnsi="宋体" w:cs="宋体"/>
              </w:rPr>
              <w:t>分，按季度完成预算进度的计</w:t>
            </w:r>
            <w:r>
              <w:rPr>
                <w:rFonts w:ascii="宋体" w:hAnsi="宋体" w:cs="宋体"/>
              </w:rPr>
              <w:t>1</w:t>
            </w:r>
            <w:r>
              <w:rPr>
                <w:rFonts w:hint="eastAsia" w:ascii="宋体" w:hAnsi="宋体" w:cs="宋体"/>
              </w:rPr>
              <w:t>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restart"/>
            <w:tcMar>
              <w:top w:w="10" w:type="dxa"/>
              <w:left w:w="10" w:type="dxa"/>
              <w:bottom w:w="0" w:type="dxa"/>
              <w:right w:w="10" w:type="dxa"/>
            </w:tcMar>
            <w:textDirection w:val="tbRlV"/>
            <w:vAlign w:val="center"/>
          </w:tcPr>
          <w:p>
            <w:pPr>
              <w:spacing w:line="220" w:lineRule="exact"/>
              <w:ind w:left="113"/>
              <w:jc w:val="center"/>
              <w:rPr>
                <w:rFonts w:ascii="宋体" w:hAnsi="宋体"/>
              </w:rPr>
            </w:pPr>
            <w:r>
              <w:rPr>
                <w:rFonts w:hint="eastAsia" w:ascii="宋体" w:hAnsi="宋体" w:cs="宋体"/>
              </w:rPr>
              <w:t>过</w:t>
            </w:r>
            <w:r>
              <w:rPr>
                <w:rFonts w:ascii="宋体" w:hAnsi="宋体" w:cs="宋体"/>
              </w:rPr>
              <w:t xml:space="preserve">             </w:t>
            </w:r>
            <w:r>
              <w:rPr>
                <w:rFonts w:hint="eastAsia" w:ascii="宋体" w:hAnsi="宋体" w:cs="宋体"/>
              </w:rPr>
              <w:t>程（</w:t>
            </w:r>
            <w:r>
              <w:rPr>
                <w:rFonts w:ascii="宋体" w:hAnsi="宋体" w:cs="宋体"/>
              </w:rPr>
              <w:t>30</w:t>
            </w:r>
            <w:r>
              <w:rPr>
                <w:rFonts w:hint="eastAsia" w:ascii="宋体" w:hAnsi="宋体" w:cs="宋体"/>
              </w:rPr>
              <w:t>分）</w:t>
            </w:r>
          </w:p>
        </w:tc>
        <w:tc>
          <w:tcPr>
            <w:tcW w:w="570" w:type="dxa"/>
            <w:vMerge w:val="restart"/>
            <w:tcMar>
              <w:top w:w="10" w:type="dxa"/>
              <w:left w:w="10" w:type="dxa"/>
              <w:bottom w:w="0" w:type="dxa"/>
              <w:right w:w="10" w:type="dxa"/>
            </w:tcMar>
            <w:vAlign w:val="center"/>
          </w:tcPr>
          <w:p>
            <w:pPr>
              <w:spacing w:line="220" w:lineRule="exact"/>
              <w:jc w:val="center"/>
              <w:rPr>
                <w:rFonts w:ascii="宋体" w:hAnsi="宋体" w:cs="宋体"/>
              </w:rPr>
            </w:pPr>
            <w:r>
              <w:rPr>
                <w:rFonts w:hint="eastAsia" w:ascii="宋体" w:hAnsi="宋体" w:cs="宋体"/>
              </w:rPr>
              <w:t>预算</w:t>
            </w:r>
          </w:p>
          <w:p>
            <w:pPr>
              <w:spacing w:line="220" w:lineRule="exact"/>
              <w:jc w:val="center"/>
              <w:rPr>
                <w:rFonts w:ascii="宋体" w:hAnsi="宋体"/>
              </w:rPr>
            </w:pPr>
            <w:r>
              <w:rPr>
                <w:rFonts w:hint="eastAsia" w:ascii="宋体" w:hAnsi="宋体" w:cs="宋体"/>
              </w:rPr>
              <w:t>执行</w:t>
            </w:r>
          </w:p>
          <w:p>
            <w:pPr>
              <w:spacing w:line="220" w:lineRule="exact"/>
              <w:jc w:val="center"/>
              <w:rPr>
                <w:rFonts w:ascii="宋体" w:hAnsi="宋体"/>
              </w:rPr>
            </w:pPr>
            <w:r>
              <w:rPr>
                <w:rFonts w:hint="eastAsia" w:ascii="宋体" w:hAnsi="宋体" w:cs="宋体"/>
              </w:rPr>
              <w:t>（</w:t>
            </w:r>
            <w:r>
              <w:rPr>
                <w:rFonts w:ascii="宋体" w:hAnsi="宋体" w:cs="宋体"/>
              </w:rPr>
              <w:t>20</w:t>
            </w:r>
            <w:r>
              <w:rPr>
                <w:rFonts w:hint="eastAsia" w:ascii="宋体" w:hAnsi="宋体" w:cs="宋体"/>
              </w:rPr>
              <w:t>分</w:t>
            </w:r>
          </w:p>
        </w:tc>
        <w:tc>
          <w:tcPr>
            <w:tcW w:w="703" w:type="dxa"/>
            <w:tcMar>
              <w:top w:w="10" w:type="dxa"/>
              <w:left w:w="10" w:type="dxa"/>
              <w:bottom w:w="0" w:type="dxa"/>
              <w:right w:w="10" w:type="dxa"/>
            </w:tcMar>
            <w:vAlign w:val="center"/>
          </w:tcPr>
          <w:p>
            <w:pPr>
              <w:spacing w:line="220" w:lineRule="exact"/>
              <w:jc w:val="center"/>
              <w:rPr>
                <w:rFonts w:ascii="宋体" w:hAnsi="宋体"/>
              </w:rPr>
            </w:pPr>
            <w:r>
              <w:rPr>
                <w:rFonts w:hint="eastAsia" w:ascii="宋体" w:hAnsi="宋体" w:cs="宋体"/>
              </w:rPr>
              <w:t>结转结余控制率（</w:t>
            </w:r>
            <w:r>
              <w:rPr>
                <w:rFonts w:ascii="宋体" w:hAnsi="宋体" w:cs="宋体"/>
              </w:rPr>
              <w:t>4</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20" w:lineRule="exact"/>
              <w:jc w:val="center"/>
              <w:rPr>
                <w:rFonts w:ascii="宋体" w:hAnsi="宋体"/>
              </w:rPr>
            </w:pPr>
            <w:r>
              <w:rPr>
                <w:rFonts w:ascii="宋体" w:hAnsi="宋体"/>
              </w:rPr>
              <w:t>3</w:t>
            </w:r>
          </w:p>
        </w:tc>
        <w:tc>
          <w:tcPr>
            <w:tcW w:w="2976" w:type="dxa"/>
            <w:tcMar>
              <w:top w:w="10" w:type="dxa"/>
              <w:left w:w="10" w:type="dxa"/>
              <w:bottom w:w="0" w:type="dxa"/>
              <w:right w:w="10" w:type="dxa"/>
            </w:tcMar>
            <w:vAlign w:val="center"/>
          </w:tcPr>
          <w:p>
            <w:pPr>
              <w:tabs>
                <w:tab w:val="left" w:pos="2604"/>
              </w:tabs>
              <w:spacing w:line="220" w:lineRule="exact"/>
              <w:rPr>
                <w:rFonts w:ascii="宋体" w:hAnsi="宋体"/>
              </w:rPr>
            </w:pPr>
            <w:r>
              <w:rPr>
                <w:rFonts w:hint="eastAsia" w:ascii="宋体" w:hAnsi="宋体" w:cs="宋体"/>
              </w:rPr>
              <w:t>部门本年度结转结余总额与上年结转结余总额增减比例，用以反映和考核部门对存量资金的实际控制程度。</w:t>
            </w:r>
          </w:p>
        </w:tc>
        <w:tc>
          <w:tcPr>
            <w:tcW w:w="4122" w:type="dxa"/>
            <w:tcMar>
              <w:top w:w="10" w:type="dxa"/>
              <w:left w:w="10" w:type="dxa"/>
              <w:bottom w:w="0" w:type="dxa"/>
              <w:right w:w="10" w:type="dxa"/>
            </w:tcMar>
            <w:vAlign w:val="center"/>
          </w:tcPr>
          <w:p>
            <w:pPr>
              <w:spacing w:line="220" w:lineRule="exact"/>
              <w:rPr>
                <w:rFonts w:ascii="宋体" w:hAnsi="宋体"/>
              </w:rPr>
            </w:pPr>
            <w:r>
              <w:rPr>
                <w:rFonts w:hint="eastAsia" w:ascii="宋体" w:hAnsi="宋体" w:cs="宋体"/>
              </w:rPr>
              <w:t>结转结余控制率</w:t>
            </w:r>
            <w:r>
              <w:rPr>
                <w:rFonts w:ascii="宋体" w:hAnsi="宋体" w:cs="宋体"/>
              </w:rPr>
              <w:t>=</w:t>
            </w:r>
            <w:r>
              <w:rPr>
                <w:rFonts w:hint="eastAsia" w:ascii="宋体" w:hAnsi="宋体" w:cs="宋体"/>
              </w:rPr>
              <w:t>（本年结转结余总额</w:t>
            </w:r>
            <w:r>
              <w:rPr>
                <w:rFonts w:ascii="宋体" w:hAnsi="宋体" w:cs="宋体"/>
              </w:rPr>
              <w:t>-</w:t>
            </w:r>
            <w:r>
              <w:rPr>
                <w:rFonts w:hint="eastAsia" w:ascii="宋体" w:hAnsi="宋体" w:cs="宋体"/>
              </w:rPr>
              <w:t>上年结转结余总额）</w:t>
            </w:r>
            <w:r>
              <w:rPr>
                <w:rFonts w:ascii="宋体" w:hAnsi="宋体" w:cs="宋体"/>
              </w:rPr>
              <w:t>/</w:t>
            </w:r>
            <w:r>
              <w:rPr>
                <w:rFonts w:hint="eastAsia" w:ascii="宋体" w:hAnsi="宋体" w:cs="宋体"/>
              </w:rPr>
              <w:t>上年结转结余总额×</w:t>
            </w:r>
            <w:r>
              <w:rPr>
                <w:rFonts w:ascii="宋体" w:hAnsi="宋体" w:cs="宋体"/>
              </w:rPr>
              <w:t>100%</w:t>
            </w:r>
            <w:r>
              <w:rPr>
                <w:rFonts w:hint="eastAsia" w:ascii="宋体" w:hAnsi="宋体" w:cs="宋体"/>
              </w:rPr>
              <w:t>。低于</w:t>
            </w:r>
            <w:r>
              <w:rPr>
                <w:rFonts w:ascii="宋体" w:hAnsi="宋体" w:cs="宋体"/>
              </w:rPr>
              <w:t>15%</w:t>
            </w:r>
            <w:r>
              <w:rPr>
                <w:rFonts w:hint="eastAsia" w:ascii="宋体" w:hAnsi="宋体" w:cs="宋体"/>
              </w:rPr>
              <w:t>的计</w:t>
            </w:r>
            <w:r>
              <w:rPr>
                <w:rFonts w:ascii="宋体" w:hAnsi="宋体" w:cs="宋体"/>
              </w:rPr>
              <w:t>4</w:t>
            </w:r>
            <w:r>
              <w:rPr>
                <w:rFonts w:hint="eastAsia" w:ascii="宋体" w:hAnsi="宋体" w:cs="宋体"/>
              </w:rPr>
              <w:t>分，每超过</w:t>
            </w:r>
            <w:r>
              <w:rPr>
                <w:rFonts w:ascii="宋体" w:hAnsi="宋体" w:cs="宋体"/>
              </w:rPr>
              <w:t>5</w:t>
            </w:r>
            <w:r>
              <w:rPr>
                <w:rFonts w:hint="eastAsia" w:ascii="宋体" w:hAnsi="宋体" w:cs="宋体"/>
              </w:rPr>
              <w:t>个百分点扣</w:t>
            </w:r>
            <w:r>
              <w:rPr>
                <w:rFonts w:ascii="宋体" w:hAnsi="宋体" w:cs="宋体"/>
              </w:rPr>
              <w:t>1</w:t>
            </w:r>
            <w:r>
              <w:rPr>
                <w:rFonts w:hint="eastAsia" w:ascii="宋体" w:hAnsi="宋体" w:cs="宋体"/>
              </w:rPr>
              <w:t>分，扣完为止。结转结余总额：部门本年度的结转资金与结余资金之和（以决算数为准）。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20" w:lineRule="exact"/>
              <w:jc w:val="center"/>
              <w:rPr>
                <w:rFonts w:ascii="宋体" w:hAnsi="宋体"/>
              </w:rPr>
            </w:pPr>
          </w:p>
        </w:tc>
        <w:tc>
          <w:tcPr>
            <w:tcW w:w="570" w:type="dxa"/>
            <w:vMerge w:val="continue"/>
            <w:vAlign w:val="center"/>
          </w:tcPr>
          <w:p>
            <w:pPr>
              <w:spacing w:line="220" w:lineRule="exact"/>
              <w:jc w:val="center"/>
              <w:rPr>
                <w:rFonts w:ascii="宋体" w:hAnsi="宋体"/>
              </w:rPr>
            </w:pPr>
          </w:p>
        </w:tc>
        <w:tc>
          <w:tcPr>
            <w:tcW w:w="703" w:type="dxa"/>
            <w:tcMar>
              <w:top w:w="10" w:type="dxa"/>
              <w:left w:w="10" w:type="dxa"/>
              <w:bottom w:w="0" w:type="dxa"/>
              <w:right w:w="10" w:type="dxa"/>
            </w:tcMar>
            <w:vAlign w:val="center"/>
          </w:tcPr>
          <w:p>
            <w:pPr>
              <w:spacing w:line="220" w:lineRule="exact"/>
              <w:jc w:val="center"/>
              <w:rPr>
                <w:rFonts w:ascii="宋体" w:hAnsi="宋体"/>
              </w:rPr>
            </w:pPr>
            <w:r>
              <w:rPr>
                <w:rFonts w:hint="eastAsia" w:ascii="宋体" w:hAnsi="宋体" w:cs="宋体"/>
              </w:rPr>
              <w:t>公用经费</w:t>
            </w:r>
          </w:p>
          <w:p>
            <w:pPr>
              <w:spacing w:line="220" w:lineRule="exact"/>
              <w:jc w:val="center"/>
              <w:rPr>
                <w:rFonts w:ascii="宋体" w:hAnsi="宋体"/>
              </w:rPr>
            </w:pPr>
            <w:r>
              <w:rPr>
                <w:rFonts w:hint="eastAsia" w:ascii="宋体" w:hAnsi="宋体" w:cs="宋体"/>
              </w:rPr>
              <w:t>控制率（</w:t>
            </w:r>
            <w:r>
              <w:rPr>
                <w:rFonts w:ascii="宋体" w:hAnsi="宋体" w:cs="宋体"/>
              </w:rPr>
              <w:t>2</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20" w:lineRule="exact"/>
              <w:jc w:val="center"/>
              <w:rPr>
                <w:rFonts w:ascii="宋体" w:hAnsi="宋体"/>
              </w:rPr>
            </w:pPr>
            <w:r>
              <w:rPr>
                <w:rFonts w:ascii="宋体" w:hAnsi="宋体"/>
              </w:rPr>
              <w:t>2</w:t>
            </w:r>
          </w:p>
        </w:tc>
        <w:tc>
          <w:tcPr>
            <w:tcW w:w="2976" w:type="dxa"/>
            <w:tcMar>
              <w:top w:w="10" w:type="dxa"/>
              <w:left w:w="10" w:type="dxa"/>
              <w:bottom w:w="0" w:type="dxa"/>
              <w:right w:w="10" w:type="dxa"/>
            </w:tcMar>
            <w:vAlign w:val="center"/>
          </w:tcPr>
          <w:p>
            <w:pPr>
              <w:tabs>
                <w:tab w:val="left" w:pos="2604"/>
              </w:tabs>
              <w:spacing w:line="220" w:lineRule="exact"/>
              <w:rPr>
                <w:rFonts w:ascii="宋体" w:hAnsi="宋体"/>
              </w:rPr>
            </w:pPr>
            <w:r>
              <w:rPr>
                <w:rFonts w:hint="eastAsia" w:ascii="宋体" w:hAnsi="宋体" w:cs="宋体"/>
              </w:rPr>
              <w:t>部门本年度实际支出的公用经费总额与预算安排的公用经费总额的比率，用以反映和考核部门对机构运转成本的实际控制程度。</w:t>
            </w:r>
          </w:p>
        </w:tc>
        <w:tc>
          <w:tcPr>
            <w:tcW w:w="4122" w:type="dxa"/>
            <w:tcMar>
              <w:top w:w="10" w:type="dxa"/>
              <w:left w:w="10" w:type="dxa"/>
              <w:bottom w:w="0" w:type="dxa"/>
              <w:right w:w="10" w:type="dxa"/>
            </w:tcMar>
            <w:vAlign w:val="center"/>
          </w:tcPr>
          <w:p>
            <w:pPr>
              <w:spacing w:line="220" w:lineRule="exact"/>
              <w:rPr>
                <w:rFonts w:ascii="宋体" w:hAnsi="宋体"/>
              </w:rPr>
            </w:pPr>
            <w:r>
              <w:rPr>
                <w:rFonts w:hint="eastAsia" w:ascii="宋体" w:hAnsi="宋体" w:cs="宋体"/>
              </w:rPr>
              <w:t>公用经费控制率</w:t>
            </w:r>
            <w:r>
              <w:rPr>
                <w:rFonts w:ascii="宋体" w:hAnsi="宋体" w:cs="宋体"/>
              </w:rPr>
              <w:t>=</w:t>
            </w:r>
            <w:r>
              <w:rPr>
                <w:rFonts w:hint="eastAsia" w:ascii="宋体" w:hAnsi="宋体" w:cs="宋体"/>
              </w:rPr>
              <w:t>（实际支出公用经费总额</w:t>
            </w:r>
            <w:r>
              <w:rPr>
                <w:rFonts w:ascii="宋体" w:hAnsi="宋体" w:cs="宋体"/>
              </w:rPr>
              <w:t>/</w:t>
            </w:r>
            <w:r>
              <w:rPr>
                <w:rFonts w:hint="eastAsia" w:ascii="宋体" w:hAnsi="宋体" w:cs="宋体"/>
              </w:rPr>
              <w:t>预算安排公用经费总额）×</w:t>
            </w:r>
            <w:r>
              <w:rPr>
                <w:rFonts w:ascii="宋体" w:hAnsi="宋体" w:cs="宋体"/>
              </w:rPr>
              <w:t>100%</w:t>
            </w:r>
            <w:r>
              <w:rPr>
                <w:rFonts w:hint="eastAsia" w:ascii="宋体" w:hAnsi="宋体" w:cs="宋体"/>
              </w:rPr>
              <w:t>。为</w:t>
            </w:r>
            <w:r>
              <w:rPr>
                <w:rFonts w:ascii="宋体" w:hAnsi="宋体" w:cs="宋体"/>
              </w:rPr>
              <w:t>100%</w:t>
            </w:r>
            <w:r>
              <w:rPr>
                <w:rFonts w:hint="eastAsia" w:ascii="宋体" w:hAnsi="宋体" w:cs="宋体"/>
              </w:rPr>
              <w:t>的计</w:t>
            </w:r>
            <w:r>
              <w:rPr>
                <w:rFonts w:ascii="宋体" w:hAnsi="宋体" w:cs="宋体"/>
              </w:rPr>
              <w:t>2</w:t>
            </w:r>
            <w:r>
              <w:rPr>
                <w:rFonts w:hint="eastAsia" w:ascii="宋体" w:hAnsi="宋体" w:cs="宋体"/>
              </w:rPr>
              <w:t>分，每超过</w:t>
            </w:r>
            <w:r>
              <w:rPr>
                <w:rFonts w:ascii="宋体" w:hAnsi="宋体" w:cs="宋体"/>
              </w:rPr>
              <w:t>1</w:t>
            </w:r>
            <w:r>
              <w:rPr>
                <w:rFonts w:hint="eastAsia" w:ascii="宋体" w:hAnsi="宋体" w:cs="宋体"/>
              </w:rPr>
              <w:t>个百分点扣</w:t>
            </w:r>
            <w:r>
              <w:rPr>
                <w:rFonts w:ascii="宋体" w:hAnsi="宋体" w:cs="宋体"/>
              </w:rPr>
              <w:t>0.1</w:t>
            </w:r>
            <w:r>
              <w:rPr>
                <w:rFonts w:hint="eastAsia" w:ascii="宋体" w:hAnsi="宋体" w:cs="宋体"/>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20" w:lineRule="exact"/>
              <w:jc w:val="center"/>
              <w:rPr>
                <w:rFonts w:ascii="宋体" w:hAnsi="宋体"/>
              </w:rPr>
            </w:pPr>
          </w:p>
        </w:tc>
        <w:tc>
          <w:tcPr>
            <w:tcW w:w="570" w:type="dxa"/>
            <w:vMerge w:val="continue"/>
            <w:vAlign w:val="center"/>
          </w:tcPr>
          <w:p>
            <w:pPr>
              <w:spacing w:line="220" w:lineRule="exact"/>
              <w:jc w:val="center"/>
              <w:rPr>
                <w:rFonts w:ascii="宋体" w:hAnsi="宋体"/>
              </w:rPr>
            </w:pPr>
          </w:p>
        </w:tc>
        <w:tc>
          <w:tcPr>
            <w:tcW w:w="703" w:type="dxa"/>
            <w:tcMar>
              <w:top w:w="10" w:type="dxa"/>
              <w:left w:w="10" w:type="dxa"/>
              <w:bottom w:w="0" w:type="dxa"/>
              <w:right w:w="10" w:type="dxa"/>
            </w:tcMar>
            <w:vAlign w:val="center"/>
          </w:tcPr>
          <w:p>
            <w:pPr>
              <w:spacing w:line="220" w:lineRule="exact"/>
              <w:jc w:val="center"/>
              <w:rPr>
                <w:rFonts w:ascii="宋体" w:hAnsi="宋体"/>
              </w:rPr>
            </w:pPr>
            <w:r>
              <w:rPr>
                <w:rFonts w:hint="eastAsia" w:ascii="宋体" w:hAnsi="宋体" w:cs="宋体"/>
              </w:rPr>
              <w:t>“三公经费”控制率（</w:t>
            </w:r>
            <w:r>
              <w:rPr>
                <w:rFonts w:ascii="宋体" w:hAnsi="宋体" w:cs="宋体"/>
              </w:rPr>
              <w:t>2</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20" w:lineRule="exact"/>
              <w:jc w:val="center"/>
              <w:rPr>
                <w:rFonts w:ascii="宋体" w:hAnsi="宋体"/>
              </w:rPr>
            </w:pPr>
            <w:r>
              <w:rPr>
                <w:rFonts w:ascii="宋体" w:hAnsi="宋体"/>
              </w:rPr>
              <w:t>2</w:t>
            </w:r>
          </w:p>
        </w:tc>
        <w:tc>
          <w:tcPr>
            <w:tcW w:w="2976" w:type="dxa"/>
            <w:tcMar>
              <w:top w:w="10" w:type="dxa"/>
              <w:left w:w="10" w:type="dxa"/>
              <w:bottom w:w="0" w:type="dxa"/>
              <w:right w:w="10" w:type="dxa"/>
            </w:tcMar>
            <w:vAlign w:val="center"/>
          </w:tcPr>
          <w:p>
            <w:pPr>
              <w:tabs>
                <w:tab w:val="left" w:pos="2604"/>
              </w:tabs>
              <w:spacing w:line="220" w:lineRule="exact"/>
              <w:rPr>
                <w:rFonts w:ascii="宋体" w:hAnsi="宋体"/>
              </w:rPr>
            </w:pPr>
            <w:r>
              <w:rPr>
                <w:rFonts w:hint="eastAsia" w:ascii="宋体" w:hAnsi="宋体" w:cs="宋体"/>
              </w:rPr>
              <w:t>部门本年度“三公经费”实际支出数与预算安排数的比率，用以反映和考核部门对“三公经费”的实际控制程度。</w:t>
            </w:r>
          </w:p>
        </w:tc>
        <w:tc>
          <w:tcPr>
            <w:tcW w:w="4122" w:type="dxa"/>
            <w:tcMar>
              <w:top w:w="10" w:type="dxa"/>
              <w:left w:w="10" w:type="dxa"/>
              <w:bottom w:w="0" w:type="dxa"/>
              <w:right w:w="10" w:type="dxa"/>
            </w:tcMar>
            <w:vAlign w:val="center"/>
          </w:tcPr>
          <w:p>
            <w:pPr>
              <w:spacing w:line="220" w:lineRule="exact"/>
              <w:rPr>
                <w:rFonts w:ascii="宋体" w:hAnsi="宋体"/>
              </w:rPr>
            </w:pPr>
            <w:r>
              <w:rPr>
                <w:rFonts w:hint="eastAsia" w:ascii="宋体" w:hAnsi="宋体" w:cs="宋体"/>
              </w:rPr>
              <w:t>“三公经费”控制率</w:t>
            </w:r>
            <w:r>
              <w:rPr>
                <w:rFonts w:ascii="宋体" w:hAnsi="宋体" w:cs="宋体"/>
              </w:rPr>
              <w:t>=</w:t>
            </w:r>
            <w:r>
              <w:rPr>
                <w:rFonts w:hint="eastAsia" w:ascii="宋体" w:hAnsi="宋体" w:cs="宋体"/>
              </w:rPr>
              <w:t>（“三公经费”实际支出数</w:t>
            </w:r>
            <w:r>
              <w:rPr>
                <w:rFonts w:ascii="宋体" w:hAnsi="宋体" w:cs="宋体"/>
              </w:rPr>
              <w:t>/</w:t>
            </w:r>
            <w:r>
              <w:rPr>
                <w:rFonts w:hint="eastAsia" w:ascii="宋体" w:hAnsi="宋体" w:cs="宋体"/>
              </w:rPr>
              <w:t>“三公经费”预算安排数）×</w:t>
            </w:r>
            <w:r>
              <w:rPr>
                <w:rFonts w:ascii="宋体" w:hAnsi="宋体" w:cs="宋体"/>
              </w:rPr>
              <w:t>100%</w:t>
            </w:r>
            <w:r>
              <w:rPr>
                <w:rFonts w:hint="eastAsia" w:ascii="宋体" w:hAnsi="宋体" w:cs="宋体"/>
              </w:rPr>
              <w:t>。为</w:t>
            </w:r>
            <w:r>
              <w:rPr>
                <w:rFonts w:ascii="宋体" w:hAnsi="宋体" w:cs="宋体"/>
              </w:rPr>
              <w:t>100%</w:t>
            </w:r>
            <w:r>
              <w:rPr>
                <w:rFonts w:hint="eastAsia" w:ascii="宋体" w:hAnsi="宋体" w:cs="宋体"/>
              </w:rPr>
              <w:t>的计</w:t>
            </w:r>
            <w:r>
              <w:rPr>
                <w:rFonts w:ascii="宋体" w:hAnsi="宋体" w:cs="宋体"/>
              </w:rPr>
              <w:t>2</w:t>
            </w:r>
            <w:r>
              <w:rPr>
                <w:rFonts w:hint="eastAsia" w:ascii="宋体" w:hAnsi="宋体" w:cs="宋体"/>
              </w:rPr>
              <w:t>分，每超过</w:t>
            </w:r>
            <w:r>
              <w:rPr>
                <w:rFonts w:ascii="宋体" w:hAnsi="宋体" w:cs="宋体"/>
              </w:rPr>
              <w:t>1</w:t>
            </w:r>
            <w:r>
              <w:rPr>
                <w:rFonts w:hint="eastAsia" w:ascii="宋体" w:hAnsi="宋体" w:cs="宋体"/>
              </w:rPr>
              <w:t>个百分点扣</w:t>
            </w:r>
            <w:r>
              <w:rPr>
                <w:rFonts w:ascii="宋体" w:hAnsi="宋体" w:cs="宋体"/>
              </w:rPr>
              <w:t>0.5</w:t>
            </w:r>
            <w:r>
              <w:rPr>
                <w:rFonts w:hint="eastAsia" w:ascii="宋体" w:hAnsi="宋体" w:cs="宋体"/>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20" w:lineRule="exact"/>
              <w:jc w:val="center"/>
              <w:rPr>
                <w:rFonts w:ascii="宋体" w:hAnsi="宋体"/>
              </w:rPr>
            </w:pPr>
          </w:p>
        </w:tc>
        <w:tc>
          <w:tcPr>
            <w:tcW w:w="570" w:type="dxa"/>
            <w:vMerge w:val="continue"/>
            <w:vAlign w:val="center"/>
          </w:tcPr>
          <w:p>
            <w:pPr>
              <w:spacing w:line="220" w:lineRule="exact"/>
              <w:jc w:val="center"/>
              <w:rPr>
                <w:rFonts w:ascii="宋体" w:hAnsi="宋体"/>
              </w:rPr>
            </w:pPr>
          </w:p>
        </w:tc>
        <w:tc>
          <w:tcPr>
            <w:tcW w:w="703" w:type="dxa"/>
            <w:tcMar>
              <w:top w:w="10" w:type="dxa"/>
              <w:left w:w="10" w:type="dxa"/>
              <w:bottom w:w="0" w:type="dxa"/>
              <w:right w:w="10" w:type="dxa"/>
            </w:tcMar>
            <w:vAlign w:val="center"/>
          </w:tcPr>
          <w:p>
            <w:pPr>
              <w:spacing w:line="220" w:lineRule="exact"/>
              <w:jc w:val="center"/>
              <w:rPr>
                <w:rFonts w:ascii="宋体" w:hAnsi="宋体"/>
              </w:rPr>
            </w:pPr>
            <w:r>
              <w:rPr>
                <w:rFonts w:hint="eastAsia" w:ascii="宋体" w:hAnsi="宋体" w:cs="宋体"/>
              </w:rPr>
              <w:t>政府采购</w:t>
            </w:r>
          </w:p>
          <w:p>
            <w:pPr>
              <w:spacing w:line="220" w:lineRule="exact"/>
              <w:jc w:val="center"/>
              <w:rPr>
                <w:rFonts w:ascii="宋体" w:hAnsi="宋体"/>
              </w:rPr>
            </w:pPr>
            <w:r>
              <w:rPr>
                <w:rFonts w:hint="eastAsia" w:ascii="宋体" w:hAnsi="宋体" w:cs="宋体"/>
              </w:rPr>
              <w:t>执行率（</w:t>
            </w:r>
            <w:r>
              <w:rPr>
                <w:rFonts w:ascii="宋体" w:hAnsi="宋体" w:cs="宋体"/>
              </w:rPr>
              <w:t>4</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20" w:lineRule="exact"/>
              <w:jc w:val="center"/>
              <w:rPr>
                <w:rFonts w:ascii="宋体" w:hAnsi="宋体"/>
              </w:rPr>
            </w:pPr>
            <w:r>
              <w:rPr>
                <w:rFonts w:ascii="宋体" w:hAnsi="宋体"/>
              </w:rPr>
              <w:t>3</w:t>
            </w:r>
          </w:p>
        </w:tc>
        <w:tc>
          <w:tcPr>
            <w:tcW w:w="2976" w:type="dxa"/>
            <w:tcMar>
              <w:top w:w="10" w:type="dxa"/>
              <w:left w:w="10" w:type="dxa"/>
              <w:bottom w:w="0" w:type="dxa"/>
              <w:right w:w="10" w:type="dxa"/>
            </w:tcMar>
            <w:vAlign w:val="center"/>
          </w:tcPr>
          <w:p>
            <w:pPr>
              <w:tabs>
                <w:tab w:val="left" w:pos="2604"/>
              </w:tabs>
              <w:spacing w:line="220" w:lineRule="exact"/>
              <w:rPr>
                <w:rFonts w:ascii="宋体" w:hAnsi="宋体"/>
              </w:rPr>
            </w:pPr>
            <w:r>
              <w:rPr>
                <w:rFonts w:hint="eastAsia" w:ascii="宋体" w:hAnsi="宋体" w:cs="宋体"/>
              </w:rPr>
              <w:t>部门本年度实际政府采购金额与年初政府采购预算的比率，用以反映和考核部门政府采购预算执行情况。</w:t>
            </w:r>
          </w:p>
        </w:tc>
        <w:tc>
          <w:tcPr>
            <w:tcW w:w="4122" w:type="dxa"/>
            <w:tcMar>
              <w:top w:w="10" w:type="dxa"/>
              <w:left w:w="10" w:type="dxa"/>
              <w:bottom w:w="0" w:type="dxa"/>
              <w:right w:w="10" w:type="dxa"/>
            </w:tcMar>
            <w:vAlign w:val="center"/>
          </w:tcPr>
          <w:p>
            <w:pPr>
              <w:spacing w:line="220" w:lineRule="exact"/>
              <w:rPr>
                <w:rFonts w:ascii="宋体" w:hAnsi="宋体"/>
              </w:rPr>
            </w:pPr>
            <w:r>
              <w:rPr>
                <w:rFonts w:hint="eastAsia" w:ascii="宋体" w:hAnsi="宋体" w:cs="宋体"/>
              </w:rPr>
              <w:t>政府采购执行率</w:t>
            </w:r>
            <w:r>
              <w:rPr>
                <w:rFonts w:ascii="宋体" w:hAnsi="宋体" w:cs="宋体"/>
              </w:rPr>
              <w:t>=</w:t>
            </w:r>
            <w:r>
              <w:rPr>
                <w:rFonts w:hint="eastAsia" w:ascii="宋体" w:hAnsi="宋体" w:cs="宋体"/>
              </w:rPr>
              <w:t>（实际政府采购金额</w:t>
            </w:r>
            <w:r>
              <w:rPr>
                <w:rFonts w:ascii="宋体" w:hAnsi="宋体" w:cs="宋体"/>
              </w:rPr>
              <w:t>/</w:t>
            </w:r>
            <w:r>
              <w:rPr>
                <w:rFonts w:hint="eastAsia" w:ascii="宋体" w:hAnsi="宋体" w:cs="宋体"/>
              </w:rPr>
              <w:t>政府采购预算数）×</w:t>
            </w:r>
            <w:r>
              <w:rPr>
                <w:rFonts w:ascii="宋体" w:hAnsi="宋体" w:cs="宋体"/>
              </w:rPr>
              <w:t>100%</w:t>
            </w:r>
            <w:r>
              <w:rPr>
                <w:rFonts w:hint="eastAsia" w:ascii="宋体" w:hAnsi="宋体" w:cs="宋体"/>
              </w:rPr>
              <w:t>，为</w:t>
            </w:r>
            <w:r>
              <w:rPr>
                <w:rFonts w:ascii="宋体" w:hAnsi="宋体" w:cs="宋体"/>
              </w:rPr>
              <w:t>100%</w:t>
            </w:r>
            <w:r>
              <w:rPr>
                <w:rFonts w:hint="eastAsia" w:ascii="宋体" w:hAnsi="宋体" w:cs="宋体"/>
              </w:rPr>
              <w:t>的计</w:t>
            </w:r>
            <w:r>
              <w:rPr>
                <w:rFonts w:ascii="宋体" w:hAnsi="宋体" w:cs="宋体"/>
              </w:rPr>
              <w:t>2</w:t>
            </w:r>
            <w:r>
              <w:rPr>
                <w:rFonts w:hint="eastAsia" w:ascii="宋体" w:hAnsi="宋体" w:cs="宋体"/>
              </w:rPr>
              <w:t>分，每低于</w:t>
            </w:r>
            <w:r>
              <w:rPr>
                <w:rFonts w:ascii="宋体" w:hAnsi="宋体" w:cs="宋体"/>
              </w:rPr>
              <w:t>1</w:t>
            </w:r>
            <w:r>
              <w:rPr>
                <w:rFonts w:hint="eastAsia" w:ascii="宋体" w:hAnsi="宋体" w:cs="宋体"/>
              </w:rPr>
              <w:t>个百分点扣</w:t>
            </w:r>
            <w:r>
              <w:rPr>
                <w:rFonts w:ascii="宋体" w:hAnsi="宋体" w:cs="宋体"/>
              </w:rPr>
              <w:t>0.5</w:t>
            </w:r>
            <w:r>
              <w:rPr>
                <w:rFonts w:hint="eastAsia" w:ascii="宋体" w:hAnsi="宋体" w:cs="宋体"/>
              </w:rPr>
              <w:t>分，扣完为止；政府采购预算：采购机关根据事业发展计划和行政任务编制的、并经过规定程序批准的年度政府采购计划。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4" w:hRule="atLeast"/>
        </w:trPr>
        <w:tc>
          <w:tcPr>
            <w:tcW w:w="547" w:type="dxa"/>
            <w:vMerge w:val="continue"/>
            <w:vAlign w:val="center"/>
          </w:tcPr>
          <w:p>
            <w:pPr>
              <w:spacing w:line="220" w:lineRule="exact"/>
              <w:jc w:val="center"/>
              <w:rPr>
                <w:rFonts w:ascii="宋体" w:hAnsi="宋体"/>
              </w:rPr>
            </w:pPr>
          </w:p>
        </w:tc>
        <w:tc>
          <w:tcPr>
            <w:tcW w:w="570" w:type="dxa"/>
            <w:vMerge w:val="restart"/>
            <w:tcMar>
              <w:top w:w="10" w:type="dxa"/>
              <w:left w:w="10" w:type="dxa"/>
              <w:bottom w:w="0" w:type="dxa"/>
              <w:right w:w="10" w:type="dxa"/>
            </w:tcMar>
            <w:vAlign w:val="center"/>
          </w:tcPr>
          <w:p>
            <w:pPr>
              <w:spacing w:line="220" w:lineRule="exact"/>
              <w:jc w:val="center"/>
              <w:rPr>
                <w:rFonts w:ascii="宋体" w:hAnsi="宋体"/>
              </w:rPr>
            </w:pPr>
            <w:r>
              <w:rPr>
                <w:rFonts w:hint="eastAsia" w:ascii="宋体" w:hAnsi="宋体" w:cs="宋体"/>
              </w:rPr>
              <w:t>预算</w:t>
            </w:r>
          </w:p>
          <w:p>
            <w:pPr>
              <w:spacing w:line="220" w:lineRule="exact"/>
              <w:jc w:val="center"/>
              <w:rPr>
                <w:rFonts w:ascii="宋体" w:hAnsi="宋体"/>
              </w:rPr>
            </w:pPr>
            <w:r>
              <w:rPr>
                <w:rFonts w:hint="eastAsia" w:ascii="宋体" w:hAnsi="宋体" w:cs="宋体"/>
              </w:rPr>
              <w:t>管理</w:t>
            </w:r>
          </w:p>
          <w:p>
            <w:pPr>
              <w:spacing w:line="220" w:lineRule="exact"/>
              <w:jc w:val="center"/>
              <w:rPr>
                <w:rFonts w:ascii="宋体" w:hAnsi="宋体"/>
              </w:rPr>
            </w:pPr>
            <w:r>
              <w:rPr>
                <w:rFonts w:hint="eastAsia" w:ascii="宋体" w:hAnsi="宋体" w:cs="宋体"/>
              </w:rPr>
              <w:t>（</w:t>
            </w:r>
            <w:r>
              <w:rPr>
                <w:rFonts w:ascii="宋体" w:hAnsi="宋体" w:cs="宋体"/>
              </w:rPr>
              <w:t>5</w:t>
            </w:r>
            <w:r>
              <w:rPr>
                <w:rFonts w:hint="eastAsia" w:ascii="宋体" w:hAnsi="宋体" w:cs="宋体"/>
              </w:rPr>
              <w:t>分）</w:t>
            </w:r>
          </w:p>
        </w:tc>
        <w:tc>
          <w:tcPr>
            <w:tcW w:w="703" w:type="dxa"/>
            <w:tcMar>
              <w:top w:w="10" w:type="dxa"/>
              <w:left w:w="10" w:type="dxa"/>
              <w:bottom w:w="0" w:type="dxa"/>
              <w:right w:w="10" w:type="dxa"/>
            </w:tcMar>
            <w:vAlign w:val="center"/>
          </w:tcPr>
          <w:p>
            <w:pPr>
              <w:spacing w:line="220" w:lineRule="exact"/>
              <w:jc w:val="center"/>
              <w:rPr>
                <w:rFonts w:ascii="宋体" w:hAnsi="宋体"/>
              </w:rPr>
            </w:pPr>
            <w:r>
              <w:rPr>
                <w:rFonts w:hint="eastAsia" w:ascii="宋体" w:hAnsi="宋体" w:cs="宋体"/>
              </w:rPr>
              <w:t>管理制度</w:t>
            </w:r>
          </w:p>
          <w:p>
            <w:pPr>
              <w:spacing w:line="220" w:lineRule="exact"/>
              <w:jc w:val="center"/>
              <w:rPr>
                <w:rFonts w:ascii="宋体" w:hAnsi="宋体"/>
              </w:rPr>
            </w:pPr>
            <w:r>
              <w:rPr>
                <w:rFonts w:hint="eastAsia" w:ascii="宋体" w:hAnsi="宋体" w:cs="宋体"/>
              </w:rPr>
              <w:t>健全性（</w:t>
            </w:r>
            <w:r>
              <w:rPr>
                <w:rFonts w:ascii="宋体" w:hAnsi="宋体" w:cs="宋体"/>
              </w:rPr>
              <w:t>2</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20" w:lineRule="exact"/>
              <w:jc w:val="center"/>
              <w:rPr>
                <w:rFonts w:ascii="宋体" w:hAnsi="宋体"/>
              </w:rPr>
            </w:pPr>
            <w:r>
              <w:rPr>
                <w:rFonts w:ascii="宋体" w:hAnsi="宋体"/>
              </w:rPr>
              <w:t>2</w:t>
            </w:r>
          </w:p>
        </w:tc>
        <w:tc>
          <w:tcPr>
            <w:tcW w:w="2976" w:type="dxa"/>
            <w:tcMar>
              <w:top w:w="10" w:type="dxa"/>
              <w:left w:w="10" w:type="dxa"/>
              <w:bottom w:w="0" w:type="dxa"/>
              <w:right w:w="10" w:type="dxa"/>
            </w:tcMar>
            <w:vAlign w:val="center"/>
          </w:tcPr>
          <w:p>
            <w:pPr>
              <w:tabs>
                <w:tab w:val="left" w:pos="2604"/>
              </w:tabs>
              <w:spacing w:line="220" w:lineRule="exact"/>
              <w:rPr>
                <w:rFonts w:ascii="宋体" w:hAnsi="宋体"/>
              </w:rPr>
            </w:pPr>
            <w:r>
              <w:rPr>
                <w:rFonts w:hint="eastAsia" w:ascii="宋体" w:hAnsi="宋体" w:cs="宋体"/>
              </w:rPr>
              <w:t>部门为加强预算管理、规范财务行为而制定的管理制度是否健全完整，用以反映和考核部门预算管理制度对完成主要职责或促进事业发展的保障情况。</w:t>
            </w:r>
          </w:p>
        </w:tc>
        <w:tc>
          <w:tcPr>
            <w:tcW w:w="4122" w:type="dxa"/>
            <w:tcMar>
              <w:top w:w="10" w:type="dxa"/>
              <w:left w:w="10" w:type="dxa"/>
              <w:bottom w:w="0" w:type="dxa"/>
              <w:right w:w="10" w:type="dxa"/>
            </w:tcMar>
            <w:vAlign w:val="center"/>
          </w:tcPr>
          <w:p>
            <w:pPr>
              <w:spacing w:line="220" w:lineRule="exact"/>
              <w:rPr>
                <w:rFonts w:ascii="宋体" w:hAnsi="宋体"/>
              </w:rPr>
            </w:pPr>
            <w:r>
              <w:rPr>
                <w:rFonts w:hint="eastAsia" w:ascii="宋体" w:hAnsi="宋体" w:cs="宋体"/>
              </w:rPr>
              <w:t>已制定或具有预算资金管理办法、内部财务管理制度、会计核算制度等管理制度计</w:t>
            </w:r>
            <w:r>
              <w:rPr>
                <w:rFonts w:ascii="宋体" w:hAnsi="宋体" w:cs="宋体"/>
              </w:rPr>
              <w:t>1</w:t>
            </w:r>
            <w:r>
              <w:rPr>
                <w:rFonts w:hint="eastAsia" w:ascii="宋体" w:hAnsi="宋体" w:cs="宋体"/>
              </w:rPr>
              <w:t>分；相关管理制度合法、合规、完整计</w:t>
            </w:r>
            <w:r>
              <w:rPr>
                <w:rFonts w:ascii="宋体" w:hAnsi="宋体" w:cs="宋体"/>
              </w:rPr>
              <w:t>0.5</w:t>
            </w:r>
            <w:r>
              <w:rPr>
                <w:rFonts w:hint="eastAsia" w:ascii="宋体" w:hAnsi="宋体" w:cs="宋体"/>
              </w:rPr>
              <w:t>分；相关管理制度得到有效执行计</w:t>
            </w:r>
            <w:r>
              <w:rPr>
                <w:rFonts w:ascii="宋体" w:hAnsi="宋体" w:cs="宋体"/>
              </w:rPr>
              <w:t>0.5</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5" w:hRule="atLeast"/>
        </w:trPr>
        <w:tc>
          <w:tcPr>
            <w:tcW w:w="547" w:type="dxa"/>
            <w:vMerge w:val="continue"/>
            <w:vAlign w:val="center"/>
          </w:tcPr>
          <w:p>
            <w:pPr>
              <w:spacing w:line="220" w:lineRule="exact"/>
              <w:jc w:val="center"/>
              <w:rPr>
                <w:rFonts w:ascii="宋体" w:hAnsi="宋体"/>
              </w:rPr>
            </w:pPr>
          </w:p>
        </w:tc>
        <w:tc>
          <w:tcPr>
            <w:tcW w:w="570" w:type="dxa"/>
            <w:vMerge w:val="continue"/>
            <w:vAlign w:val="center"/>
          </w:tcPr>
          <w:p>
            <w:pPr>
              <w:spacing w:line="220" w:lineRule="exact"/>
              <w:jc w:val="center"/>
              <w:rPr>
                <w:rFonts w:ascii="宋体" w:hAnsi="宋体"/>
              </w:rPr>
            </w:pPr>
          </w:p>
        </w:tc>
        <w:tc>
          <w:tcPr>
            <w:tcW w:w="703" w:type="dxa"/>
            <w:tcMar>
              <w:top w:w="10" w:type="dxa"/>
              <w:left w:w="10" w:type="dxa"/>
              <w:bottom w:w="0" w:type="dxa"/>
              <w:right w:w="10" w:type="dxa"/>
            </w:tcMar>
            <w:vAlign w:val="center"/>
          </w:tcPr>
          <w:p>
            <w:pPr>
              <w:spacing w:line="220" w:lineRule="exact"/>
              <w:jc w:val="center"/>
              <w:rPr>
                <w:rFonts w:ascii="宋体" w:hAnsi="宋体"/>
              </w:rPr>
            </w:pPr>
            <w:r>
              <w:rPr>
                <w:rFonts w:hint="eastAsia" w:ascii="宋体" w:hAnsi="宋体" w:cs="宋体"/>
              </w:rPr>
              <w:t>资金使用</w:t>
            </w:r>
          </w:p>
          <w:p>
            <w:pPr>
              <w:spacing w:line="220" w:lineRule="exact"/>
              <w:jc w:val="center"/>
              <w:rPr>
                <w:rFonts w:ascii="宋体" w:hAnsi="宋体"/>
              </w:rPr>
            </w:pPr>
            <w:r>
              <w:rPr>
                <w:rFonts w:hint="eastAsia" w:ascii="宋体" w:hAnsi="宋体" w:cs="宋体"/>
              </w:rPr>
              <w:t>合规性（</w:t>
            </w:r>
            <w:r>
              <w:rPr>
                <w:rFonts w:ascii="宋体" w:hAnsi="宋体" w:cs="宋体"/>
              </w:rPr>
              <w:t>1</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20" w:lineRule="exact"/>
              <w:jc w:val="center"/>
              <w:rPr>
                <w:rFonts w:ascii="宋体" w:hAnsi="宋体"/>
              </w:rPr>
            </w:pPr>
            <w:r>
              <w:rPr>
                <w:rFonts w:ascii="宋体" w:hAnsi="宋体"/>
              </w:rPr>
              <w:t>1</w:t>
            </w:r>
          </w:p>
        </w:tc>
        <w:tc>
          <w:tcPr>
            <w:tcW w:w="2976" w:type="dxa"/>
            <w:tcMar>
              <w:top w:w="10" w:type="dxa"/>
              <w:left w:w="10" w:type="dxa"/>
              <w:bottom w:w="0" w:type="dxa"/>
              <w:right w:w="10" w:type="dxa"/>
            </w:tcMar>
            <w:vAlign w:val="center"/>
          </w:tcPr>
          <w:p>
            <w:pPr>
              <w:tabs>
                <w:tab w:val="left" w:pos="2604"/>
              </w:tabs>
              <w:spacing w:line="220" w:lineRule="exact"/>
              <w:rPr>
                <w:rFonts w:ascii="宋体" w:hAnsi="宋体"/>
              </w:rPr>
            </w:pPr>
            <w:r>
              <w:rPr>
                <w:rFonts w:hint="eastAsia" w:ascii="宋体" w:hAnsi="宋体" w:cs="宋体"/>
              </w:rPr>
              <w:t>部门使用预算资金是否符合相关的预算财务管理制度的规定，用以反映和考核部门预算资金的规范运行情况。</w:t>
            </w:r>
          </w:p>
        </w:tc>
        <w:tc>
          <w:tcPr>
            <w:tcW w:w="4122" w:type="dxa"/>
            <w:tcMar>
              <w:top w:w="10" w:type="dxa"/>
              <w:left w:w="10" w:type="dxa"/>
              <w:bottom w:w="0" w:type="dxa"/>
              <w:right w:w="10" w:type="dxa"/>
            </w:tcMar>
            <w:vAlign w:val="center"/>
          </w:tcPr>
          <w:p>
            <w:pPr>
              <w:spacing w:line="220" w:lineRule="exact"/>
              <w:rPr>
                <w:rFonts w:ascii="宋体" w:hAnsi="宋体"/>
              </w:rPr>
            </w:pPr>
            <w:r>
              <w:rPr>
                <w:rFonts w:hint="eastAsia" w:ascii="宋体" w:hAnsi="宋体" w:cs="宋体"/>
              </w:rPr>
              <w:t>①符合国家财经法规和财务管理制度规定以及有关专项资金管理办法的规定计</w:t>
            </w:r>
            <w:r>
              <w:rPr>
                <w:rFonts w:ascii="宋体" w:hAnsi="宋体" w:cs="宋体"/>
              </w:rPr>
              <w:t>0.2</w:t>
            </w:r>
            <w:r>
              <w:rPr>
                <w:rFonts w:hint="eastAsia" w:ascii="宋体" w:hAnsi="宋体" w:cs="宋体"/>
              </w:rPr>
              <w:t>分；②资金的拨付有完整的审批程序和手续计</w:t>
            </w:r>
            <w:r>
              <w:rPr>
                <w:rFonts w:ascii="宋体" w:hAnsi="宋体" w:cs="宋体"/>
              </w:rPr>
              <w:t>0.2</w:t>
            </w:r>
            <w:r>
              <w:rPr>
                <w:rFonts w:hint="eastAsia" w:ascii="宋体" w:hAnsi="宋体" w:cs="宋体"/>
              </w:rPr>
              <w:t>分；③项目的重大开支经过评估论证计</w:t>
            </w:r>
            <w:r>
              <w:rPr>
                <w:rFonts w:ascii="宋体" w:hAnsi="宋体" w:cs="宋体"/>
              </w:rPr>
              <w:t>0.2</w:t>
            </w:r>
            <w:r>
              <w:rPr>
                <w:rFonts w:hint="eastAsia" w:ascii="宋体" w:hAnsi="宋体" w:cs="宋体"/>
              </w:rPr>
              <w:t>分；④符合部门预算批复的用途计</w:t>
            </w:r>
            <w:r>
              <w:rPr>
                <w:rFonts w:ascii="宋体" w:hAnsi="宋体" w:cs="宋体"/>
              </w:rPr>
              <w:t>0.2</w:t>
            </w:r>
            <w:r>
              <w:rPr>
                <w:rFonts w:hint="eastAsia" w:ascii="宋体" w:hAnsi="宋体" w:cs="宋体"/>
              </w:rPr>
              <w:t>分；⑤不存在截留、挤占、挪用、虚列支出等情况计</w:t>
            </w:r>
            <w:r>
              <w:rPr>
                <w:rFonts w:ascii="宋体" w:hAnsi="宋体" w:cs="宋体"/>
              </w:rPr>
              <w:t>0.2</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4" w:hRule="atLeast"/>
        </w:trPr>
        <w:tc>
          <w:tcPr>
            <w:tcW w:w="547" w:type="dxa"/>
            <w:vMerge w:val="continue"/>
            <w:vAlign w:val="center"/>
          </w:tcPr>
          <w:p>
            <w:pPr>
              <w:spacing w:line="220" w:lineRule="exact"/>
              <w:jc w:val="center"/>
              <w:rPr>
                <w:rFonts w:ascii="宋体" w:hAnsi="宋体"/>
              </w:rPr>
            </w:pPr>
          </w:p>
        </w:tc>
        <w:tc>
          <w:tcPr>
            <w:tcW w:w="570" w:type="dxa"/>
            <w:vMerge w:val="continue"/>
            <w:vAlign w:val="center"/>
          </w:tcPr>
          <w:p>
            <w:pPr>
              <w:spacing w:line="220" w:lineRule="exact"/>
              <w:jc w:val="center"/>
              <w:rPr>
                <w:rFonts w:ascii="宋体" w:hAnsi="宋体"/>
              </w:rPr>
            </w:pPr>
          </w:p>
        </w:tc>
        <w:tc>
          <w:tcPr>
            <w:tcW w:w="703" w:type="dxa"/>
            <w:tcMar>
              <w:top w:w="10" w:type="dxa"/>
              <w:left w:w="10" w:type="dxa"/>
              <w:bottom w:w="0" w:type="dxa"/>
              <w:right w:w="10" w:type="dxa"/>
            </w:tcMar>
            <w:vAlign w:val="center"/>
          </w:tcPr>
          <w:p>
            <w:pPr>
              <w:spacing w:line="220" w:lineRule="exact"/>
              <w:jc w:val="center"/>
              <w:rPr>
                <w:rFonts w:ascii="宋体" w:hAnsi="宋体"/>
              </w:rPr>
            </w:pPr>
            <w:r>
              <w:rPr>
                <w:rFonts w:hint="eastAsia" w:ascii="宋体" w:hAnsi="宋体" w:cs="宋体"/>
              </w:rPr>
              <w:t>预决算信</w:t>
            </w:r>
          </w:p>
          <w:p>
            <w:pPr>
              <w:spacing w:line="220" w:lineRule="exact"/>
              <w:jc w:val="center"/>
              <w:rPr>
                <w:rFonts w:ascii="宋体" w:hAnsi="宋体"/>
              </w:rPr>
            </w:pPr>
            <w:r>
              <w:rPr>
                <w:rFonts w:hint="eastAsia" w:ascii="宋体" w:hAnsi="宋体" w:cs="宋体"/>
              </w:rPr>
              <w:t>息公开性（</w:t>
            </w:r>
            <w:r>
              <w:rPr>
                <w:rFonts w:ascii="宋体" w:hAnsi="宋体" w:cs="宋体"/>
              </w:rPr>
              <w:t>1</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20" w:lineRule="exact"/>
              <w:jc w:val="center"/>
              <w:rPr>
                <w:rFonts w:ascii="宋体" w:hAnsi="宋体"/>
              </w:rPr>
            </w:pPr>
            <w:r>
              <w:rPr>
                <w:rFonts w:ascii="宋体" w:hAnsi="宋体"/>
              </w:rPr>
              <w:t>1</w:t>
            </w:r>
          </w:p>
        </w:tc>
        <w:tc>
          <w:tcPr>
            <w:tcW w:w="2976" w:type="dxa"/>
            <w:tcMar>
              <w:top w:w="10" w:type="dxa"/>
              <w:left w:w="10" w:type="dxa"/>
              <w:bottom w:w="0" w:type="dxa"/>
              <w:right w:w="10" w:type="dxa"/>
            </w:tcMar>
            <w:vAlign w:val="center"/>
          </w:tcPr>
          <w:p>
            <w:pPr>
              <w:tabs>
                <w:tab w:val="left" w:pos="2604"/>
              </w:tabs>
              <w:spacing w:line="220" w:lineRule="exact"/>
              <w:rPr>
                <w:rFonts w:ascii="宋体" w:hAnsi="宋体"/>
              </w:rPr>
            </w:pPr>
            <w:r>
              <w:rPr>
                <w:rFonts w:hint="eastAsia" w:ascii="宋体" w:hAnsi="宋体" w:cs="宋体"/>
              </w:rPr>
              <w:t>部门是否按照政府信息公开有关规定公开相关预决算信息，用以反映和考核部门预决算管理的公开透明情况。</w:t>
            </w:r>
          </w:p>
        </w:tc>
        <w:tc>
          <w:tcPr>
            <w:tcW w:w="4122" w:type="dxa"/>
            <w:tcMar>
              <w:top w:w="10" w:type="dxa"/>
              <w:left w:w="10" w:type="dxa"/>
              <w:bottom w:w="0" w:type="dxa"/>
              <w:right w:w="10" w:type="dxa"/>
            </w:tcMar>
            <w:vAlign w:val="center"/>
          </w:tcPr>
          <w:p>
            <w:pPr>
              <w:spacing w:line="220" w:lineRule="exact"/>
              <w:rPr>
                <w:rFonts w:ascii="宋体" w:hAnsi="宋体"/>
              </w:rPr>
            </w:pPr>
            <w:r>
              <w:rPr>
                <w:rFonts w:hint="eastAsia" w:ascii="宋体" w:hAnsi="宋体" w:cs="宋体"/>
              </w:rPr>
              <w:t>①按规定内容公开预决算信息计</w:t>
            </w:r>
            <w:r>
              <w:rPr>
                <w:rFonts w:ascii="宋体" w:hAnsi="宋体" w:cs="宋体"/>
              </w:rPr>
              <w:t>0.5</w:t>
            </w:r>
            <w:r>
              <w:rPr>
                <w:rFonts w:hint="eastAsia" w:ascii="宋体" w:hAnsi="宋体" w:cs="宋体"/>
              </w:rPr>
              <w:t>分；②按规定时限公开预决算信息计</w:t>
            </w:r>
            <w:r>
              <w:rPr>
                <w:rFonts w:ascii="宋体" w:hAnsi="宋体" w:cs="宋体"/>
              </w:rPr>
              <w:t>0.5</w:t>
            </w:r>
            <w:r>
              <w:rPr>
                <w:rFonts w:hint="eastAsia" w:ascii="宋体" w:hAnsi="宋体" w:cs="宋体"/>
              </w:rPr>
              <w:t>分。预决算信息是指与部门预算、执行、决算、监督、绩效等管理相关的信息。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trPr>
        <w:tc>
          <w:tcPr>
            <w:tcW w:w="547" w:type="dxa"/>
            <w:vMerge w:val="continue"/>
            <w:vAlign w:val="center"/>
          </w:tcPr>
          <w:p>
            <w:pPr>
              <w:spacing w:line="220" w:lineRule="exact"/>
              <w:jc w:val="center"/>
              <w:rPr>
                <w:rFonts w:ascii="宋体" w:hAnsi="宋体"/>
              </w:rPr>
            </w:pPr>
          </w:p>
        </w:tc>
        <w:tc>
          <w:tcPr>
            <w:tcW w:w="570" w:type="dxa"/>
            <w:vMerge w:val="continue"/>
            <w:vAlign w:val="center"/>
          </w:tcPr>
          <w:p>
            <w:pPr>
              <w:spacing w:line="220" w:lineRule="exact"/>
              <w:jc w:val="center"/>
              <w:rPr>
                <w:rFonts w:ascii="宋体" w:hAnsi="宋体"/>
              </w:rPr>
            </w:pPr>
          </w:p>
        </w:tc>
        <w:tc>
          <w:tcPr>
            <w:tcW w:w="703" w:type="dxa"/>
            <w:tcMar>
              <w:top w:w="10" w:type="dxa"/>
              <w:left w:w="10" w:type="dxa"/>
              <w:bottom w:w="0" w:type="dxa"/>
              <w:right w:w="10" w:type="dxa"/>
            </w:tcMar>
            <w:vAlign w:val="center"/>
          </w:tcPr>
          <w:p>
            <w:pPr>
              <w:spacing w:line="220" w:lineRule="exact"/>
              <w:jc w:val="center"/>
              <w:rPr>
                <w:rFonts w:ascii="宋体" w:hAnsi="宋体"/>
              </w:rPr>
            </w:pPr>
            <w:r>
              <w:rPr>
                <w:rFonts w:hint="eastAsia" w:ascii="宋体" w:hAnsi="宋体" w:cs="宋体"/>
              </w:rPr>
              <w:t>基础信息</w:t>
            </w:r>
          </w:p>
          <w:p>
            <w:pPr>
              <w:spacing w:line="220" w:lineRule="exact"/>
              <w:jc w:val="center"/>
              <w:rPr>
                <w:rFonts w:ascii="宋体" w:hAnsi="宋体"/>
              </w:rPr>
            </w:pPr>
            <w:r>
              <w:rPr>
                <w:rFonts w:hint="eastAsia" w:ascii="宋体" w:hAnsi="宋体" w:cs="宋体"/>
              </w:rPr>
              <w:t>完善性（</w:t>
            </w:r>
            <w:r>
              <w:rPr>
                <w:rFonts w:ascii="宋体" w:hAnsi="宋体" w:cs="宋体"/>
              </w:rPr>
              <w:t>1</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20" w:lineRule="exact"/>
              <w:jc w:val="center"/>
              <w:rPr>
                <w:rFonts w:ascii="宋体" w:hAnsi="宋体"/>
              </w:rPr>
            </w:pPr>
            <w:r>
              <w:rPr>
                <w:rFonts w:ascii="宋体" w:hAnsi="宋体"/>
              </w:rPr>
              <w:t>1</w:t>
            </w:r>
          </w:p>
        </w:tc>
        <w:tc>
          <w:tcPr>
            <w:tcW w:w="2976" w:type="dxa"/>
            <w:tcMar>
              <w:top w:w="10" w:type="dxa"/>
              <w:left w:w="10" w:type="dxa"/>
              <w:bottom w:w="0" w:type="dxa"/>
              <w:right w:w="10" w:type="dxa"/>
            </w:tcMar>
            <w:vAlign w:val="center"/>
          </w:tcPr>
          <w:p>
            <w:pPr>
              <w:tabs>
                <w:tab w:val="left" w:pos="2604"/>
              </w:tabs>
              <w:spacing w:line="220" w:lineRule="exact"/>
              <w:rPr>
                <w:rFonts w:ascii="宋体" w:hAnsi="宋体"/>
              </w:rPr>
            </w:pPr>
            <w:r>
              <w:rPr>
                <w:rFonts w:hint="eastAsia" w:ascii="宋体" w:hAnsi="宋体" w:cs="宋体"/>
              </w:rPr>
              <w:t>部门基础信息是否完善，用以反映和考核基础信息对预算管理工作的支撑情况。</w:t>
            </w:r>
          </w:p>
        </w:tc>
        <w:tc>
          <w:tcPr>
            <w:tcW w:w="4122" w:type="dxa"/>
            <w:tcMar>
              <w:top w:w="10" w:type="dxa"/>
              <w:left w:w="10" w:type="dxa"/>
              <w:bottom w:w="0" w:type="dxa"/>
              <w:right w:w="10" w:type="dxa"/>
            </w:tcMar>
            <w:vAlign w:val="center"/>
          </w:tcPr>
          <w:p>
            <w:pPr>
              <w:spacing w:line="220" w:lineRule="exact"/>
              <w:rPr>
                <w:rFonts w:ascii="宋体" w:hAnsi="宋体"/>
              </w:rPr>
            </w:pPr>
            <w:r>
              <w:rPr>
                <w:rFonts w:hint="eastAsia" w:ascii="宋体" w:hAnsi="宋体" w:cs="宋体"/>
              </w:rPr>
              <w:t>①基础数据信息和会计信息资料真实计</w:t>
            </w:r>
            <w:r>
              <w:rPr>
                <w:rFonts w:ascii="宋体" w:hAnsi="宋体" w:cs="宋体"/>
              </w:rPr>
              <w:t>0.4</w:t>
            </w:r>
            <w:r>
              <w:rPr>
                <w:rFonts w:hint="eastAsia" w:ascii="宋体" w:hAnsi="宋体" w:cs="宋体"/>
              </w:rPr>
              <w:t>分；②基础数据信息和会计信息资料完整计</w:t>
            </w:r>
            <w:r>
              <w:rPr>
                <w:rFonts w:ascii="宋体" w:hAnsi="宋体" w:cs="宋体"/>
              </w:rPr>
              <w:t>0.3</w:t>
            </w:r>
            <w:r>
              <w:rPr>
                <w:rFonts w:hint="eastAsia" w:ascii="宋体" w:hAnsi="宋体" w:cs="宋体"/>
              </w:rPr>
              <w:t>分；③基础数据信息和会计信息资料准确计</w:t>
            </w:r>
            <w:r>
              <w:rPr>
                <w:rFonts w:ascii="宋体" w:hAnsi="宋体" w:cs="宋体"/>
              </w:rPr>
              <w:t>0.3</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8" w:hRule="atLeast"/>
        </w:trPr>
        <w:tc>
          <w:tcPr>
            <w:tcW w:w="547" w:type="dxa"/>
            <w:vMerge w:val="continue"/>
            <w:tcMar>
              <w:top w:w="10" w:type="dxa"/>
              <w:left w:w="10" w:type="dxa"/>
              <w:bottom w:w="0" w:type="dxa"/>
              <w:right w:w="10" w:type="dxa"/>
            </w:tcMar>
            <w:textDirection w:val="tbRlV"/>
            <w:vAlign w:val="center"/>
          </w:tcPr>
          <w:p>
            <w:pPr>
              <w:spacing w:line="220" w:lineRule="exact"/>
              <w:jc w:val="center"/>
              <w:rPr>
                <w:rFonts w:ascii="宋体" w:hAnsi="宋体"/>
              </w:rPr>
            </w:pPr>
          </w:p>
        </w:tc>
        <w:tc>
          <w:tcPr>
            <w:tcW w:w="570" w:type="dxa"/>
            <w:tcMar>
              <w:top w:w="10" w:type="dxa"/>
              <w:left w:w="10" w:type="dxa"/>
              <w:bottom w:w="0" w:type="dxa"/>
              <w:right w:w="10" w:type="dxa"/>
            </w:tcMar>
            <w:vAlign w:val="center"/>
          </w:tcPr>
          <w:p>
            <w:pPr>
              <w:spacing w:line="220" w:lineRule="exact"/>
              <w:jc w:val="center"/>
              <w:rPr>
                <w:rFonts w:ascii="宋体" w:hAnsi="宋体" w:cs="宋体"/>
              </w:rPr>
            </w:pPr>
            <w:r>
              <w:rPr>
                <w:rFonts w:hint="eastAsia" w:ascii="宋体" w:hAnsi="宋体" w:cs="宋体"/>
              </w:rPr>
              <w:t>资产</w:t>
            </w:r>
          </w:p>
          <w:p>
            <w:pPr>
              <w:spacing w:line="220" w:lineRule="exact"/>
              <w:jc w:val="center"/>
              <w:rPr>
                <w:rFonts w:ascii="宋体" w:hAnsi="宋体"/>
              </w:rPr>
            </w:pPr>
            <w:r>
              <w:rPr>
                <w:rFonts w:hint="eastAsia" w:ascii="宋体" w:hAnsi="宋体" w:cs="宋体"/>
              </w:rPr>
              <w:t>管理</w:t>
            </w:r>
          </w:p>
          <w:p>
            <w:pPr>
              <w:spacing w:line="220" w:lineRule="exact"/>
              <w:jc w:val="center"/>
              <w:rPr>
                <w:rFonts w:ascii="宋体" w:hAnsi="宋体"/>
              </w:rPr>
            </w:pPr>
            <w:r>
              <w:rPr>
                <w:rFonts w:hint="eastAsia" w:ascii="宋体" w:hAnsi="宋体" w:cs="宋体"/>
              </w:rPr>
              <w:t>（</w:t>
            </w:r>
            <w:r>
              <w:rPr>
                <w:rFonts w:ascii="宋体" w:hAnsi="宋体" w:cs="宋体"/>
              </w:rPr>
              <w:t>5</w:t>
            </w:r>
            <w:r>
              <w:rPr>
                <w:rFonts w:hint="eastAsia" w:ascii="宋体" w:hAnsi="宋体" w:cs="宋体"/>
              </w:rPr>
              <w:t>分）</w:t>
            </w:r>
          </w:p>
        </w:tc>
        <w:tc>
          <w:tcPr>
            <w:tcW w:w="703" w:type="dxa"/>
            <w:tcMar>
              <w:top w:w="10" w:type="dxa"/>
              <w:left w:w="10" w:type="dxa"/>
              <w:bottom w:w="0" w:type="dxa"/>
              <w:right w:w="10" w:type="dxa"/>
            </w:tcMar>
            <w:vAlign w:val="center"/>
          </w:tcPr>
          <w:p>
            <w:pPr>
              <w:spacing w:line="220" w:lineRule="exact"/>
              <w:jc w:val="center"/>
              <w:rPr>
                <w:rFonts w:ascii="宋体" w:hAnsi="宋体"/>
              </w:rPr>
            </w:pPr>
            <w:r>
              <w:rPr>
                <w:rFonts w:hint="eastAsia" w:ascii="宋体" w:hAnsi="宋体" w:cs="宋体"/>
              </w:rPr>
              <w:t>管理制度</w:t>
            </w:r>
          </w:p>
          <w:p>
            <w:pPr>
              <w:spacing w:line="220" w:lineRule="exact"/>
              <w:jc w:val="center"/>
              <w:rPr>
                <w:rFonts w:ascii="宋体" w:hAnsi="宋体"/>
              </w:rPr>
            </w:pPr>
            <w:r>
              <w:rPr>
                <w:rFonts w:hint="eastAsia" w:ascii="宋体" w:hAnsi="宋体" w:cs="宋体"/>
              </w:rPr>
              <w:t>健全性（</w:t>
            </w:r>
            <w:r>
              <w:rPr>
                <w:rFonts w:ascii="宋体" w:hAnsi="宋体" w:cs="宋体"/>
              </w:rPr>
              <w:t>2</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20" w:lineRule="exact"/>
              <w:jc w:val="center"/>
              <w:rPr>
                <w:rFonts w:ascii="宋体" w:hAnsi="宋体"/>
              </w:rPr>
            </w:pPr>
            <w:r>
              <w:rPr>
                <w:rFonts w:ascii="宋体" w:hAnsi="宋体"/>
              </w:rPr>
              <w:t>2</w:t>
            </w:r>
          </w:p>
        </w:tc>
        <w:tc>
          <w:tcPr>
            <w:tcW w:w="2976" w:type="dxa"/>
            <w:tcMar>
              <w:top w:w="10" w:type="dxa"/>
              <w:left w:w="10" w:type="dxa"/>
              <w:bottom w:w="0" w:type="dxa"/>
              <w:right w:w="10" w:type="dxa"/>
            </w:tcMar>
            <w:vAlign w:val="center"/>
          </w:tcPr>
          <w:p>
            <w:pPr>
              <w:tabs>
                <w:tab w:val="left" w:pos="2604"/>
              </w:tabs>
              <w:spacing w:line="220" w:lineRule="exact"/>
              <w:rPr>
                <w:rFonts w:ascii="宋体" w:hAnsi="宋体"/>
              </w:rPr>
            </w:pPr>
            <w:r>
              <w:rPr>
                <w:rFonts w:hint="eastAsia" w:ascii="宋体" w:hAnsi="宋体" w:cs="宋体"/>
              </w:rPr>
              <w:t>部门为加强资产管理、规范资产管理行为而制定的管理制度是否健全完整，用以反映和考核部门资产管理制度对完成主要职责或促进社会发展的保障情况。</w:t>
            </w:r>
          </w:p>
        </w:tc>
        <w:tc>
          <w:tcPr>
            <w:tcW w:w="4122" w:type="dxa"/>
            <w:tcMar>
              <w:top w:w="10" w:type="dxa"/>
              <w:left w:w="10" w:type="dxa"/>
              <w:bottom w:w="0" w:type="dxa"/>
              <w:right w:w="10" w:type="dxa"/>
            </w:tcMar>
            <w:vAlign w:val="center"/>
          </w:tcPr>
          <w:p>
            <w:pPr>
              <w:spacing w:line="220" w:lineRule="exact"/>
              <w:rPr>
                <w:rFonts w:ascii="宋体" w:hAnsi="宋体"/>
              </w:rPr>
            </w:pPr>
            <w:r>
              <w:rPr>
                <w:rFonts w:hint="eastAsia" w:ascii="宋体" w:hAnsi="宋体" w:cs="宋体"/>
              </w:rPr>
              <w:t>①制定或具有资产管理制度计</w:t>
            </w:r>
            <w:r>
              <w:rPr>
                <w:rFonts w:ascii="宋体" w:hAnsi="宋体" w:cs="宋体"/>
              </w:rPr>
              <w:t>1</w:t>
            </w:r>
            <w:r>
              <w:rPr>
                <w:rFonts w:hint="eastAsia" w:ascii="宋体" w:hAnsi="宋体" w:cs="宋体"/>
              </w:rPr>
              <w:t>分；②相关资金管理制度合法、合规、完整计</w:t>
            </w:r>
            <w:r>
              <w:rPr>
                <w:rFonts w:ascii="宋体" w:hAnsi="宋体" w:cs="宋体"/>
              </w:rPr>
              <w:t>0.5</w:t>
            </w:r>
            <w:r>
              <w:rPr>
                <w:rFonts w:hint="eastAsia" w:ascii="宋体" w:hAnsi="宋体" w:cs="宋体"/>
              </w:rPr>
              <w:t>分；③相关资产管理制度得到有效执行计</w:t>
            </w:r>
            <w:r>
              <w:rPr>
                <w:rFonts w:ascii="宋体" w:hAnsi="宋体" w:cs="宋体"/>
              </w:rPr>
              <w:t>0.5</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restart"/>
            <w:vAlign w:val="center"/>
          </w:tcPr>
          <w:p>
            <w:pPr>
              <w:spacing w:line="220" w:lineRule="exact"/>
              <w:ind w:left="113"/>
              <w:jc w:val="center"/>
              <w:rPr>
                <w:rFonts w:ascii="宋体" w:hAnsi="宋体"/>
              </w:rPr>
            </w:pPr>
            <w:r>
              <w:rPr>
                <w:rFonts w:hint="eastAsia" w:ascii="宋体" w:hAnsi="宋体" w:cs="宋体"/>
              </w:rPr>
              <w:t>过</w:t>
            </w:r>
            <w:r>
              <w:rPr>
                <w:rFonts w:ascii="宋体" w:hAnsi="宋体" w:cs="宋体"/>
              </w:rPr>
              <w:t xml:space="preserve">             </w:t>
            </w:r>
            <w:r>
              <w:rPr>
                <w:rFonts w:hint="eastAsia" w:ascii="宋体" w:hAnsi="宋体" w:cs="宋体"/>
              </w:rPr>
              <w:t>程（</w:t>
            </w:r>
            <w:r>
              <w:rPr>
                <w:rFonts w:ascii="宋体" w:hAnsi="宋体" w:cs="宋体"/>
              </w:rPr>
              <w:t>30</w:t>
            </w:r>
            <w:r>
              <w:rPr>
                <w:rFonts w:hint="eastAsia" w:ascii="宋体" w:hAnsi="宋体" w:cs="宋体"/>
              </w:rPr>
              <w:t>分）</w:t>
            </w:r>
          </w:p>
        </w:tc>
        <w:tc>
          <w:tcPr>
            <w:tcW w:w="570" w:type="dxa"/>
            <w:vMerge w:val="restart"/>
            <w:vAlign w:val="center"/>
          </w:tcPr>
          <w:p>
            <w:pPr>
              <w:spacing w:line="220" w:lineRule="exact"/>
              <w:jc w:val="center"/>
              <w:rPr>
                <w:rFonts w:ascii="宋体" w:hAnsi="宋体" w:cs="宋体"/>
              </w:rPr>
            </w:pPr>
            <w:r>
              <w:rPr>
                <w:rFonts w:hint="eastAsia" w:ascii="宋体" w:hAnsi="宋体" w:cs="宋体"/>
              </w:rPr>
              <w:t>资产</w:t>
            </w:r>
          </w:p>
          <w:p>
            <w:pPr>
              <w:spacing w:line="220" w:lineRule="exact"/>
              <w:jc w:val="center"/>
              <w:rPr>
                <w:rFonts w:ascii="宋体" w:hAnsi="宋体"/>
              </w:rPr>
            </w:pPr>
            <w:r>
              <w:rPr>
                <w:rFonts w:hint="eastAsia" w:ascii="宋体" w:hAnsi="宋体" w:cs="宋体"/>
              </w:rPr>
              <w:t>管理</w:t>
            </w:r>
          </w:p>
          <w:p>
            <w:pPr>
              <w:spacing w:line="220" w:lineRule="exact"/>
              <w:jc w:val="center"/>
              <w:rPr>
                <w:rFonts w:ascii="宋体" w:hAnsi="宋体"/>
              </w:rPr>
            </w:pPr>
            <w:r>
              <w:rPr>
                <w:rFonts w:hint="eastAsia" w:ascii="宋体" w:hAnsi="宋体" w:cs="宋体"/>
              </w:rPr>
              <w:t>（</w:t>
            </w:r>
            <w:r>
              <w:rPr>
                <w:rFonts w:ascii="宋体" w:hAnsi="宋体" w:cs="宋体"/>
              </w:rPr>
              <w:t>5</w:t>
            </w:r>
            <w:r>
              <w:rPr>
                <w:rFonts w:hint="eastAsia" w:ascii="宋体" w:hAnsi="宋体" w:cs="宋体"/>
              </w:rPr>
              <w:t>分）</w:t>
            </w:r>
          </w:p>
        </w:tc>
        <w:tc>
          <w:tcPr>
            <w:tcW w:w="703" w:type="dxa"/>
            <w:tcMar>
              <w:top w:w="10" w:type="dxa"/>
              <w:left w:w="10" w:type="dxa"/>
              <w:bottom w:w="0" w:type="dxa"/>
              <w:right w:w="10" w:type="dxa"/>
            </w:tcMar>
            <w:vAlign w:val="center"/>
          </w:tcPr>
          <w:p>
            <w:pPr>
              <w:spacing w:line="220" w:lineRule="exact"/>
              <w:jc w:val="center"/>
              <w:rPr>
                <w:rFonts w:ascii="宋体" w:hAnsi="宋体"/>
              </w:rPr>
            </w:pPr>
            <w:r>
              <w:rPr>
                <w:rFonts w:hint="eastAsia" w:ascii="宋体" w:hAnsi="宋体" w:cs="宋体"/>
              </w:rPr>
              <w:t>资产管理</w:t>
            </w:r>
          </w:p>
          <w:p>
            <w:pPr>
              <w:spacing w:line="220" w:lineRule="exact"/>
              <w:jc w:val="center"/>
              <w:rPr>
                <w:rFonts w:ascii="宋体" w:hAnsi="宋体"/>
              </w:rPr>
            </w:pPr>
            <w:r>
              <w:rPr>
                <w:rFonts w:hint="eastAsia" w:ascii="宋体" w:hAnsi="宋体" w:cs="宋体"/>
              </w:rPr>
              <w:t>安全性（</w:t>
            </w:r>
            <w:r>
              <w:rPr>
                <w:rFonts w:ascii="宋体" w:hAnsi="宋体" w:cs="宋体"/>
              </w:rPr>
              <w:t>2</w:t>
            </w:r>
            <w:r>
              <w:rPr>
                <w:rFonts w:hint="eastAsia" w:ascii="宋体" w:hAnsi="宋体" w:cs="宋体"/>
              </w:rPr>
              <w:t>分）</w:t>
            </w:r>
          </w:p>
        </w:tc>
        <w:tc>
          <w:tcPr>
            <w:tcW w:w="446" w:type="dxa"/>
            <w:tcMar>
              <w:top w:w="10" w:type="dxa"/>
              <w:left w:w="10" w:type="dxa"/>
              <w:bottom w:w="0" w:type="dxa"/>
              <w:right w:w="10" w:type="dxa"/>
            </w:tcMar>
            <w:vAlign w:val="center"/>
          </w:tcPr>
          <w:p>
            <w:pPr>
              <w:tabs>
                <w:tab w:val="left" w:pos="761"/>
                <w:tab w:val="left" w:pos="2604"/>
              </w:tabs>
              <w:spacing w:line="220" w:lineRule="exact"/>
              <w:jc w:val="center"/>
              <w:rPr>
                <w:rFonts w:ascii="宋体" w:hAnsi="宋体"/>
              </w:rPr>
            </w:pPr>
            <w:r>
              <w:rPr>
                <w:rFonts w:ascii="宋体" w:hAnsi="宋体"/>
              </w:rPr>
              <w:t>2</w:t>
            </w:r>
          </w:p>
        </w:tc>
        <w:tc>
          <w:tcPr>
            <w:tcW w:w="2976" w:type="dxa"/>
            <w:tcMar>
              <w:top w:w="10" w:type="dxa"/>
              <w:left w:w="10" w:type="dxa"/>
              <w:bottom w:w="0" w:type="dxa"/>
              <w:right w:w="10" w:type="dxa"/>
            </w:tcMar>
            <w:vAlign w:val="center"/>
          </w:tcPr>
          <w:p>
            <w:pPr>
              <w:tabs>
                <w:tab w:val="left" w:pos="761"/>
                <w:tab w:val="left" w:pos="2604"/>
              </w:tabs>
              <w:spacing w:line="220" w:lineRule="exact"/>
              <w:rPr>
                <w:rFonts w:ascii="宋体" w:hAnsi="宋体"/>
              </w:rPr>
            </w:pPr>
            <w:r>
              <w:rPr>
                <w:rFonts w:hint="eastAsia" w:ascii="宋体" w:hAnsi="宋体" w:cs="宋体"/>
              </w:rPr>
              <w:t>部门的资产是否保存完整、使用合规、配置合理、处置规范、收入及时足额上缴，用以反映和考核部门资产安全运行情况。</w:t>
            </w:r>
          </w:p>
        </w:tc>
        <w:tc>
          <w:tcPr>
            <w:tcW w:w="4122" w:type="dxa"/>
            <w:tcMar>
              <w:top w:w="10" w:type="dxa"/>
              <w:left w:w="10" w:type="dxa"/>
              <w:bottom w:w="0" w:type="dxa"/>
              <w:right w:w="10" w:type="dxa"/>
            </w:tcMar>
            <w:vAlign w:val="center"/>
          </w:tcPr>
          <w:p>
            <w:pPr>
              <w:spacing w:line="220" w:lineRule="exact"/>
              <w:rPr>
                <w:rFonts w:ascii="宋体" w:hAnsi="宋体"/>
              </w:rPr>
            </w:pPr>
            <w:r>
              <w:rPr>
                <w:rFonts w:hint="eastAsia" w:ascii="宋体" w:hAnsi="宋体" w:cs="宋体"/>
              </w:rPr>
              <w:t>①资产保存完整计</w:t>
            </w:r>
            <w:r>
              <w:rPr>
                <w:rFonts w:ascii="宋体" w:hAnsi="宋体" w:cs="宋体"/>
              </w:rPr>
              <w:t>0.4</w:t>
            </w:r>
            <w:r>
              <w:rPr>
                <w:rFonts w:hint="eastAsia" w:ascii="宋体" w:hAnsi="宋体" w:cs="宋体"/>
              </w:rPr>
              <w:t>分；②资产配置合理计</w:t>
            </w:r>
            <w:r>
              <w:rPr>
                <w:rFonts w:ascii="宋体" w:hAnsi="宋体" w:cs="宋体"/>
              </w:rPr>
              <w:t>0.4</w:t>
            </w:r>
            <w:r>
              <w:rPr>
                <w:rFonts w:hint="eastAsia" w:ascii="宋体" w:hAnsi="宋体" w:cs="宋体"/>
              </w:rPr>
              <w:t>分；③资产处置规范计</w:t>
            </w:r>
            <w:r>
              <w:rPr>
                <w:rFonts w:ascii="宋体" w:hAnsi="宋体" w:cs="宋体"/>
              </w:rPr>
              <w:t>0.4</w:t>
            </w:r>
            <w:r>
              <w:rPr>
                <w:rFonts w:hint="eastAsia" w:ascii="宋体" w:hAnsi="宋体" w:cs="宋体"/>
              </w:rPr>
              <w:t>分；④资产账务管理合规、帐实相符计</w:t>
            </w:r>
            <w:r>
              <w:rPr>
                <w:rFonts w:ascii="宋体" w:hAnsi="宋体" w:cs="宋体"/>
              </w:rPr>
              <w:t>0.4</w:t>
            </w:r>
            <w:r>
              <w:rPr>
                <w:rFonts w:hint="eastAsia" w:ascii="宋体" w:hAnsi="宋体" w:cs="宋体"/>
              </w:rPr>
              <w:t>分；⑤资产有偿使用及处置收入及时足额上缴计</w:t>
            </w:r>
            <w:r>
              <w:rPr>
                <w:rFonts w:ascii="宋体" w:hAnsi="宋体" w:cs="宋体"/>
              </w:rPr>
              <w:t>0.4</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20" w:lineRule="exact"/>
              <w:jc w:val="center"/>
              <w:rPr>
                <w:rFonts w:ascii="宋体" w:hAnsi="宋体"/>
              </w:rPr>
            </w:pPr>
          </w:p>
        </w:tc>
        <w:tc>
          <w:tcPr>
            <w:tcW w:w="570" w:type="dxa"/>
            <w:vMerge w:val="continue"/>
            <w:vAlign w:val="center"/>
          </w:tcPr>
          <w:p>
            <w:pPr>
              <w:spacing w:line="220" w:lineRule="exact"/>
              <w:jc w:val="center"/>
              <w:rPr>
                <w:rFonts w:ascii="宋体" w:hAnsi="宋体"/>
              </w:rPr>
            </w:pPr>
          </w:p>
        </w:tc>
        <w:tc>
          <w:tcPr>
            <w:tcW w:w="703" w:type="dxa"/>
            <w:tcMar>
              <w:top w:w="10" w:type="dxa"/>
              <w:left w:w="10" w:type="dxa"/>
              <w:bottom w:w="0" w:type="dxa"/>
              <w:right w:w="10" w:type="dxa"/>
            </w:tcMar>
            <w:vAlign w:val="center"/>
          </w:tcPr>
          <w:p>
            <w:pPr>
              <w:spacing w:line="220" w:lineRule="exact"/>
              <w:jc w:val="center"/>
              <w:rPr>
                <w:rFonts w:ascii="宋体" w:hAnsi="宋体"/>
              </w:rPr>
            </w:pPr>
            <w:r>
              <w:rPr>
                <w:rFonts w:hint="eastAsia" w:ascii="宋体" w:hAnsi="宋体" w:cs="宋体"/>
              </w:rPr>
              <w:t>固定资产</w:t>
            </w:r>
          </w:p>
          <w:p>
            <w:pPr>
              <w:spacing w:line="220" w:lineRule="exact"/>
              <w:jc w:val="center"/>
              <w:rPr>
                <w:rFonts w:ascii="宋体" w:hAnsi="宋体"/>
              </w:rPr>
            </w:pPr>
            <w:r>
              <w:rPr>
                <w:rFonts w:hint="eastAsia" w:ascii="宋体" w:hAnsi="宋体" w:cs="宋体"/>
              </w:rPr>
              <w:t>利用率（</w:t>
            </w:r>
            <w:r>
              <w:rPr>
                <w:rFonts w:ascii="宋体" w:hAnsi="宋体" w:cs="宋体"/>
              </w:rPr>
              <w:t>1</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20" w:lineRule="exact"/>
              <w:jc w:val="center"/>
              <w:rPr>
                <w:rFonts w:ascii="宋体" w:hAnsi="宋体"/>
              </w:rPr>
            </w:pPr>
            <w:r>
              <w:rPr>
                <w:rFonts w:ascii="宋体" w:hAnsi="宋体"/>
              </w:rPr>
              <w:t>1</w:t>
            </w:r>
          </w:p>
        </w:tc>
        <w:tc>
          <w:tcPr>
            <w:tcW w:w="2976" w:type="dxa"/>
            <w:tcMar>
              <w:top w:w="10" w:type="dxa"/>
              <w:left w:w="10" w:type="dxa"/>
              <w:bottom w:w="0" w:type="dxa"/>
              <w:right w:w="10" w:type="dxa"/>
            </w:tcMar>
            <w:vAlign w:val="center"/>
          </w:tcPr>
          <w:p>
            <w:pPr>
              <w:tabs>
                <w:tab w:val="left" w:pos="2604"/>
              </w:tabs>
              <w:spacing w:line="220" w:lineRule="exact"/>
              <w:rPr>
                <w:rFonts w:ascii="宋体" w:hAnsi="宋体"/>
              </w:rPr>
            </w:pPr>
            <w:r>
              <w:rPr>
                <w:rFonts w:hint="eastAsia" w:ascii="宋体" w:hAnsi="宋体" w:cs="宋体"/>
              </w:rPr>
              <w:t>部门实际在用固定资产总额与所有固定资产总额的比率，用以反映和考核部门固定资产使用效率程度。</w:t>
            </w:r>
          </w:p>
        </w:tc>
        <w:tc>
          <w:tcPr>
            <w:tcW w:w="4122" w:type="dxa"/>
            <w:tcMar>
              <w:top w:w="10" w:type="dxa"/>
              <w:left w:w="10" w:type="dxa"/>
              <w:bottom w:w="0" w:type="dxa"/>
              <w:right w:w="10" w:type="dxa"/>
            </w:tcMar>
            <w:vAlign w:val="center"/>
          </w:tcPr>
          <w:p>
            <w:pPr>
              <w:spacing w:line="220" w:lineRule="exact"/>
              <w:rPr>
                <w:rFonts w:ascii="宋体" w:hAnsi="宋体"/>
              </w:rPr>
            </w:pPr>
            <w:r>
              <w:rPr>
                <w:rFonts w:hint="eastAsia" w:ascii="宋体" w:hAnsi="宋体" w:cs="宋体"/>
              </w:rPr>
              <w:t>固定资产利用率</w:t>
            </w:r>
            <w:r>
              <w:rPr>
                <w:rFonts w:ascii="宋体" w:hAnsi="宋体" w:cs="宋体"/>
              </w:rPr>
              <w:t>=</w:t>
            </w:r>
            <w:r>
              <w:rPr>
                <w:rFonts w:hint="eastAsia" w:ascii="宋体" w:hAnsi="宋体" w:cs="宋体"/>
              </w:rPr>
              <w:t>（实际在用固定资产总额</w:t>
            </w:r>
            <w:r>
              <w:rPr>
                <w:rFonts w:ascii="宋体" w:hAnsi="宋体" w:cs="宋体"/>
              </w:rPr>
              <w:t>/</w:t>
            </w:r>
            <w:r>
              <w:rPr>
                <w:rFonts w:hint="eastAsia" w:ascii="宋体" w:hAnsi="宋体" w:cs="宋体"/>
              </w:rPr>
              <w:t>所有固定资产总额）×</w:t>
            </w:r>
            <w:r>
              <w:rPr>
                <w:rFonts w:ascii="宋体" w:hAnsi="宋体" w:cs="宋体"/>
              </w:rPr>
              <w:t>100%</w:t>
            </w:r>
            <w:r>
              <w:rPr>
                <w:rFonts w:hint="eastAsia" w:ascii="宋体" w:hAnsi="宋体" w:cs="宋体"/>
              </w:rPr>
              <w:t>。利用率为</w:t>
            </w:r>
            <w:r>
              <w:rPr>
                <w:rFonts w:ascii="宋体" w:hAnsi="宋体" w:cs="宋体"/>
              </w:rPr>
              <w:t>100%</w:t>
            </w:r>
            <w:r>
              <w:rPr>
                <w:rFonts w:hint="eastAsia" w:ascii="宋体" w:hAnsi="宋体" w:cs="宋体"/>
              </w:rPr>
              <w:t>的计</w:t>
            </w:r>
            <w:r>
              <w:rPr>
                <w:rFonts w:ascii="宋体" w:hAnsi="宋体" w:cs="宋体"/>
              </w:rPr>
              <w:t>1</w:t>
            </w:r>
            <w:r>
              <w:rPr>
                <w:rFonts w:hint="eastAsia" w:ascii="宋体" w:hAnsi="宋体" w:cs="宋体"/>
              </w:rPr>
              <w:t>分，每降</w:t>
            </w:r>
            <w:r>
              <w:rPr>
                <w:rFonts w:ascii="宋体" w:hAnsi="宋体" w:cs="宋体"/>
              </w:rPr>
              <w:t>1</w:t>
            </w:r>
            <w:r>
              <w:rPr>
                <w:rFonts w:hint="eastAsia" w:ascii="宋体" w:hAnsi="宋体" w:cs="宋体"/>
              </w:rPr>
              <w:t>个百分点扣</w:t>
            </w:r>
            <w:r>
              <w:rPr>
                <w:rFonts w:ascii="宋体" w:hAnsi="宋体" w:cs="宋体"/>
              </w:rPr>
              <w:t>0.1</w:t>
            </w:r>
            <w:r>
              <w:rPr>
                <w:rFonts w:hint="eastAsia" w:ascii="宋体" w:hAnsi="宋体" w:cs="宋体"/>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restart"/>
            <w:tcMar>
              <w:top w:w="10" w:type="dxa"/>
              <w:left w:w="10" w:type="dxa"/>
              <w:bottom w:w="0" w:type="dxa"/>
              <w:right w:w="10" w:type="dxa"/>
            </w:tcMar>
            <w:textDirection w:val="tbRlV"/>
            <w:vAlign w:val="center"/>
          </w:tcPr>
          <w:p>
            <w:pPr>
              <w:spacing w:line="220" w:lineRule="exact"/>
              <w:jc w:val="center"/>
              <w:rPr>
                <w:rFonts w:ascii="宋体" w:hAnsi="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30</w:t>
            </w:r>
            <w:r>
              <w:rPr>
                <w:rFonts w:hint="eastAsia" w:ascii="宋体" w:hAnsi="宋体" w:cs="宋体"/>
              </w:rPr>
              <w:t>分）</w:t>
            </w:r>
          </w:p>
        </w:tc>
        <w:tc>
          <w:tcPr>
            <w:tcW w:w="570" w:type="dxa"/>
            <w:vMerge w:val="restart"/>
            <w:tcMar>
              <w:top w:w="10" w:type="dxa"/>
              <w:left w:w="10" w:type="dxa"/>
              <w:bottom w:w="0" w:type="dxa"/>
              <w:right w:w="10" w:type="dxa"/>
            </w:tcMar>
            <w:vAlign w:val="center"/>
          </w:tcPr>
          <w:p>
            <w:pPr>
              <w:spacing w:line="220" w:lineRule="exact"/>
              <w:jc w:val="center"/>
              <w:rPr>
                <w:rFonts w:ascii="宋体" w:hAnsi="宋体" w:cs="宋体"/>
              </w:rPr>
            </w:pPr>
            <w:r>
              <w:rPr>
                <w:rFonts w:hint="eastAsia" w:ascii="宋体" w:hAnsi="宋体" w:cs="宋体"/>
              </w:rPr>
              <w:t>职责</w:t>
            </w:r>
          </w:p>
          <w:p>
            <w:pPr>
              <w:spacing w:line="220" w:lineRule="exact"/>
              <w:jc w:val="center"/>
              <w:rPr>
                <w:rFonts w:ascii="宋体" w:hAnsi="宋体"/>
              </w:rPr>
            </w:pPr>
            <w:r>
              <w:rPr>
                <w:rFonts w:hint="eastAsia" w:ascii="宋体" w:hAnsi="宋体" w:cs="宋体"/>
              </w:rPr>
              <w:t>履行</w:t>
            </w:r>
          </w:p>
        </w:tc>
        <w:tc>
          <w:tcPr>
            <w:tcW w:w="703" w:type="dxa"/>
            <w:tcMar>
              <w:top w:w="10" w:type="dxa"/>
              <w:left w:w="10" w:type="dxa"/>
              <w:bottom w:w="0" w:type="dxa"/>
              <w:right w:w="10" w:type="dxa"/>
            </w:tcMar>
            <w:vAlign w:val="center"/>
          </w:tcPr>
          <w:p>
            <w:pPr>
              <w:spacing w:line="220" w:lineRule="exact"/>
              <w:jc w:val="center"/>
              <w:rPr>
                <w:rFonts w:ascii="宋体" w:hAnsi="宋体"/>
              </w:rPr>
            </w:pPr>
            <w:r>
              <w:rPr>
                <w:rFonts w:hint="eastAsia" w:ascii="宋体" w:hAnsi="宋体" w:cs="宋体"/>
              </w:rPr>
              <w:t>实际完成率（</w:t>
            </w:r>
            <w:r>
              <w:rPr>
                <w:rFonts w:ascii="宋体" w:hAnsi="宋体" w:cs="宋体"/>
              </w:rPr>
              <w:t>8</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20" w:lineRule="exact"/>
              <w:jc w:val="center"/>
              <w:rPr>
                <w:rFonts w:ascii="宋体" w:hAnsi="宋体"/>
              </w:rPr>
            </w:pPr>
            <w:r>
              <w:rPr>
                <w:rFonts w:ascii="宋体" w:hAnsi="宋体"/>
              </w:rPr>
              <w:t>7</w:t>
            </w:r>
          </w:p>
        </w:tc>
        <w:tc>
          <w:tcPr>
            <w:tcW w:w="2976" w:type="dxa"/>
            <w:tcMar>
              <w:top w:w="10" w:type="dxa"/>
              <w:left w:w="10" w:type="dxa"/>
              <w:bottom w:w="0" w:type="dxa"/>
              <w:right w:w="10" w:type="dxa"/>
            </w:tcMar>
            <w:vAlign w:val="center"/>
          </w:tcPr>
          <w:p>
            <w:pPr>
              <w:tabs>
                <w:tab w:val="left" w:pos="2604"/>
              </w:tabs>
              <w:spacing w:line="220" w:lineRule="exact"/>
              <w:rPr>
                <w:rFonts w:ascii="宋体" w:hAnsi="宋体"/>
              </w:rPr>
            </w:pPr>
            <w:r>
              <w:rPr>
                <w:rFonts w:hint="eastAsia" w:ascii="宋体" w:hAnsi="宋体" w:cs="宋体"/>
              </w:rPr>
              <w:t>部门履行职责而实际完成工作数与计划工作数的比率，用以反映和考核部门履职工作任务目标的实现程度。</w:t>
            </w:r>
          </w:p>
        </w:tc>
        <w:tc>
          <w:tcPr>
            <w:tcW w:w="4122" w:type="dxa"/>
            <w:tcMar>
              <w:top w:w="10" w:type="dxa"/>
              <w:left w:w="10" w:type="dxa"/>
              <w:bottom w:w="0" w:type="dxa"/>
              <w:right w:w="10" w:type="dxa"/>
            </w:tcMar>
            <w:vAlign w:val="center"/>
          </w:tcPr>
          <w:p>
            <w:pPr>
              <w:spacing w:line="220" w:lineRule="exact"/>
              <w:rPr>
                <w:rFonts w:ascii="宋体" w:hAnsi="宋体"/>
              </w:rPr>
            </w:pPr>
            <w:r>
              <w:rPr>
                <w:rFonts w:hint="eastAsia" w:ascii="宋体" w:hAnsi="宋体" w:cs="宋体"/>
              </w:rPr>
              <w:t>实际完成率得分</w:t>
            </w:r>
            <w:r>
              <w:rPr>
                <w:rFonts w:ascii="宋体" w:hAnsi="宋体" w:cs="宋体"/>
              </w:rPr>
              <w:t>=</w:t>
            </w:r>
            <w:r>
              <w:rPr>
                <w:rFonts w:hint="eastAsia" w:ascii="宋体" w:hAnsi="宋体" w:cs="宋体"/>
              </w:rPr>
              <w:t>完成市委市政府绩效考核得分或上级主管部门考核指标得分</w:t>
            </w:r>
            <w:r>
              <w:rPr>
                <w:rFonts w:ascii="宋体" w:hAnsi="宋体" w:cs="宋体"/>
              </w:rPr>
              <w:t>/</w:t>
            </w:r>
            <w:r>
              <w:rPr>
                <w:rFonts w:hint="eastAsia" w:ascii="宋体" w:hAnsi="宋体" w:cs="宋体"/>
              </w:rPr>
              <w:t>指标分值</w:t>
            </w:r>
            <w:r>
              <w:rPr>
                <w:rFonts w:ascii="宋体" w:hAnsi="宋体" w:cs="宋体"/>
              </w:rPr>
              <w:t>*8</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20" w:lineRule="exact"/>
              <w:jc w:val="center"/>
              <w:rPr>
                <w:rFonts w:ascii="宋体" w:hAnsi="宋体"/>
              </w:rPr>
            </w:pPr>
          </w:p>
        </w:tc>
        <w:tc>
          <w:tcPr>
            <w:tcW w:w="570" w:type="dxa"/>
            <w:vMerge w:val="continue"/>
            <w:vAlign w:val="center"/>
          </w:tcPr>
          <w:p>
            <w:pPr>
              <w:spacing w:line="220" w:lineRule="exact"/>
              <w:jc w:val="center"/>
              <w:rPr>
                <w:rFonts w:ascii="宋体" w:hAnsi="宋体"/>
              </w:rPr>
            </w:pPr>
          </w:p>
        </w:tc>
        <w:tc>
          <w:tcPr>
            <w:tcW w:w="703" w:type="dxa"/>
            <w:tcMar>
              <w:top w:w="10" w:type="dxa"/>
              <w:left w:w="10" w:type="dxa"/>
              <w:bottom w:w="0" w:type="dxa"/>
              <w:right w:w="10" w:type="dxa"/>
            </w:tcMar>
            <w:vAlign w:val="center"/>
          </w:tcPr>
          <w:p>
            <w:pPr>
              <w:spacing w:line="220" w:lineRule="exact"/>
              <w:jc w:val="center"/>
              <w:rPr>
                <w:rFonts w:ascii="宋体" w:hAnsi="宋体"/>
              </w:rPr>
            </w:pPr>
            <w:r>
              <w:rPr>
                <w:rFonts w:hint="eastAsia" w:ascii="宋体" w:hAnsi="宋体" w:cs="宋体"/>
              </w:rPr>
              <w:t>完成及时率（</w:t>
            </w:r>
            <w:r>
              <w:rPr>
                <w:rFonts w:ascii="宋体" w:hAnsi="宋体" w:cs="宋体"/>
              </w:rPr>
              <w:t>4</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20" w:lineRule="exact"/>
              <w:jc w:val="center"/>
              <w:rPr>
                <w:rFonts w:ascii="宋体" w:hAnsi="宋体"/>
              </w:rPr>
            </w:pPr>
            <w:r>
              <w:rPr>
                <w:rFonts w:ascii="宋体" w:hAnsi="宋体"/>
              </w:rPr>
              <w:t>4</w:t>
            </w:r>
          </w:p>
        </w:tc>
        <w:tc>
          <w:tcPr>
            <w:tcW w:w="2976" w:type="dxa"/>
            <w:tcMar>
              <w:top w:w="10" w:type="dxa"/>
              <w:left w:w="10" w:type="dxa"/>
              <w:bottom w:w="0" w:type="dxa"/>
              <w:right w:w="10" w:type="dxa"/>
            </w:tcMar>
            <w:vAlign w:val="center"/>
          </w:tcPr>
          <w:p>
            <w:pPr>
              <w:tabs>
                <w:tab w:val="left" w:pos="2604"/>
              </w:tabs>
              <w:spacing w:line="220" w:lineRule="exact"/>
              <w:rPr>
                <w:rFonts w:ascii="宋体" w:hAnsi="宋体"/>
              </w:rPr>
            </w:pPr>
            <w:r>
              <w:rPr>
                <w:rFonts w:hint="eastAsia" w:ascii="宋体" w:hAnsi="宋体" w:cs="宋体"/>
              </w:rPr>
              <w:t>部门在规定时限内及时完成的实际工作数与计划工作数的比率</w:t>
            </w:r>
            <w:r>
              <w:rPr>
                <w:rFonts w:ascii="宋体" w:hAnsi="宋体" w:cs="宋体"/>
              </w:rPr>
              <w:t>,</w:t>
            </w:r>
            <w:r>
              <w:rPr>
                <w:rFonts w:hint="eastAsia" w:ascii="宋体" w:hAnsi="宋体" w:cs="宋体"/>
              </w:rPr>
              <w:t>用以反映和考核部门履职时效目标的实现程度。</w:t>
            </w:r>
          </w:p>
        </w:tc>
        <w:tc>
          <w:tcPr>
            <w:tcW w:w="4122" w:type="dxa"/>
            <w:tcMar>
              <w:top w:w="10" w:type="dxa"/>
              <w:left w:w="10" w:type="dxa"/>
              <w:bottom w:w="0" w:type="dxa"/>
              <w:right w:w="10" w:type="dxa"/>
            </w:tcMar>
            <w:vAlign w:val="center"/>
          </w:tcPr>
          <w:p>
            <w:pPr>
              <w:spacing w:line="220" w:lineRule="exact"/>
              <w:rPr>
                <w:rFonts w:ascii="宋体" w:hAnsi="宋体" w:cs="宋体"/>
              </w:rPr>
            </w:pPr>
            <w:r>
              <w:rPr>
                <w:rFonts w:hint="eastAsia" w:ascii="宋体" w:hAnsi="宋体" w:cs="宋体"/>
              </w:rPr>
              <w:t>完成及时率</w:t>
            </w:r>
            <w:r>
              <w:rPr>
                <w:rFonts w:ascii="宋体" w:hAnsi="宋体" w:cs="宋体"/>
              </w:rPr>
              <w:t>=</w:t>
            </w:r>
            <w:r>
              <w:rPr>
                <w:rFonts w:hint="eastAsia" w:ascii="宋体" w:hAnsi="宋体" w:cs="宋体"/>
              </w:rPr>
              <w:t>（及时完成实际工作数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hAnsi="宋体" w:cs="宋体"/>
              </w:rPr>
              <w:t>1-4</w:t>
            </w:r>
            <w:r>
              <w:rPr>
                <w:rFonts w:hint="eastAsia" w:ascii="宋体" w:hAnsi="宋体" w:cs="宋体"/>
              </w:rPr>
              <w:t>季度各得</w:t>
            </w:r>
            <w:r>
              <w:rPr>
                <w:rFonts w:ascii="宋体" w:hAnsi="宋体" w:cs="宋体"/>
              </w:rPr>
              <w:t>1</w:t>
            </w:r>
            <w:r>
              <w:rPr>
                <w:rFonts w:hint="eastAsia" w:ascii="宋体" w:hAnsi="宋体" w:cs="宋体"/>
              </w:rPr>
              <w:t>分</w:t>
            </w:r>
          </w:p>
          <w:p>
            <w:pPr>
              <w:spacing w:line="22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20" w:lineRule="exact"/>
              <w:jc w:val="center"/>
              <w:rPr>
                <w:rFonts w:ascii="宋体" w:hAnsi="宋体"/>
              </w:rPr>
            </w:pPr>
          </w:p>
        </w:tc>
        <w:tc>
          <w:tcPr>
            <w:tcW w:w="570" w:type="dxa"/>
            <w:vMerge w:val="continue"/>
            <w:vAlign w:val="center"/>
          </w:tcPr>
          <w:p>
            <w:pPr>
              <w:spacing w:line="220" w:lineRule="exact"/>
              <w:jc w:val="center"/>
              <w:rPr>
                <w:rFonts w:ascii="宋体" w:hAnsi="宋体"/>
              </w:rPr>
            </w:pPr>
          </w:p>
        </w:tc>
        <w:tc>
          <w:tcPr>
            <w:tcW w:w="703" w:type="dxa"/>
            <w:tcMar>
              <w:top w:w="10" w:type="dxa"/>
              <w:left w:w="10" w:type="dxa"/>
              <w:bottom w:w="0" w:type="dxa"/>
              <w:right w:w="10" w:type="dxa"/>
            </w:tcMar>
            <w:vAlign w:val="center"/>
          </w:tcPr>
          <w:p>
            <w:pPr>
              <w:spacing w:line="220" w:lineRule="exact"/>
              <w:jc w:val="center"/>
              <w:rPr>
                <w:rFonts w:ascii="宋体" w:hAnsi="宋体"/>
              </w:rPr>
            </w:pPr>
            <w:r>
              <w:rPr>
                <w:rFonts w:hint="eastAsia" w:ascii="宋体" w:hAnsi="宋体" w:cs="宋体"/>
              </w:rPr>
              <w:t>质量达标率（</w:t>
            </w:r>
            <w:r>
              <w:rPr>
                <w:rFonts w:ascii="宋体" w:hAnsi="宋体" w:cs="宋体"/>
              </w:rPr>
              <w:t>8</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20" w:lineRule="exact"/>
              <w:jc w:val="center"/>
              <w:rPr>
                <w:rFonts w:ascii="宋体" w:hAnsi="宋体"/>
              </w:rPr>
            </w:pPr>
            <w:r>
              <w:rPr>
                <w:rFonts w:ascii="宋体" w:hAnsi="宋体"/>
              </w:rPr>
              <w:t>7</w:t>
            </w:r>
          </w:p>
        </w:tc>
        <w:tc>
          <w:tcPr>
            <w:tcW w:w="2976" w:type="dxa"/>
            <w:tcMar>
              <w:top w:w="10" w:type="dxa"/>
              <w:left w:w="10" w:type="dxa"/>
              <w:bottom w:w="0" w:type="dxa"/>
              <w:right w:w="10" w:type="dxa"/>
            </w:tcMar>
            <w:vAlign w:val="center"/>
          </w:tcPr>
          <w:p>
            <w:pPr>
              <w:tabs>
                <w:tab w:val="left" w:pos="2604"/>
              </w:tabs>
              <w:spacing w:line="220" w:lineRule="exact"/>
              <w:rPr>
                <w:rFonts w:ascii="宋体" w:hAnsi="宋体"/>
              </w:rPr>
            </w:pPr>
            <w:r>
              <w:rPr>
                <w:rFonts w:hint="eastAsia" w:ascii="宋体" w:hAnsi="宋体" w:cs="宋体"/>
              </w:rPr>
              <w:t>达到质量标准（绩效标准值）的实际工作数与计划工作数的比率</w:t>
            </w:r>
            <w:r>
              <w:rPr>
                <w:rFonts w:ascii="宋体" w:hAnsi="宋体" w:cs="宋体"/>
              </w:rPr>
              <w:t>,</w:t>
            </w:r>
            <w:r>
              <w:rPr>
                <w:rFonts w:hint="eastAsia" w:ascii="宋体" w:hAnsi="宋体" w:cs="宋体"/>
              </w:rPr>
              <w:t>用以反映和考核部门履职质量目标的实现程度。</w:t>
            </w:r>
          </w:p>
        </w:tc>
        <w:tc>
          <w:tcPr>
            <w:tcW w:w="4122" w:type="dxa"/>
            <w:tcMar>
              <w:top w:w="10" w:type="dxa"/>
              <w:left w:w="10" w:type="dxa"/>
              <w:bottom w:w="0" w:type="dxa"/>
              <w:right w:w="10" w:type="dxa"/>
            </w:tcMar>
            <w:vAlign w:val="center"/>
          </w:tcPr>
          <w:p>
            <w:pPr>
              <w:spacing w:line="220" w:lineRule="exact"/>
              <w:rPr>
                <w:rFonts w:ascii="宋体" w:hAnsi="宋体"/>
              </w:rPr>
            </w:pPr>
            <w:r>
              <w:rPr>
                <w:rFonts w:hint="eastAsia" w:ascii="宋体" w:hAnsi="宋体" w:cs="宋体"/>
              </w:rPr>
              <w:t>质量达标率</w:t>
            </w:r>
            <w:r>
              <w:rPr>
                <w:rFonts w:ascii="宋体" w:hAnsi="宋体" w:cs="宋体"/>
              </w:rPr>
              <w:t>=</w:t>
            </w:r>
            <w:r>
              <w:rPr>
                <w:rFonts w:hint="eastAsia" w:ascii="宋体" w:hAnsi="宋体" w:cs="宋体"/>
              </w:rPr>
              <w:t>（质量达标实际工作数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。实际得分</w:t>
            </w:r>
            <w:r>
              <w:rPr>
                <w:rFonts w:ascii="宋体" w:hAnsi="宋体" w:cs="宋体"/>
              </w:rPr>
              <w:t>=</w:t>
            </w:r>
            <w:r>
              <w:rPr>
                <w:rFonts w:hint="eastAsia" w:ascii="宋体" w:hAnsi="宋体" w:cs="宋体"/>
              </w:rPr>
              <w:t>达标率</w:t>
            </w:r>
            <w:r>
              <w:rPr>
                <w:rFonts w:ascii="宋体" w:hAnsi="宋体" w:cs="宋体"/>
              </w:rPr>
              <w:t>*8</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20" w:lineRule="exact"/>
              <w:jc w:val="center"/>
              <w:rPr>
                <w:rFonts w:ascii="宋体" w:hAnsi="宋体"/>
              </w:rPr>
            </w:pPr>
          </w:p>
        </w:tc>
        <w:tc>
          <w:tcPr>
            <w:tcW w:w="570" w:type="dxa"/>
            <w:vMerge w:val="continue"/>
            <w:vAlign w:val="center"/>
          </w:tcPr>
          <w:p>
            <w:pPr>
              <w:spacing w:line="220" w:lineRule="exact"/>
              <w:jc w:val="center"/>
              <w:rPr>
                <w:rFonts w:ascii="宋体" w:hAnsi="宋体"/>
              </w:rPr>
            </w:pPr>
          </w:p>
        </w:tc>
        <w:tc>
          <w:tcPr>
            <w:tcW w:w="703" w:type="dxa"/>
            <w:tcMar>
              <w:top w:w="10" w:type="dxa"/>
              <w:left w:w="10" w:type="dxa"/>
              <w:bottom w:w="0" w:type="dxa"/>
              <w:right w:w="10" w:type="dxa"/>
            </w:tcMar>
            <w:vAlign w:val="center"/>
          </w:tcPr>
          <w:p>
            <w:pPr>
              <w:spacing w:line="220" w:lineRule="exact"/>
              <w:jc w:val="center"/>
              <w:rPr>
                <w:rFonts w:ascii="宋体" w:hAnsi="宋体"/>
              </w:rPr>
            </w:pPr>
            <w:r>
              <w:rPr>
                <w:rFonts w:hint="eastAsia" w:ascii="宋体" w:hAnsi="宋体" w:cs="宋体"/>
              </w:rPr>
              <w:t>重点工作</w:t>
            </w:r>
          </w:p>
          <w:p>
            <w:pPr>
              <w:spacing w:line="220" w:lineRule="exact"/>
              <w:jc w:val="center"/>
              <w:rPr>
                <w:rFonts w:ascii="宋体" w:hAnsi="宋体"/>
              </w:rPr>
            </w:pPr>
            <w:r>
              <w:rPr>
                <w:rFonts w:hint="eastAsia" w:ascii="宋体" w:hAnsi="宋体" w:cs="宋体"/>
              </w:rPr>
              <w:t>办结率（</w:t>
            </w:r>
            <w:r>
              <w:rPr>
                <w:rFonts w:ascii="宋体" w:hAnsi="宋体" w:cs="宋体"/>
              </w:rPr>
              <w:t>10</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20" w:lineRule="exact"/>
              <w:jc w:val="center"/>
              <w:rPr>
                <w:rFonts w:ascii="宋体" w:hAnsi="宋体"/>
              </w:rPr>
            </w:pPr>
            <w:r>
              <w:rPr>
                <w:rFonts w:ascii="宋体" w:hAnsi="宋体"/>
              </w:rPr>
              <w:t>9</w:t>
            </w:r>
          </w:p>
        </w:tc>
        <w:tc>
          <w:tcPr>
            <w:tcW w:w="2976" w:type="dxa"/>
            <w:tcMar>
              <w:top w:w="10" w:type="dxa"/>
              <w:left w:w="10" w:type="dxa"/>
              <w:bottom w:w="0" w:type="dxa"/>
              <w:right w:w="10" w:type="dxa"/>
            </w:tcMar>
            <w:vAlign w:val="center"/>
          </w:tcPr>
          <w:p>
            <w:pPr>
              <w:tabs>
                <w:tab w:val="left" w:pos="2604"/>
              </w:tabs>
              <w:spacing w:line="220" w:lineRule="exact"/>
              <w:rPr>
                <w:rFonts w:ascii="宋体" w:hAnsi="宋体"/>
              </w:rPr>
            </w:pPr>
            <w:r>
              <w:rPr>
                <w:rFonts w:hint="eastAsia" w:ascii="宋体" w:hAnsi="宋体" w:cs="宋体"/>
              </w:rPr>
              <w:t>部门年度重点工作实际完成数与交办或下达数的比率，用以反映部门对重点工作的办理落实程度。</w:t>
            </w:r>
          </w:p>
        </w:tc>
        <w:tc>
          <w:tcPr>
            <w:tcW w:w="4122" w:type="dxa"/>
            <w:tcMar>
              <w:top w:w="10" w:type="dxa"/>
              <w:left w:w="10" w:type="dxa"/>
              <w:bottom w:w="0" w:type="dxa"/>
              <w:right w:w="10" w:type="dxa"/>
            </w:tcMar>
            <w:vAlign w:val="center"/>
          </w:tcPr>
          <w:p>
            <w:pPr>
              <w:spacing w:line="220" w:lineRule="exact"/>
              <w:rPr>
                <w:rFonts w:ascii="宋体" w:hAnsi="宋体"/>
              </w:rPr>
            </w:pPr>
            <w:r>
              <w:rPr>
                <w:rFonts w:hint="eastAsia" w:ascii="宋体" w:hAnsi="宋体" w:cs="宋体"/>
              </w:rPr>
              <w:t>重点工作办结率</w:t>
            </w:r>
            <w:r>
              <w:rPr>
                <w:rFonts w:ascii="宋体" w:hAnsi="宋体" w:cs="宋体"/>
              </w:rPr>
              <w:t>=</w:t>
            </w:r>
            <w:r>
              <w:rPr>
                <w:rFonts w:hint="eastAsia" w:ascii="宋体" w:hAnsi="宋体" w:cs="宋体"/>
              </w:rPr>
              <w:t>（重点工作实际完成数</w:t>
            </w:r>
            <w:r>
              <w:rPr>
                <w:rFonts w:ascii="宋体" w:hAnsi="宋体" w:cs="宋体"/>
              </w:rPr>
              <w:t>/</w:t>
            </w:r>
            <w:r>
              <w:rPr>
                <w:rFonts w:hint="eastAsia" w:ascii="宋体" w:hAnsi="宋体" w:cs="宋体"/>
              </w:rPr>
              <w:t>交办或下达数）×</w:t>
            </w:r>
            <w:r>
              <w:rPr>
                <w:rFonts w:ascii="宋体" w:hAnsi="宋体" w:cs="宋体"/>
              </w:rPr>
              <w:t>100%</w:t>
            </w:r>
            <w:r>
              <w:rPr>
                <w:rFonts w:hint="eastAsia" w:ascii="宋体" w:hAnsi="宋体" w:cs="宋体"/>
              </w:rPr>
              <w:t>。实际得分</w:t>
            </w:r>
            <w:r>
              <w:rPr>
                <w:rFonts w:ascii="宋体" w:hAnsi="宋体" w:cs="宋体"/>
              </w:rPr>
              <w:t>=</w:t>
            </w:r>
            <w:r>
              <w:rPr>
                <w:rFonts w:hint="eastAsia" w:ascii="宋体" w:hAnsi="宋体" w:cs="宋体"/>
              </w:rPr>
              <w:t>办结率</w:t>
            </w:r>
            <w:r>
              <w:rPr>
                <w:rFonts w:ascii="宋体" w:hAnsi="宋体" w:cs="宋体"/>
              </w:rPr>
              <w:t>*10</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restart"/>
            <w:tcMar>
              <w:top w:w="10" w:type="dxa"/>
              <w:left w:w="10" w:type="dxa"/>
              <w:bottom w:w="0" w:type="dxa"/>
              <w:right w:w="10" w:type="dxa"/>
            </w:tcMar>
            <w:textDirection w:val="tbRlV"/>
            <w:vAlign w:val="center"/>
          </w:tcPr>
          <w:p>
            <w:pPr>
              <w:spacing w:line="220" w:lineRule="exact"/>
              <w:jc w:val="center"/>
              <w:rPr>
                <w:rFonts w:ascii="宋体" w:hAnsi="宋体"/>
              </w:rPr>
            </w:pPr>
            <w:r>
              <w:rPr>
                <w:rFonts w:hint="eastAsia" w:ascii="宋体" w:hAnsi="宋体" w:cs="宋体"/>
              </w:rPr>
              <w:t>效</w:t>
            </w:r>
            <w:r>
              <w:rPr>
                <w:rFonts w:ascii="宋体" w:hAnsi="宋体" w:cs="宋体"/>
              </w:rPr>
              <w:t xml:space="preserve">   </w:t>
            </w:r>
            <w:r>
              <w:rPr>
                <w:rFonts w:hint="eastAsia" w:ascii="宋体" w:hAnsi="宋体" w:cs="宋体"/>
              </w:rPr>
              <w:t>果（</w:t>
            </w:r>
            <w:r>
              <w:rPr>
                <w:rFonts w:ascii="宋体" w:hAnsi="宋体" w:cs="宋体"/>
              </w:rPr>
              <w:t>20</w:t>
            </w:r>
            <w:r>
              <w:rPr>
                <w:rFonts w:hint="eastAsia" w:ascii="宋体" w:hAnsi="宋体" w:cs="宋体"/>
              </w:rPr>
              <w:t>分）</w:t>
            </w:r>
          </w:p>
        </w:tc>
        <w:tc>
          <w:tcPr>
            <w:tcW w:w="570" w:type="dxa"/>
            <w:vMerge w:val="restart"/>
            <w:tcMar>
              <w:top w:w="10" w:type="dxa"/>
              <w:left w:w="10" w:type="dxa"/>
              <w:bottom w:w="0" w:type="dxa"/>
              <w:right w:w="10" w:type="dxa"/>
            </w:tcMar>
            <w:vAlign w:val="center"/>
          </w:tcPr>
          <w:p>
            <w:pPr>
              <w:spacing w:line="220" w:lineRule="exact"/>
              <w:jc w:val="center"/>
              <w:rPr>
                <w:rFonts w:ascii="宋体" w:hAnsi="宋体" w:cs="宋体"/>
              </w:rPr>
            </w:pPr>
            <w:r>
              <w:rPr>
                <w:rFonts w:hint="eastAsia" w:ascii="宋体" w:hAnsi="宋体" w:cs="宋体"/>
              </w:rPr>
              <w:t>履职</w:t>
            </w:r>
          </w:p>
          <w:p>
            <w:pPr>
              <w:spacing w:line="220" w:lineRule="exact"/>
              <w:jc w:val="center"/>
              <w:rPr>
                <w:rFonts w:ascii="宋体" w:hAnsi="宋体"/>
              </w:rPr>
            </w:pPr>
            <w:r>
              <w:rPr>
                <w:rFonts w:hint="eastAsia" w:ascii="宋体" w:hAnsi="宋体" w:cs="宋体"/>
              </w:rPr>
              <w:t>效益（</w:t>
            </w:r>
            <w:r>
              <w:rPr>
                <w:rFonts w:ascii="宋体" w:hAnsi="宋体" w:cs="宋体"/>
              </w:rPr>
              <w:t>20</w:t>
            </w:r>
            <w:r>
              <w:rPr>
                <w:rFonts w:hint="eastAsia" w:ascii="宋体" w:hAnsi="宋体" w:cs="宋体"/>
              </w:rPr>
              <w:t>分）</w:t>
            </w:r>
          </w:p>
        </w:tc>
        <w:tc>
          <w:tcPr>
            <w:tcW w:w="703" w:type="dxa"/>
            <w:tcMar>
              <w:top w:w="10" w:type="dxa"/>
              <w:left w:w="10" w:type="dxa"/>
              <w:bottom w:w="0" w:type="dxa"/>
              <w:right w:w="10" w:type="dxa"/>
            </w:tcMar>
            <w:vAlign w:val="center"/>
          </w:tcPr>
          <w:p>
            <w:pPr>
              <w:spacing w:line="220" w:lineRule="exact"/>
              <w:jc w:val="center"/>
              <w:rPr>
                <w:rFonts w:ascii="宋体" w:hAnsi="宋体"/>
              </w:rPr>
            </w:pPr>
            <w:r>
              <w:rPr>
                <w:rFonts w:hint="eastAsia" w:ascii="宋体" w:hAnsi="宋体" w:cs="宋体"/>
              </w:rPr>
              <w:t>经济效益（</w:t>
            </w:r>
            <w:r>
              <w:rPr>
                <w:rFonts w:ascii="宋体" w:hAnsi="宋体" w:cs="宋体"/>
              </w:rPr>
              <w:t>5</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20" w:lineRule="exact"/>
              <w:jc w:val="center"/>
              <w:rPr>
                <w:rFonts w:ascii="宋体" w:hAnsi="宋体"/>
              </w:rPr>
            </w:pPr>
            <w:r>
              <w:rPr>
                <w:rFonts w:ascii="宋体" w:hAnsi="宋体"/>
              </w:rPr>
              <w:t>5</w:t>
            </w:r>
          </w:p>
        </w:tc>
        <w:tc>
          <w:tcPr>
            <w:tcW w:w="2976" w:type="dxa"/>
            <w:tcMar>
              <w:top w:w="10" w:type="dxa"/>
              <w:left w:w="10" w:type="dxa"/>
              <w:bottom w:w="0" w:type="dxa"/>
              <w:right w:w="10" w:type="dxa"/>
            </w:tcMar>
            <w:vAlign w:val="center"/>
          </w:tcPr>
          <w:p>
            <w:pPr>
              <w:tabs>
                <w:tab w:val="left" w:pos="2604"/>
              </w:tabs>
              <w:spacing w:line="220" w:lineRule="exact"/>
              <w:rPr>
                <w:rFonts w:ascii="宋体" w:hAnsi="宋体"/>
              </w:rPr>
            </w:pPr>
            <w:r>
              <w:rPr>
                <w:rFonts w:hint="eastAsia" w:ascii="宋体" w:hAnsi="宋体" w:cs="宋体"/>
              </w:rPr>
              <w:t>部门履行职责对经济发展所带来的直接或间接影响。</w:t>
            </w:r>
          </w:p>
        </w:tc>
        <w:tc>
          <w:tcPr>
            <w:tcW w:w="4122" w:type="dxa"/>
            <w:vMerge w:val="restart"/>
            <w:tcMar>
              <w:top w:w="10" w:type="dxa"/>
              <w:left w:w="10" w:type="dxa"/>
              <w:bottom w:w="0" w:type="dxa"/>
              <w:right w:w="10" w:type="dxa"/>
            </w:tcMar>
            <w:vAlign w:val="center"/>
          </w:tcPr>
          <w:p>
            <w:pPr>
              <w:spacing w:line="220" w:lineRule="exact"/>
              <w:rPr>
                <w:rFonts w:ascii="宋体" w:hAnsi="宋体"/>
              </w:rPr>
            </w:pPr>
            <w:r>
              <w:rPr>
                <w:rFonts w:hint="eastAsia" w:ascii="宋体" w:hAnsi="宋体" w:cs="宋体"/>
                <w:kern w:val="0"/>
              </w:rPr>
              <w:t>按经济效益实现程度计算得分（</w:t>
            </w:r>
            <w:r>
              <w:rPr>
                <w:rFonts w:ascii="宋体" w:hAnsi="宋体" w:cs="宋体"/>
                <w:kern w:val="0"/>
              </w:rPr>
              <w:t>5</w:t>
            </w:r>
            <w:r>
              <w:rPr>
                <w:rFonts w:hint="eastAsia" w:ascii="宋体" w:hAnsi="宋体" w:cs="宋体"/>
                <w:kern w:val="0"/>
              </w:rPr>
              <w:t>分）；按社会效益实现程度计算得分（</w:t>
            </w:r>
            <w:r>
              <w:rPr>
                <w:rFonts w:ascii="宋体" w:hAnsi="宋体" w:cs="宋体"/>
                <w:kern w:val="0"/>
              </w:rPr>
              <w:t>5</w:t>
            </w:r>
            <w:r>
              <w:rPr>
                <w:rFonts w:hint="eastAsia" w:ascii="宋体" w:hAnsi="宋体" w:cs="宋体"/>
                <w:kern w:val="0"/>
              </w:rPr>
              <w:t>分）；按生态效益实现程度计算得分（</w:t>
            </w:r>
            <w:r>
              <w:rPr>
                <w:rFonts w:ascii="宋体" w:hAnsi="宋体" w:cs="宋体"/>
                <w:kern w:val="0"/>
              </w:rPr>
              <w:t>5</w:t>
            </w:r>
            <w:r>
              <w:rPr>
                <w:rFonts w:hint="eastAsia" w:ascii="宋体" w:hAnsi="宋体" w:cs="宋体"/>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20" w:lineRule="exact"/>
              <w:jc w:val="center"/>
              <w:rPr>
                <w:rFonts w:ascii="宋体" w:hAnsi="宋体"/>
              </w:rPr>
            </w:pPr>
          </w:p>
        </w:tc>
        <w:tc>
          <w:tcPr>
            <w:tcW w:w="570" w:type="dxa"/>
            <w:vMerge w:val="continue"/>
            <w:vAlign w:val="center"/>
          </w:tcPr>
          <w:p>
            <w:pPr>
              <w:spacing w:line="220" w:lineRule="exact"/>
              <w:jc w:val="center"/>
              <w:rPr>
                <w:rFonts w:ascii="宋体" w:hAnsi="宋体"/>
              </w:rPr>
            </w:pPr>
          </w:p>
        </w:tc>
        <w:tc>
          <w:tcPr>
            <w:tcW w:w="703" w:type="dxa"/>
            <w:tcMar>
              <w:top w:w="10" w:type="dxa"/>
              <w:left w:w="10" w:type="dxa"/>
              <w:bottom w:w="0" w:type="dxa"/>
              <w:right w:w="10" w:type="dxa"/>
            </w:tcMar>
            <w:vAlign w:val="center"/>
          </w:tcPr>
          <w:p>
            <w:pPr>
              <w:spacing w:line="220" w:lineRule="exact"/>
              <w:jc w:val="center"/>
              <w:rPr>
                <w:rFonts w:ascii="宋体" w:hAnsi="宋体"/>
              </w:rPr>
            </w:pPr>
            <w:r>
              <w:rPr>
                <w:rFonts w:hint="eastAsia" w:ascii="宋体" w:hAnsi="宋体" w:cs="宋体"/>
              </w:rPr>
              <w:t>社会效益（</w:t>
            </w:r>
            <w:r>
              <w:rPr>
                <w:rFonts w:ascii="宋体" w:hAnsi="宋体" w:cs="宋体"/>
              </w:rPr>
              <w:t>5</w:t>
            </w:r>
            <w:r>
              <w:rPr>
                <w:rFonts w:hint="eastAsia" w:ascii="宋体" w:hAnsi="宋体" w:cs="宋体"/>
              </w:rPr>
              <w:t>分）</w:t>
            </w:r>
          </w:p>
        </w:tc>
        <w:tc>
          <w:tcPr>
            <w:tcW w:w="446" w:type="dxa"/>
            <w:vAlign w:val="center"/>
          </w:tcPr>
          <w:p>
            <w:pPr>
              <w:tabs>
                <w:tab w:val="left" w:pos="2604"/>
              </w:tabs>
              <w:spacing w:line="220" w:lineRule="exact"/>
              <w:jc w:val="center"/>
              <w:rPr>
                <w:rFonts w:ascii="宋体" w:hAnsi="宋体"/>
              </w:rPr>
            </w:pPr>
            <w:r>
              <w:rPr>
                <w:rFonts w:ascii="宋体" w:hAnsi="宋体"/>
              </w:rPr>
              <w:t>5</w:t>
            </w:r>
          </w:p>
        </w:tc>
        <w:tc>
          <w:tcPr>
            <w:tcW w:w="2976" w:type="dxa"/>
            <w:tcMar>
              <w:top w:w="10" w:type="dxa"/>
              <w:left w:w="10" w:type="dxa"/>
              <w:bottom w:w="0" w:type="dxa"/>
              <w:right w:w="10" w:type="dxa"/>
            </w:tcMar>
            <w:vAlign w:val="center"/>
          </w:tcPr>
          <w:p>
            <w:pPr>
              <w:tabs>
                <w:tab w:val="left" w:pos="2604"/>
              </w:tabs>
              <w:spacing w:line="220" w:lineRule="exact"/>
              <w:rPr>
                <w:rFonts w:ascii="宋体" w:hAnsi="宋体"/>
              </w:rPr>
            </w:pPr>
            <w:r>
              <w:rPr>
                <w:rFonts w:hint="eastAsia" w:ascii="宋体" w:hAnsi="宋体" w:cs="宋体"/>
              </w:rPr>
              <w:t>部门履行职责对社会发展所带来的直接或间接影响。</w:t>
            </w:r>
          </w:p>
        </w:tc>
        <w:tc>
          <w:tcPr>
            <w:tcW w:w="4122" w:type="dxa"/>
            <w:vMerge w:val="continue"/>
            <w:vAlign w:val="center"/>
          </w:tcPr>
          <w:p>
            <w:pPr>
              <w:spacing w:line="2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20" w:lineRule="exact"/>
              <w:jc w:val="center"/>
              <w:rPr>
                <w:rFonts w:ascii="宋体" w:hAnsi="宋体"/>
              </w:rPr>
            </w:pPr>
          </w:p>
        </w:tc>
        <w:tc>
          <w:tcPr>
            <w:tcW w:w="570" w:type="dxa"/>
            <w:vMerge w:val="continue"/>
            <w:vAlign w:val="center"/>
          </w:tcPr>
          <w:p>
            <w:pPr>
              <w:spacing w:line="220" w:lineRule="exact"/>
              <w:jc w:val="center"/>
              <w:rPr>
                <w:rFonts w:ascii="宋体" w:hAnsi="宋体"/>
              </w:rPr>
            </w:pPr>
          </w:p>
        </w:tc>
        <w:tc>
          <w:tcPr>
            <w:tcW w:w="703" w:type="dxa"/>
            <w:tcMar>
              <w:top w:w="10" w:type="dxa"/>
              <w:left w:w="10" w:type="dxa"/>
              <w:bottom w:w="0" w:type="dxa"/>
              <w:right w:w="10" w:type="dxa"/>
            </w:tcMar>
            <w:vAlign w:val="center"/>
          </w:tcPr>
          <w:p>
            <w:pPr>
              <w:spacing w:line="220" w:lineRule="exact"/>
              <w:jc w:val="center"/>
              <w:rPr>
                <w:rFonts w:ascii="宋体" w:hAnsi="宋体"/>
              </w:rPr>
            </w:pPr>
            <w:r>
              <w:rPr>
                <w:rFonts w:hint="eastAsia" w:ascii="宋体" w:hAnsi="宋体" w:cs="宋体"/>
              </w:rPr>
              <w:t>生态效益（</w:t>
            </w:r>
            <w:r>
              <w:rPr>
                <w:rFonts w:ascii="宋体" w:hAnsi="宋体" w:cs="宋体"/>
              </w:rPr>
              <w:t>5</w:t>
            </w:r>
            <w:r>
              <w:rPr>
                <w:rFonts w:hint="eastAsia" w:ascii="宋体" w:hAnsi="宋体" w:cs="宋体"/>
              </w:rPr>
              <w:t>分）</w:t>
            </w:r>
          </w:p>
        </w:tc>
        <w:tc>
          <w:tcPr>
            <w:tcW w:w="446" w:type="dxa"/>
            <w:vAlign w:val="center"/>
          </w:tcPr>
          <w:p>
            <w:pPr>
              <w:tabs>
                <w:tab w:val="left" w:pos="2604"/>
              </w:tabs>
              <w:spacing w:line="220" w:lineRule="exact"/>
              <w:jc w:val="center"/>
              <w:rPr>
                <w:rFonts w:ascii="宋体" w:hAnsi="宋体"/>
              </w:rPr>
            </w:pPr>
            <w:r>
              <w:rPr>
                <w:rFonts w:ascii="宋体" w:hAnsi="宋体"/>
              </w:rPr>
              <w:t>5</w:t>
            </w:r>
          </w:p>
        </w:tc>
        <w:tc>
          <w:tcPr>
            <w:tcW w:w="2976" w:type="dxa"/>
            <w:tcMar>
              <w:top w:w="10" w:type="dxa"/>
              <w:left w:w="10" w:type="dxa"/>
              <w:bottom w:w="0" w:type="dxa"/>
              <w:right w:w="10" w:type="dxa"/>
            </w:tcMar>
            <w:vAlign w:val="center"/>
          </w:tcPr>
          <w:p>
            <w:pPr>
              <w:tabs>
                <w:tab w:val="left" w:pos="2604"/>
              </w:tabs>
              <w:spacing w:line="220" w:lineRule="exact"/>
              <w:rPr>
                <w:rFonts w:ascii="宋体" w:hAnsi="宋体"/>
              </w:rPr>
            </w:pPr>
            <w:r>
              <w:rPr>
                <w:rFonts w:hint="eastAsia" w:ascii="宋体" w:hAnsi="宋体" w:cs="宋体"/>
              </w:rPr>
              <w:t>部门履行职责对生态环境所带来的直接或间接影响。</w:t>
            </w:r>
          </w:p>
        </w:tc>
        <w:tc>
          <w:tcPr>
            <w:tcW w:w="4122" w:type="dxa"/>
            <w:vMerge w:val="continue"/>
            <w:vAlign w:val="center"/>
          </w:tcPr>
          <w:p>
            <w:pPr>
              <w:spacing w:line="2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20" w:lineRule="exact"/>
              <w:jc w:val="center"/>
              <w:rPr>
                <w:rFonts w:ascii="宋体" w:hAnsi="宋体"/>
              </w:rPr>
            </w:pPr>
          </w:p>
        </w:tc>
        <w:tc>
          <w:tcPr>
            <w:tcW w:w="570" w:type="dxa"/>
            <w:vMerge w:val="continue"/>
            <w:vAlign w:val="center"/>
          </w:tcPr>
          <w:p>
            <w:pPr>
              <w:spacing w:line="220" w:lineRule="exact"/>
              <w:jc w:val="center"/>
              <w:rPr>
                <w:rFonts w:ascii="宋体" w:hAnsi="宋体"/>
              </w:rPr>
            </w:pPr>
          </w:p>
        </w:tc>
        <w:tc>
          <w:tcPr>
            <w:tcW w:w="703" w:type="dxa"/>
            <w:tcMar>
              <w:top w:w="10" w:type="dxa"/>
              <w:left w:w="10" w:type="dxa"/>
              <w:bottom w:w="0" w:type="dxa"/>
              <w:right w:w="10" w:type="dxa"/>
            </w:tcMar>
            <w:vAlign w:val="center"/>
          </w:tcPr>
          <w:p>
            <w:pPr>
              <w:spacing w:line="220" w:lineRule="exact"/>
              <w:jc w:val="center"/>
              <w:rPr>
                <w:rFonts w:ascii="宋体" w:hAnsi="宋体"/>
              </w:rPr>
            </w:pPr>
            <w:r>
              <w:rPr>
                <w:rFonts w:hint="eastAsia" w:ascii="宋体" w:hAnsi="宋体" w:cs="宋体"/>
              </w:rPr>
              <w:t>社会公众</w:t>
            </w:r>
          </w:p>
          <w:p>
            <w:pPr>
              <w:spacing w:line="220" w:lineRule="exact"/>
              <w:jc w:val="center"/>
              <w:rPr>
                <w:rFonts w:ascii="宋体" w:hAnsi="宋体"/>
              </w:rPr>
            </w:pPr>
            <w:r>
              <w:rPr>
                <w:rFonts w:hint="eastAsia" w:ascii="宋体" w:hAnsi="宋体" w:cs="宋体"/>
              </w:rPr>
              <w:t>或服务对</w:t>
            </w:r>
          </w:p>
          <w:p>
            <w:pPr>
              <w:spacing w:line="220" w:lineRule="exact"/>
              <w:jc w:val="center"/>
              <w:rPr>
                <w:rFonts w:ascii="宋体" w:hAnsi="宋体"/>
              </w:rPr>
            </w:pPr>
            <w:r>
              <w:rPr>
                <w:rFonts w:hint="eastAsia" w:ascii="宋体" w:hAnsi="宋体" w:cs="宋体"/>
              </w:rPr>
              <w:t>象满意度（</w:t>
            </w:r>
            <w:r>
              <w:rPr>
                <w:rFonts w:ascii="宋体" w:hAnsi="宋体" w:cs="宋体"/>
              </w:rPr>
              <w:t>5</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20" w:lineRule="exact"/>
              <w:jc w:val="center"/>
              <w:rPr>
                <w:rFonts w:ascii="宋体" w:hAnsi="宋体"/>
              </w:rPr>
            </w:pPr>
            <w:r>
              <w:rPr>
                <w:rFonts w:ascii="宋体" w:hAnsi="宋体"/>
              </w:rPr>
              <w:t>5</w:t>
            </w:r>
          </w:p>
        </w:tc>
        <w:tc>
          <w:tcPr>
            <w:tcW w:w="2976" w:type="dxa"/>
            <w:tcMar>
              <w:top w:w="10" w:type="dxa"/>
              <w:left w:w="10" w:type="dxa"/>
              <w:bottom w:w="0" w:type="dxa"/>
              <w:right w:w="10" w:type="dxa"/>
            </w:tcMar>
            <w:vAlign w:val="center"/>
          </w:tcPr>
          <w:p>
            <w:pPr>
              <w:tabs>
                <w:tab w:val="left" w:pos="2604"/>
              </w:tabs>
              <w:spacing w:line="220" w:lineRule="exact"/>
              <w:rPr>
                <w:rFonts w:ascii="宋体" w:hAnsi="宋体"/>
              </w:rPr>
            </w:pPr>
            <w:r>
              <w:rPr>
                <w:rFonts w:hint="eastAsia" w:ascii="宋体" w:hAnsi="宋体" w:cs="宋体"/>
              </w:rPr>
              <w:t>社会公众或部门的服务对象对部门履职效果的满意程度。</w:t>
            </w:r>
          </w:p>
        </w:tc>
        <w:tc>
          <w:tcPr>
            <w:tcW w:w="4122" w:type="dxa"/>
            <w:tcMar>
              <w:top w:w="10" w:type="dxa"/>
              <w:left w:w="10" w:type="dxa"/>
              <w:bottom w:w="0" w:type="dxa"/>
              <w:right w:w="10" w:type="dxa"/>
            </w:tcMar>
            <w:vAlign w:val="center"/>
          </w:tcPr>
          <w:p>
            <w:pPr>
              <w:spacing w:line="220" w:lineRule="exact"/>
              <w:rPr>
                <w:rFonts w:ascii="宋体" w:hAnsi="宋体"/>
              </w:rPr>
            </w:pPr>
            <w:r>
              <w:rPr>
                <w:rFonts w:hint="eastAsia" w:ascii="宋体" w:hAnsi="宋体" w:cs="宋体"/>
                <w:kern w:val="0"/>
              </w:rPr>
              <w:t>按收集到的服务对象的满意率计算得分（</w:t>
            </w:r>
            <w:r>
              <w:rPr>
                <w:rFonts w:ascii="宋体" w:hAnsi="宋体" w:cs="宋体"/>
                <w:kern w:val="0"/>
              </w:rPr>
              <w:t>5</w:t>
            </w:r>
            <w:r>
              <w:rPr>
                <w:rFonts w:hint="eastAsia" w:ascii="宋体" w:hAnsi="宋体" w:cs="宋体"/>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Align w:val="center"/>
          </w:tcPr>
          <w:p>
            <w:pPr>
              <w:spacing w:line="220" w:lineRule="exact"/>
              <w:rPr>
                <w:rFonts w:ascii="宋体" w:hAnsi="宋体"/>
              </w:rPr>
            </w:pPr>
            <w:r>
              <w:rPr>
                <w:rFonts w:hint="eastAsia" w:ascii="宋体" w:hAnsi="宋体"/>
              </w:rPr>
              <w:t>总计</w:t>
            </w:r>
          </w:p>
        </w:tc>
        <w:tc>
          <w:tcPr>
            <w:tcW w:w="570" w:type="dxa"/>
            <w:vAlign w:val="center"/>
          </w:tcPr>
          <w:p>
            <w:pPr>
              <w:spacing w:line="220" w:lineRule="exact"/>
              <w:jc w:val="center"/>
              <w:rPr>
                <w:rFonts w:ascii="宋体" w:hAnsi="宋体"/>
              </w:rPr>
            </w:pPr>
          </w:p>
        </w:tc>
        <w:tc>
          <w:tcPr>
            <w:tcW w:w="703" w:type="dxa"/>
            <w:tcMar>
              <w:top w:w="10" w:type="dxa"/>
              <w:left w:w="10" w:type="dxa"/>
              <w:bottom w:w="0" w:type="dxa"/>
              <w:right w:w="10" w:type="dxa"/>
            </w:tcMar>
            <w:vAlign w:val="center"/>
          </w:tcPr>
          <w:p>
            <w:pPr>
              <w:spacing w:line="220" w:lineRule="exact"/>
              <w:jc w:val="center"/>
              <w:rPr>
                <w:rFonts w:ascii="宋体" w:hAnsi="宋体" w:cs="宋体"/>
              </w:rPr>
            </w:pPr>
          </w:p>
        </w:tc>
        <w:tc>
          <w:tcPr>
            <w:tcW w:w="446" w:type="dxa"/>
            <w:tcMar>
              <w:top w:w="10" w:type="dxa"/>
              <w:left w:w="10" w:type="dxa"/>
              <w:bottom w:w="0" w:type="dxa"/>
              <w:right w:w="10" w:type="dxa"/>
            </w:tcMar>
            <w:vAlign w:val="center"/>
          </w:tcPr>
          <w:p>
            <w:pPr>
              <w:tabs>
                <w:tab w:val="left" w:pos="2604"/>
              </w:tabs>
              <w:spacing w:line="220" w:lineRule="exact"/>
              <w:jc w:val="center"/>
              <w:rPr>
                <w:rFonts w:ascii="宋体" w:hAnsi="宋体"/>
              </w:rPr>
            </w:pPr>
            <w:r>
              <w:rPr>
                <w:rFonts w:hint="eastAsia" w:ascii="宋体" w:hAnsi="宋体"/>
              </w:rPr>
              <w:t>95分</w:t>
            </w:r>
          </w:p>
        </w:tc>
        <w:tc>
          <w:tcPr>
            <w:tcW w:w="2976" w:type="dxa"/>
            <w:tcMar>
              <w:top w:w="10" w:type="dxa"/>
              <w:left w:w="10" w:type="dxa"/>
              <w:bottom w:w="0" w:type="dxa"/>
              <w:right w:w="10" w:type="dxa"/>
            </w:tcMar>
            <w:vAlign w:val="center"/>
          </w:tcPr>
          <w:p>
            <w:pPr>
              <w:tabs>
                <w:tab w:val="left" w:pos="2604"/>
              </w:tabs>
              <w:spacing w:line="220" w:lineRule="exact"/>
              <w:rPr>
                <w:rFonts w:ascii="宋体" w:hAnsi="宋体" w:cs="宋体"/>
              </w:rPr>
            </w:pPr>
          </w:p>
        </w:tc>
        <w:tc>
          <w:tcPr>
            <w:tcW w:w="4122" w:type="dxa"/>
            <w:tcMar>
              <w:top w:w="10" w:type="dxa"/>
              <w:left w:w="10" w:type="dxa"/>
              <w:bottom w:w="0" w:type="dxa"/>
              <w:right w:w="10" w:type="dxa"/>
            </w:tcMar>
            <w:vAlign w:val="center"/>
          </w:tcPr>
          <w:p>
            <w:pPr>
              <w:spacing w:line="220" w:lineRule="exact"/>
              <w:rPr>
                <w:rFonts w:ascii="宋体" w:hAnsi="宋体" w:cs="宋体"/>
                <w:kern w:val="0"/>
              </w:rPr>
            </w:pPr>
          </w:p>
        </w:tc>
      </w:tr>
    </w:tbl>
    <w:p>
      <w:pPr>
        <w:spacing w:line="480" w:lineRule="exact"/>
        <w:jc w:val="left"/>
        <w:rPr>
          <w:rFonts w:eastAsia="Times New Roman"/>
          <w:b/>
          <w:sz w:val="32"/>
          <w:szCs w:val="24"/>
          <w:highlight w:val="white"/>
          <w:lang w:val="zh-CN"/>
        </w:rPr>
      </w:pPr>
    </w:p>
    <w:p>
      <w:pPr>
        <w:spacing w:line="480" w:lineRule="exact"/>
        <w:jc w:val="left"/>
        <w:rPr>
          <w:rFonts w:ascii="宋体" w:hAnsi="宋体"/>
          <w:kern w:val="0"/>
          <w:sz w:val="18"/>
          <w:szCs w:val="24"/>
          <w:highlight w:val="white"/>
          <w:lang w:val="zh-CN"/>
        </w:rPr>
      </w:pPr>
      <w:r>
        <w:rPr>
          <w:rFonts w:ascii="宋体" w:hAnsi="宋体"/>
          <w:sz w:val="32"/>
          <w:szCs w:val="24"/>
          <w:highlight w:val="white"/>
          <w:lang w:val="zh-CN"/>
        </w:rPr>
        <w:t xml:space="preserve">    </w:t>
      </w:r>
    </w:p>
    <w:sectPr>
      <w:footerReference r:id="rId3" w:type="default"/>
      <w:pgSz w:w="12240" w:h="15840"/>
      <w:pgMar w:top="2098" w:right="1474" w:bottom="1985" w:left="1588" w:header="720" w:footer="170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8D79B4-ADA2-4127-BCB3-1DCB3D4DF0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modern"/>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817CB914-0505-4AB1-A9C9-EC622B8E145A}"/>
  </w:font>
  <w:font w:name="方正小标宋简体">
    <w:panose1 w:val="02000000000000000000"/>
    <w:charset w:val="86"/>
    <w:family w:val="auto"/>
    <w:pitch w:val="default"/>
    <w:sig w:usb0="00000001" w:usb1="080E0000" w:usb2="00000000" w:usb3="00000000" w:csb0="00040000" w:csb1="00000000"/>
    <w:embedRegular r:id="rId3" w:fontKey="{45EE4451-2DCB-4724-B8FC-6D1C492C4D4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3518864"/>
      <w:docPartObj>
        <w:docPartGallery w:val="AutoText"/>
      </w:docPartObj>
    </w:sdtPr>
    <w:sdtContent>
      <w:p>
        <w:pPr>
          <w:pStyle w:val="2"/>
          <w:jc w:val="center"/>
        </w:pPr>
        <w:r>
          <w:fldChar w:fldCharType="begin"/>
        </w:r>
        <w:r>
          <w:instrText xml:space="preserve">PAGE   \* MERGEFORMAT</w:instrText>
        </w:r>
        <w:r>
          <w:fldChar w:fldCharType="separate"/>
        </w:r>
        <w:r>
          <w:rPr>
            <w:lang w:val="zh-CN"/>
          </w:rPr>
          <w:t>31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720"/>
  <w:drawingGridHorizontalSpacing w:val="120"/>
  <w:drawingGridVerticalSpacing w:val="120"/>
  <w:doNotUseMarginsForDrawingGridOrigin w:val="1"/>
  <w:drawingGridHorizontalOrigin w:val="1800"/>
  <w:drawingGridVerticalOrigin w:val="1440"/>
  <w:doNotShadeFormData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4F4A69"/>
    <w:rsid w:val="00114AAD"/>
    <w:rsid w:val="00152B74"/>
    <w:rsid w:val="00250752"/>
    <w:rsid w:val="004320D9"/>
    <w:rsid w:val="004B4756"/>
    <w:rsid w:val="004F4A69"/>
    <w:rsid w:val="00530B0B"/>
    <w:rsid w:val="00647EF8"/>
    <w:rsid w:val="00702F8B"/>
    <w:rsid w:val="007A35BF"/>
    <w:rsid w:val="007D0F79"/>
    <w:rsid w:val="0080139D"/>
    <w:rsid w:val="008A4F9A"/>
    <w:rsid w:val="00BA540F"/>
    <w:rsid w:val="00DE4651"/>
    <w:rsid w:val="00E60CBD"/>
    <w:rsid w:val="00E904CC"/>
    <w:rsid w:val="0707065D"/>
    <w:rsid w:val="083C3335"/>
    <w:rsid w:val="113E7E3D"/>
    <w:rsid w:val="170A2D54"/>
    <w:rsid w:val="25661C11"/>
    <w:rsid w:val="3EDF491F"/>
    <w:rsid w:val="487B1A9A"/>
    <w:rsid w:val="6CB943D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name="heading 2"/>
    <w:lsdException w:qFormat="1" w:uiPriority="99"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99"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nhideWhenUsed="0" w:uiPriority="99" w:semiHidden="0" w:name="Balloon Text"/>
    <w:lsdException w:qFormat="1" w:uiPriority="99"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9"/>
    <w:qFormat/>
    <w:uiPriority w:val="9"/>
    <w:pPr>
      <w:keepNext/>
      <w:keepLines/>
      <w:spacing w:before="340" w:after="330" w:line="576" w:lineRule="auto"/>
      <w:outlineLvl w:val="0"/>
    </w:pPr>
    <w:rPr>
      <w:b/>
      <w:kern w:val="44"/>
      <w:sz w:val="44"/>
      <w:szCs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0"/>
    <w:qFormat/>
    <w:uiPriority w:val="99"/>
    <w:pPr>
      <w:tabs>
        <w:tab w:val="center" w:pos="4153"/>
        <w:tab w:val="right" w:pos="8306"/>
      </w:tabs>
      <w:snapToGrid w:val="0"/>
      <w:jc w:val="left"/>
    </w:pPr>
    <w:rPr>
      <w:sz w:val="18"/>
      <w:szCs w:val="24"/>
    </w:rPr>
  </w:style>
  <w:style w:type="paragraph" w:styleId="3">
    <w:name w:val="index 5"/>
    <w:basedOn w:val="1"/>
    <w:next w:val="1"/>
    <w:qFormat/>
    <w:uiPriority w:val="99"/>
    <w:pPr>
      <w:ind w:left="1680"/>
    </w:pPr>
    <w:rPr>
      <w:szCs w:val="24"/>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szCs w:val="24"/>
    </w:rPr>
  </w:style>
  <w:style w:type="character" w:customStyle="1" w:styleId="9">
    <w:name w:val="标题 1 Char"/>
    <w:basedOn w:val="8"/>
    <w:link w:val="4"/>
    <w:qFormat/>
    <w:uiPriority w:val="9"/>
    <w:rPr>
      <w:rFonts w:cs="Times New Roman"/>
      <w:b/>
      <w:bCs/>
      <w:kern w:val="44"/>
      <w:sz w:val="44"/>
      <w:szCs w:val="44"/>
    </w:rPr>
  </w:style>
  <w:style w:type="character" w:customStyle="1" w:styleId="10">
    <w:name w:val="页脚 Char"/>
    <w:basedOn w:val="8"/>
    <w:link w:val="2"/>
    <w:qFormat/>
    <w:uiPriority w:val="99"/>
    <w:rPr>
      <w:rFonts w:cs="Times New Roman"/>
      <w:sz w:val="18"/>
      <w:szCs w:val="18"/>
    </w:rPr>
  </w:style>
  <w:style w:type="paragraph" w:customStyle="1" w:styleId="11">
    <w:name w:val="列出段落2"/>
    <w:basedOn w:val="1"/>
    <w:qFormat/>
    <w:uiPriority w:val="99"/>
    <w:pPr>
      <w:ind w:firstLine="420" w:firstLineChars="200"/>
    </w:pPr>
    <w:rPr>
      <w:rFonts w:ascii="等线" w:hAnsi="等线" w:eastAsia="等线" w:cs="等线"/>
    </w:rPr>
  </w:style>
  <w:style w:type="paragraph" w:customStyle="1" w:styleId="12">
    <w:name w:val="p19"/>
    <w:basedOn w:val="1"/>
    <w:qFormat/>
    <w:uiPriority w:val="0"/>
    <w:rPr>
      <w:kern w:val="0"/>
      <w:szCs w:val="24"/>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14">
    <w:name w:val="页眉 Char"/>
    <w:basedOn w:val="8"/>
    <w:link w:val="5"/>
    <w:uiPriority w:val="99"/>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2601</Words>
  <Characters>14829</Characters>
  <Lines>123</Lines>
  <Paragraphs>34</Paragraphs>
  <TotalTime>26</TotalTime>
  <ScaleCrop>false</ScaleCrop>
  <LinksUpToDate>false</LinksUpToDate>
  <CharactersWithSpaces>17396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2021-10-26T06:51:00Z</dcterms:created>
  <dc:creator>Administrator</dc:creator>
  <cp:lastModifiedBy>丫丫</cp:lastModifiedBy>
  <cp:lastPrinted>2022-04-13T03:40:00Z</cp:lastPrinted>
  <dcterms:modified xsi:type="dcterms:W3CDTF">2024-09-11T03:34:43Z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C412257DBC9043D99F4FFF0A490871F1</vt:lpwstr>
  </property>
</Properties>
</file>