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2</w:t>
      </w:r>
      <w:r>
        <w:rPr>
          <w:rFonts w:hint="eastAsia" w:ascii="方正小标宋_GBK" w:hAnsi="方正小标宋_GBK" w:eastAsia="方正小标宋_GBK" w:cs="方正小标宋_GBK"/>
          <w:sz w:val="84"/>
          <w:szCs w:val="84"/>
        </w:rPr>
        <w:t>年度</w:t>
      </w: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赫山区司法局</w:t>
      </w:r>
      <w:r>
        <w:rPr>
          <w:rFonts w:hint="eastAsia" w:ascii="方正小标宋_GBK" w:hAnsi="方正小标宋_GBK" w:eastAsia="方正小标宋_GBK" w:cs="方正小标宋_GBK"/>
          <w:sz w:val="84"/>
          <w:szCs w:val="84"/>
        </w:rPr>
        <w:t>部门决算</w:t>
      </w:r>
    </w:p>
    <w:p>
      <w:pPr>
        <w:pStyle w:val="10"/>
        <w:jc w:val="center"/>
        <w:rPr>
          <w:rFonts w:hint="eastAsia" w:ascii="方正小标宋_GBK" w:hAnsi="方正小标宋_GBK" w:eastAsia="方正小标宋_GBK" w:cs="方正小标宋_GBK"/>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both"/>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XX</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0"/>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赫山区司法局</w:t>
      </w:r>
      <w:r>
        <w:rPr>
          <w:rFonts w:hint="eastAsia" w:ascii="方正小标宋_GBK" w:hAnsi="方正小标宋_GBK" w:eastAsia="方正小标宋_GBK" w:cs="方正小标宋_GBK"/>
          <w:sz w:val="84"/>
          <w:szCs w:val="84"/>
        </w:rPr>
        <w:t>概况</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left="720" w:leftChars="0" w:firstLine="0" w:firstLineChars="0"/>
        <w:jc w:val="left"/>
        <w:textAlignment w:val="auto"/>
        <w:rPr>
          <w:rFonts w:hint="eastAsia" w:ascii="黑体" w:hAnsi="黑体" w:eastAsia="黑体" w:cs="黑体"/>
          <w:sz w:val="30"/>
          <w:szCs w:val="30"/>
        </w:rPr>
      </w:pPr>
      <w:r>
        <w:rPr>
          <w:rFonts w:hint="eastAsia" w:ascii="黑体" w:hAnsi="黑体" w:eastAsia="黑体" w:cs="黑体"/>
          <w:kern w:val="2"/>
          <w:sz w:val="30"/>
          <w:szCs w:val="30"/>
          <w:lang w:val="en-US" w:eastAsia="zh-CN" w:bidi="ar-SA"/>
        </w:rPr>
        <w:t>一、</w:t>
      </w:r>
      <w:r>
        <w:rPr>
          <w:rFonts w:hint="eastAsia" w:ascii="黑体" w:hAnsi="黑体" w:eastAsia="黑体" w:cs="黑体"/>
          <w:sz w:val="30"/>
          <w:szCs w:val="30"/>
        </w:rPr>
        <w:t>部门职责</w:t>
      </w:r>
    </w:p>
    <w:p>
      <w:pPr>
        <w:keepNext w:val="0"/>
        <w:keepLines w:val="0"/>
        <w:pageBreakBefore w:val="0"/>
        <w:widowControl/>
        <w:numPr>
          <w:ilvl w:val="0"/>
          <w:numId w:val="0"/>
        </w:numPr>
        <w:kinsoku/>
        <w:wordWrap/>
        <w:overflowPunct/>
        <w:topLinePunct w:val="0"/>
        <w:bidi w:val="0"/>
        <w:snapToGrid/>
        <w:spacing w:line="600" w:lineRule="exact"/>
        <w:ind w:firstLine="600" w:firstLineChars="200"/>
        <w:textAlignment w:val="auto"/>
        <w:rPr>
          <w:rFonts w:hint="eastAsia" w:ascii="仿宋" w:hAnsi="仿宋" w:eastAsia="仿宋" w:cs="仿宋"/>
          <w:bCs/>
          <w:kern w:val="0"/>
          <w:sz w:val="30"/>
          <w:szCs w:val="30"/>
        </w:rPr>
      </w:pPr>
      <w:r>
        <w:rPr>
          <w:rFonts w:hint="eastAsia" w:ascii="仿宋" w:hAnsi="仿宋" w:eastAsia="仿宋" w:cs="仿宋"/>
          <w:bCs/>
          <w:kern w:val="0"/>
          <w:sz w:val="30"/>
          <w:szCs w:val="30"/>
        </w:rPr>
        <w:t>（</w:t>
      </w:r>
      <w:r>
        <w:rPr>
          <w:rFonts w:hint="eastAsia" w:ascii="仿宋" w:hAnsi="仿宋" w:eastAsia="仿宋" w:cs="仿宋"/>
          <w:bCs/>
          <w:kern w:val="0"/>
          <w:sz w:val="30"/>
          <w:szCs w:val="30"/>
          <w:lang w:val="en-US" w:eastAsia="zh-CN"/>
        </w:rPr>
        <w:t>一</w:t>
      </w:r>
      <w:r>
        <w:rPr>
          <w:rFonts w:hint="eastAsia" w:ascii="仿宋" w:hAnsi="仿宋" w:eastAsia="仿宋" w:cs="仿宋"/>
          <w:bCs/>
          <w:kern w:val="0"/>
          <w:sz w:val="30"/>
          <w:szCs w:val="30"/>
        </w:rPr>
        <w:t>）承担全面依法治区重大问题的政策研究，协调有关方面提出全面依法治区的中长期规划建议，负责有关重大决策部署督查工作，负责依法治区和法治政府建设考核工作。</w:t>
      </w:r>
      <w:r>
        <w:rPr>
          <w:rFonts w:hint="eastAsia" w:ascii="仿宋" w:hAnsi="仿宋" w:eastAsia="仿宋" w:cs="仿宋"/>
          <w:bCs/>
          <w:kern w:val="0"/>
          <w:sz w:val="30"/>
          <w:szCs w:val="30"/>
        </w:rPr>
        <w:cr/>
      </w:r>
      <w:r>
        <w:rPr>
          <w:rFonts w:hint="eastAsia" w:ascii="仿宋" w:hAnsi="仿宋" w:eastAsia="仿宋" w:cs="仿宋"/>
          <w:bCs/>
          <w:kern w:val="0"/>
          <w:sz w:val="30"/>
          <w:szCs w:val="30"/>
        </w:rPr>
        <w:t xml:space="preserve">    （</w:t>
      </w:r>
      <w:r>
        <w:rPr>
          <w:rFonts w:hint="eastAsia" w:ascii="仿宋" w:hAnsi="仿宋" w:eastAsia="仿宋" w:cs="仿宋"/>
          <w:bCs/>
          <w:kern w:val="0"/>
          <w:sz w:val="30"/>
          <w:szCs w:val="30"/>
          <w:lang w:val="en-US" w:eastAsia="zh-CN"/>
        </w:rPr>
        <w:t>二</w:t>
      </w:r>
      <w:r>
        <w:rPr>
          <w:rFonts w:hint="eastAsia" w:ascii="仿宋" w:hAnsi="仿宋" w:eastAsia="仿宋" w:cs="仿宋"/>
          <w:bCs/>
          <w:kern w:val="0"/>
          <w:sz w:val="30"/>
          <w:szCs w:val="30"/>
        </w:rPr>
        <w:t>）贯彻执行国家和省、市、区有关司法行政工作的方针、政策和法律、法规、规章，拟订全区司法行政工作中长期发展规划和年度工作计划并组织实施</w:t>
      </w:r>
      <w:r>
        <w:rPr>
          <w:rFonts w:hint="eastAsia" w:ascii="仿宋" w:hAnsi="仿宋" w:eastAsia="仿宋" w:cs="仿宋"/>
          <w:bCs/>
          <w:kern w:val="0"/>
          <w:sz w:val="30"/>
          <w:szCs w:val="30"/>
          <w:lang w:eastAsia="zh-CN"/>
        </w:rPr>
        <w:t>。</w:t>
      </w:r>
      <w:r>
        <w:rPr>
          <w:rFonts w:hint="eastAsia" w:ascii="仿宋" w:hAnsi="仿宋" w:eastAsia="仿宋" w:cs="仿宋"/>
          <w:bCs/>
          <w:kern w:val="0"/>
          <w:sz w:val="30"/>
          <w:szCs w:val="30"/>
        </w:rPr>
        <w:cr/>
      </w:r>
      <w:r>
        <w:rPr>
          <w:rFonts w:hint="eastAsia" w:ascii="仿宋" w:hAnsi="仿宋" w:eastAsia="仿宋" w:cs="仿宋"/>
          <w:bCs/>
          <w:kern w:val="0"/>
          <w:sz w:val="30"/>
          <w:szCs w:val="30"/>
        </w:rPr>
        <w:t xml:space="preserve">    （</w:t>
      </w:r>
      <w:r>
        <w:rPr>
          <w:rFonts w:hint="eastAsia" w:ascii="仿宋" w:hAnsi="仿宋" w:eastAsia="仿宋" w:cs="仿宋"/>
          <w:bCs/>
          <w:kern w:val="0"/>
          <w:sz w:val="30"/>
          <w:szCs w:val="30"/>
          <w:lang w:val="en-US" w:eastAsia="zh-CN"/>
        </w:rPr>
        <w:t>三</w:t>
      </w:r>
      <w:r>
        <w:rPr>
          <w:rFonts w:hint="eastAsia" w:ascii="仿宋" w:hAnsi="仿宋" w:eastAsia="仿宋" w:cs="仿宋"/>
          <w:bCs/>
          <w:kern w:val="0"/>
          <w:sz w:val="30"/>
          <w:szCs w:val="30"/>
        </w:rPr>
        <w:t>）受区人大和区人民政府委托，参与有关决议、规范性文件的起草工作。会同有关部门监督、检查执行法律、法规情况。指导管理面向社会服务的司法鉴定工作。指导司法行政系统的外事工作。</w:t>
      </w:r>
      <w:r>
        <w:rPr>
          <w:rFonts w:hint="eastAsia" w:ascii="仿宋" w:hAnsi="仿宋" w:eastAsia="仿宋" w:cs="仿宋"/>
          <w:bCs/>
          <w:kern w:val="0"/>
          <w:sz w:val="30"/>
          <w:szCs w:val="30"/>
        </w:rPr>
        <w:cr/>
      </w:r>
      <w:r>
        <w:rPr>
          <w:rFonts w:hint="eastAsia" w:ascii="仿宋" w:hAnsi="仿宋" w:eastAsia="仿宋" w:cs="仿宋"/>
          <w:bCs/>
          <w:kern w:val="0"/>
          <w:sz w:val="30"/>
          <w:szCs w:val="30"/>
        </w:rPr>
        <w:t xml:space="preserve">    （</w:t>
      </w:r>
      <w:r>
        <w:rPr>
          <w:rFonts w:hint="eastAsia" w:ascii="仿宋" w:hAnsi="仿宋" w:eastAsia="仿宋" w:cs="仿宋"/>
          <w:bCs/>
          <w:kern w:val="0"/>
          <w:sz w:val="30"/>
          <w:szCs w:val="30"/>
          <w:lang w:val="en-US" w:eastAsia="zh-CN"/>
        </w:rPr>
        <w:t>四</w:t>
      </w:r>
      <w:r>
        <w:rPr>
          <w:rFonts w:hint="eastAsia" w:ascii="仿宋" w:hAnsi="仿宋" w:eastAsia="仿宋" w:cs="仿宋"/>
          <w:bCs/>
          <w:kern w:val="0"/>
          <w:sz w:val="30"/>
          <w:szCs w:val="30"/>
        </w:rPr>
        <w:t>）统筹推进全区法治政府建设，推进全区依法行政工作。调查研究依法行政和政府法制建设中出现的新情况、新问题，指导、监督区人民政府及各部门依法行政，提出推进依法行政的具体措施和工作建议。</w:t>
      </w:r>
      <w:r>
        <w:rPr>
          <w:rFonts w:hint="eastAsia" w:ascii="仿宋" w:hAnsi="仿宋" w:eastAsia="仿宋" w:cs="仿宋"/>
          <w:bCs/>
          <w:kern w:val="0"/>
          <w:sz w:val="30"/>
          <w:szCs w:val="30"/>
        </w:rPr>
        <w:cr/>
      </w:r>
      <w:r>
        <w:rPr>
          <w:rFonts w:hint="eastAsia" w:ascii="仿宋" w:hAnsi="仿宋" w:eastAsia="仿宋" w:cs="仿宋"/>
          <w:bCs/>
          <w:kern w:val="0"/>
          <w:sz w:val="30"/>
          <w:szCs w:val="30"/>
        </w:rPr>
        <w:t xml:space="preserve">    （</w:t>
      </w:r>
      <w:r>
        <w:rPr>
          <w:rFonts w:hint="eastAsia" w:ascii="仿宋" w:hAnsi="仿宋" w:eastAsia="仿宋" w:cs="仿宋"/>
          <w:bCs/>
          <w:kern w:val="0"/>
          <w:sz w:val="30"/>
          <w:szCs w:val="30"/>
          <w:lang w:val="en-US" w:eastAsia="zh-CN"/>
        </w:rPr>
        <w:t>五</w:t>
      </w:r>
      <w:r>
        <w:rPr>
          <w:rFonts w:hint="eastAsia" w:ascii="仿宋" w:hAnsi="仿宋" w:eastAsia="仿宋" w:cs="仿宋"/>
          <w:bCs/>
          <w:kern w:val="0"/>
          <w:sz w:val="30"/>
          <w:szCs w:val="30"/>
        </w:rPr>
        <w:t>）按规定承担区人民政府文件（包括法律文书）草案合法性审查工作。负责统筹规划区人民政府规范性文件拟制工作，拟订区人民政府规范性文件年度计划并组织实施负责承办区人民政府规范性文件的清理、修改、废止、汇编工作。</w:t>
      </w:r>
      <w:r>
        <w:rPr>
          <w:rFonts w:hint="eastAsia" w:ascii="仿宋" w:hAnsi="仿宋" w:eastAsia="仿宋" w:cs="仿宋"/>
          <w:bCs/>
          <w:kern w:val="0"/>
          <w:sz w:val="30"/>
          <w:szCs w:val="30"/>
        </w:rPr>
        <w:cr/>
      </w:r>
      <w:r>
        <w:rPr>
          <w:rFonts w:hint="eastAsia" w:ascii="仿宋" w:hAnsi="仿宋" w:eastAsia="仿宋" w:cs="仿宋"/>
          <w:bCs/>
          <w:kern w:val="0"/>
          <w:sz w:val="30"/>
          <w:szCs w:val="30"/>
        </w:rPr>
        <w:t xml:space="preserve">    （</w:t>
      </w:r>
      <w:r>
        <w:rPr>
          <w:rFonts w:hint="eastAsia" w:ascii="仿宋" w:hAnsi="仿宋" w:eastAsia="仿宋" w:cs="仿宋"/>
          <w:bCs/>
          <w:kern w:val="0"/>
          <w:sz w:val="30"/>
          <w:szCs w:val="30"/>
          <w:lang w:val="en-US" w:eastAsia="zh-CN"/>
        </w:rPr>
        <w:t>六</w:t>
      </w:r>
      <w:r>
        <w:rPr>
          <w:rFonts w:hint="eastAsia" w:ascii="仿宋" w:hAnsi="仿宋" w:eastAsia="仿宋" w:cs="仿宋"/>
          <w:bCs/>
          <w:kern w:val="0"/>
          <w:sz w:val="30"/>
          <w:szCs w:val="30"/>
        </w:rPr>
        <w:t>）承担区人民政府法律顾问工作。负责为区人民政府的重大决策和重大行政管理活动提供法律意见。办理区人民政府有关民事法律事务。承担区人民政府各类合同起草、审查工作。负责全区行政事业单位合同的指导、管理和监督工作</w:t>
      </w:r>
      <w:r>
        <w:rPr>
          <w:rFonts w:hint="eastAsia" w:ascii="仿宋" w:hAnsi="仿宋" w:eastAsia="仿宋" w:cs="仿宋"/>
          <w:bCs/>
          <w:kern w:val="0"/>
          <w:sz w:val="30"/>
          <w:szCs w:val="30"/>
        </w:rPr>
        <w:cr/>
      </w:r>
      <w:r>
        <w:rPr>
          <w:rFonts w:hint="eastAsia" w:ascii="仿宋" w:hAnsi="仿宋" w:eastAsia="仿宋" w:cs="仿宋"/>
          <w:bCs/>
          <w:kern w:val="0"/>
          <w:sz w:val="30"/>
          <w:szCs w:val="30"/>
        </w:rPr>
        <w:t xml:space="preserve">    （</w:t>
      </w:r>
      <w:r>
        <w:rPr>
          <w:rFonts w:hint="eastAsia" w:ascii="仿宋" w:hAnsi="仿宋" w:eastAsia="仿宋" w:cs="仿宋"/>
          <w:bCs/>
          <w:kern w:val="0"/>
          <w:sz w:val="30"/>
          <w:szCs w:val="30"/>
          <w:lang w:val="en-US" w:eastAsia="zh-CN"/>
        </w:rPr>
        <w:t>七</w:t>
      </w:r>
      <w:r>
        <w:rPr>
          <w:rFonts w:hint="eastAsia" w:ascii="仿宋" w:hAnsi="仿宋" w:eastAsia="仿宋" w:cs="仿宋"/>
          <w:bCs/>
          <w:kern w:val="0"/>
          <w:sz w:val="30"/>
          <w:szCs w:val="30"/>
        </w:rPr>
        <w:t>）负责行政执法监督工作。推行行政执法责任制、执法质量考核评议制和错案责任追究制等执法制度负责重大具体行政行为的备案审查工作。负责区本级行政执法主体、行政执法人员、行政执法监督人员和行政复议人员的资格审查、培训考核和有关证件的颁发、换发和年检工作。指导和监督行政执法机关加强行政执法队伍建设。</w:t>
      </w:r>
      <w:r>
        <w:rPr>
          <w:rFonts w:hint="eastAsia" w:ascii="仿宋" w:hAnsi="仿宋" w:eastAsia="仿宋" w:cs="仿宋"/>
          <w:bCs/>
          <w:kern w:val="0"/>
          <w:sz w:val="30"/>
          <w:szCs w:val="30"/>
        </w:rPr>
        <w:cr/>
      </w:r>
      <w:r>
        <w:rPr>
          <w:rFonts w:hint="eastAsia" w:ascii="仿宋" w:hAnsi="仿宋" w:eastAsia="仿宋" w:cs="仿宋"/>
          <w:bCs/>
          <w:kern w:val="0"/>
          <w:sz w:val="30"/>
          <w:szCs w:val="30"/>
        </w:rPr>
        <w:t xml:space="preserve">    （</w:t>
      </w:r>
      <w:r>
        <w:rPr>
          <w:rFonts w:hint="eastAsia" w:ascii="仿宋" w:hAnsi="仿宋" w:eastAsia="仿宋" w:cs="仿宋"/>
          <w:bCs/>
          <w:kern w:val="0"/>
          <w:sz w:val="30"/>
          <w:szCs w:val="30"/>
          <w:lang w:val="en-US" w:eastAsia="zh-CN"/>
        </w:rPr>
        <w:t>八</w:t>
      </w:r>
      <w:r>
        <w:rPr>
          <w:rFonts w:hint="eastAsia" w:ascii="仿宋" w:hAnsi="仿宋" w:eastAsia="仿宋" w:cs="仿宋"/>
          <w:bCs/>
          <w:kern w:val="0"/>
          <w:sz w:val="30"/>
          <w:szCs w:val="30"/>
        </w:rPr>
        <w:t>）指导、监督、协调区人民政府各部门及全区行政复议、行政应诉和行政赔偿工作。承担申请区人民政府决定的行政复议案件，办理区人民政府受理的行政赔偿、行政裁决、行政确认案件，承办区人民政府的行政应诉事项。</w:t>
      </w:r>
      <w:r>
        <w:rPr>
          <w:rFonts w:hint="eastAsia" w:ascii="仿宋" w:hAnsi="仿宋" w:eastAsia="仿宋" w:cs="仿宋"/>
          <w:bCs/>
          <w:kern w:val="0"/>
          <w:sz w:val="30"/>
          <w:szCs w:val="30"/>
        </w:rPr>
        <w:cr/>
      </w:r>
      <w:r>
        <w:rPr>
          <w:rFonts w:hint="eastAsia" w:ascii="仿宋" w:hAnsi="仿宋" w:eastAsia="仿宋" w:cs="仿宋"/>
          <w:bCs/>
          <w:kern w:val="0"/>
          <w:sz w:val="30"/>
          <w:szCs w:val="30"/>
        </w:rPr>
        <w:t xml:space="preserve">    （</w:t>
      </w:r>
      <w:r>
        <w:rPr>
          <w:rFonts w:hint="eastAsia" w:ascii="仿宋" w:hAnsi="仿宋" w:eastAsia="仿宋" w:cs="仿宋"/>
          <w:bCs/>
          <w:kern w:val="0"/>
          <w:sz w:val="30"/>
          <w:szCs w:val="30"/>
          <w:lang w:val="en-US" w:eastAsia="zh-CN"/>
        </w:rPr>
        <w:t>九</w:t>
      </w:r>
      <w:r>
        <w:rPr>
          <w:rFonts w:hint="eastAsia" w:ascii="仿宋" w:hAnsi="仿宋" w:eastAsia="仿宋" w:cs="仿宋"/>
          <w:bCs/>
          <w:kern w:val="0"/>
          <w:sz w:val="30"/>
          <w:szCs w:val="30"/>
        </w:rPr>
        <w:t>）拟订全区法制宣传教育和依法治理规划并组织实施。负责全区普法依法治理工作，推进全区法治社会建设。</w:t>
      </w:r>
      <w:r>
        <w:rPr>
          <w:rFonts w:hint="eastAsia" w:ascii="仿宋" w:hAnsi="仿宋" w:eastAsia="仿宋" w:cs="仿宋"/>
          <w:bCs/>
          <w:kern w:val="0"/>
          <w:sz w:val="30"/>
          <w:szCs w:val="30"/>
        </w:rPr>
        <w:cr/>
      </w:r>
      <w:r>
        <w:rPr>
          <w:rFonts w:hint="eastAsia" w:ascii="仿宋" w:hAnsi="仿宋" w:eastAsia="仿宋" w:cs="仿宋"/>
          <w:bCs/>
          <w:kern w:val="0"/>
          <w:sz w:val="30"/>
          <w:szCs w:val="30"/>
        </w:rPr>
        <w:t xml:space="preserve">    （</w:t>
      </w:r>
      <w:r>
        <w:rPr>
          <w:rFonts w:hint="eastAsia" w:ascii="仿宋" w:hAnsi="仿宋" w:eastAsia="仿宋" w:cs="仿宋"/>
          <w:bCs/>
          <w:kern w:val="0"/>
          <w:sz w:val="30"/>
          <w:szCs w:val="30"/>
          <w:lang w:val="en-US" w:eastAsia="zh-CN"/>
        </w:rPr>
        <w:t>十</w:t>
      </w:r>
      <w:r>
        <w:rPr>
          <w:rFonts w:hint="eastAsia" w:ascii="仿宋" w:hAnsi="仿宋" w:eastAsia="仿宋" w:cs="仿宋"/>
          <w:bCs/>
          <w:kern w:val="0"/>
          <w:sz w:val="30"/>
          <w:szCs w:val="30"/>
        </w:rPr>
        <w:t>）指导监督全区律师工作并承担相应责任。指导监督法律援助、面向社会的司法鉴定工作和企事业单位法律顾问工作。指导律师协会工作。</w:t>
      </w:r>
      <w:r>
        <w:rPr>
          <w:rFonts w:hint="eastAsia" w:ascii="仿宋" w:hAnsi="仿宋" w:eastAsia="仿宋" w:cs="仿宋"/>
          <w:bCs/>
          <w:kern w:val="0"/>
          <w:sz w:val="30"/>
          <w:szCs w:val="30"/>
        </w:rPr>
        <w:cr/>
      </w:r>
      <w:r>
        <w:rPr>
          <w:rFonts w:hint="eastAsia" w:ascii="仿宋" w:hAnsi="仿宋" w:eastAsia="仿宋" w:cs="仿宋"/>
          <w:bCs/>
          <w:kern w:val="0"/>
          <w:sz w:val="30"/>
          <w:szCs w:val="30"/>
        </w:rPr>
        <w:t xml:space="preserve">    （</w:t>
      </w:r>
      <w:r>
        <w:rPr>
          <w:rFonts w:hint="eastAsia" w:ascii="仿宋" w:hAnsi="仿宋" w:eastAsia="仿宋" w:cs="仿宋"/>
          <w:bCs/>
          <w:kern w:val="0"/>
          <w:sz w:val="30"/>
          <w:szCs w:val="30"/>
          <w:lang w:val="en-US" w:eastAsia="zh-CN"/>
        </w:rPr>
        <w:t>十一</w:t>
      </w:r>
      <w:r>
        <w:rPr>
          <w:rFonts w:hint="eastAsia" w:ascii="仿宋" w:hAnsi="仿宋" w:eastAsia="仿宋" w:cs="仿宋"/>
          <w:bCs/>
          <w:kern w:val="0"/>
          <w:sz w:val="30"/>
          <w:szCs w:val="30"/>
        </w:rPr>
        <w:t>）负责管理全区基层司法行政、社区矫正、人民调解工作和基层法律服务工作。负责全区人民陪审员选任和指导监督工作。参与社会治安综合治理工作。会同有关部门负责刑满释放人员的安置帮教工作。</w:t>
      </w:r>
      <w:r>
        <w:rPr>
          <w:rFonts w:hint="eastAsia" w:ascii="仿宋" w:hAnsi="仿宋" w:eastAsia="仿宋" w:cs="仿宋"/>
          <w:bCs/>
          <w:kern w:val="0"/>
          <w:sz w:val="30"/>
          <w:szCs w:val="30"/>
        </w:rPr>
        <w:cr/>
      </w:r>
      <w:r>
        <w:rPr>
          <w:rFonts w:hint="eastAsia" w:ascii="仿宋" w:hAnsi="仿宋" w:eastAsia="仿宋" w:cs="仿宋"/>
          <w:bCs/>
          <w:kern w:val="0"/>
          <w:sz w:val="30"/>
          <w:szCs w:val="30"/>
        </w:rPr>
        <w:t xml:space="preserve">    （</w:t>
      </w:r>
      <w:r>
        <w:rPr>
          <w:rFonts w:hint="eastAsia" w:ascii="仿宋" w:hAnsi="仿宋" w:eastAsia="仿宋" w:cs="仿宋"/>
          <w:bCs/>
          <w:kern w:val="0"/>
          <w:sz w:val="30"/>
          <w:szCs w:val="30"/>
          <w:lang w:val="en-US" w:eastAsia="zh-CN"/>
        </w:rPr>
        <w:t>十二</w:t>
      </w:r>
      <w:r>
        <w:rPr>
          <w:rFonts w:hint="eastAsia" w:ascii="仿宋" w:hAnsi="仿宋" w:eastAsia="仿宋" w:cs="仿宋"/>
          <w:bCs/>
          <w:kern w:val="0"/>
          <w:sz w:val="30"/>
          <w:szCs w:val="30"/>
        </w:rPr>
        <w:t>）负责管理全区司法行政系统队伍建设、思想政治建设和教育培训工作。负责管理全区司法警察警务工作。协助组织国家司法考试工作。</w:t>
      </w:r>
      <w:r>
        <w:rPr>
          <w:rFonts w:hint="eastAsia" w:ascii="仿宋" w:hAnsi="仿宋" w:eastAsia="仿宋" w:cs="仿宋"/>
          <w:bCs/>
          <w:kern w:val="0"/>
          <w:sz w:val="30"/>
          <w:szCs w:val="30"/>
        </w:rPr>
        <w:cr/>
      </w:r>
      <w:r>
        <w:rPr>
          <w:rFonts w:hint="eastAsia" w:ascii="仿宋" w:hAnsi="仿宋" w:eastAsia="仿宋" w:cs="仿宋"/>
          <w:bCs/>
          <w:kern w:val="0"/>
          <w:sz w:val="30"/>
          <w:szCs w:val="30"/>
        </w:rPr>
        <w:t xml:space="preserve">    （</w:t>
      </w:r>
      <w:r>
        <w:rPr>
          <w:rFonts w:hint="eastAsia" w:ascii="仿宋" w:hAnsi="仿宋" w:eastAsia="仿宋" w:cs="仿宋"/>
          <w:bCs/>
          <w:kern w:val="0"/>
          <w:sz w:val="30"/>
          <w:szCs w:val="30"/>
          <w:lang w:val="en-US" w:eastAsia="zh-CN"/>
        </w:rPr>
        <w:t>十三</w:t>
      </w:r>
      <w:r>
        <w:rPr>
          <w:rFonts w:hint="eastAsia" w:ascii="仿宋" w:hAnsi="仿宋" w:eastAsia="仿宋" w:cs="仿宋"/>
          <w:bCs/>
          <w:kern w:val="0"/>
          <w:sz w:val="30"/>
          <w:szCs w:val="30"/>
        </w:rPr>
        <w:t>）负责管理全区司法行政系统的计划财务及服装、车辆等物资装备工作。</w:t>
      </w:r>
      <w:r>
        <w:rPr>
          <w:rFonts w:hint="eastAsia" w:ascii="仿宋" w:hAnsi="仿宋" w:eastAsia="仿宋" w:cs="仿宋"/>
          <w:bCs/>
          <w:kern w:val="0"/>
          <w:sz w:val="30"/>
          <w:szCs w:val="30"/>
        </w:rPr>
        <w:cr/>
      </w:r>
      <w:r>
        <w:rPr>
          <w:rFonts w:hint="eastAsia" w:ascii="仿宋" w:hAnsi="仿宋" w:eastAsia="仿宋" w:cs="仿宋"/>
          <w:bCs/>
          <w:kern w:val="0"/>
          <w:sz w:val="30"/>
          <w:szCs w:val="30"/>
        </w:rPr>
        <w:t xml:space="preserve">    （</w:t>
      </w:r>
      <w:r>
        <w:rPr>
          <w:rFonts w:hint="eastAsia" w:ascii="仿宋" w:hAnsi="仿宋" w:eastAsia="仿宋" w:cs="仿宋"/>
          <w:bCs/>
          <w:kern w:val="0"/>
          <w:sz w:val="30"/>
          <w:szCs w:val="30"/>
          <w:lang w:val="en-US" w:eastAsia="zh-CN"/>
        </w:rPr>
        <w:t>十四</w:t>
      </w:r>
      <w:r>
        <w:rPr>
          <w:rFonts w:hint="eastAsia" w:ascii="仿宋" w:hAnsi="仿宋" w:eastAsia="仿宋" w:cs="仿宋"/>
          <w:bCs/>
          <w:kern w:val="0"/>
          <w:sz w:val="30"/>
          <w:szCs w:val="30"/>
        </w:rPr>
        <w:t>）完成区委、区政府交办的其他任务。</w:t>
      </w:r>
    </w:p>
    <w:p>
      <w:pPr>
        <w:keepNext w:val="0"/>
        <w:keepLines w:val="0"/>
        <w:pageBreakBefore w:val="0"/>
        <w:widowControl/>
        <w:numPr>
          <w:ilvl w:val="0"/>
          <w:numId w:val="0"/>
        </w:numPr>
        <w:kinsoku/>
        <w:wordWrap/>
        <w:overflowPunct/>
        <w:topLinePunct w:val="0"/>
        <w:bidi w:val="0"/>
        <w:snapToGrid/>
        <w:spacing w:line="600" w:lineRule="exact"/>
        <w:ind w:firstLine="602" w:firstLineChars="200"/>
        <w:textAlignment w:val="auto"/>
        <w:rPr>
          <w:rFonts w:hint="eastAsia" w:ascii="仿宋" w:hAnsi="仿宋" w:eastAsia="仿宋" w:cs="仿宋"/>
          <w:b/>
          <w:bCs w:val="0"/>
          <w:kern w:val="0"/>
          <w:sz w:val="30"/>
          <w:szCs w:val="30"/>
        </w:rPr>
      </w:pPr>
      <w:r>
        <w:rPr>
          <w:rFonts w:hint="eastAsia" w:ascii="仿宋" w:hAnsi="仿宋" w:eastAsia="仿宋" w:cs="仿宋"/>
          <w:b/>
          <w:bCs w:val="0"/>
          <w:kern w:val="0"/>
          <w:sz w:val="30"/>
          <w:szCs w:val="30"/>
        </w:rPr>
        <w:t>二、机构设置及决算单位构成</w:t>
      </w:r>
    </w:p>
    <w:p>
      <w:pPr>
        <w:keepNext w:val="0"/>
        <w:keepLines w:val="0"/>
        <w:pageBreakBefore w:val="0"/>
        <w:widowControl/>
        <w:numPr>
          <w:ilvl w:val="0"/>
          <w:numId w:val="0"/>
        </w:numPr>
        <w:kinsoku/>
        <w:wordWrap/>
        <w:overflowPunct/>
        <w:topLinePunct w:val="0"/>
        <w:bidi w:val="0"/>
        <w:snapToGrid/>
        <w:spacing w:line="600" w:lineRule="exact"/>
        <w:ind w:firstLine="602" w:firstLineChars="200"/>
        <w:textAlignment w:val="auto"/>
        <w:rPr>
          <w:rFonts w:hint="eastAsia" w:ascii="仿宋" w:hAnsi="仿宋" w:eastAsia="仿宋" w:cs="仿宋"/>
          <w:b/>
          <w:bCs w:val="0"/>
          <w:kern w:val="0"/>
          <w:sz w:val="30"/>
          <w:szCs w:val="30"/>
          <w:lang w:val="en-US" w:eastAsia="zh-CN"/>
        </w:rPr>
      </w:pPr>
      <w:r>
        <w:rPr>
          <w:rFonts w:hint="eastAsia" w:ascii="仿宋" w:hAnsi="仿宋" w:eastAsia="仿宋" w:cs="仿宋"/>
          <w:b/>
          <w:bCs w:val="0"/>
          <w:kern w:val="0"/>
          <w:sz w:val="30"/>
          <w:szCs w:val="30"/>
        </w:rPr>
        <w:t>（一）机构设置</w:t>
      </w:r>
      <w:r>
        <w:rPr>
          <w:rFonts w:hint="eastAsia" w:ascii="仿宋" w:hAnsi="仿宋" w:eastAsia="仿宋" w:cs="仿宋"/>
          <w:b/>
          <w:bCs w:val="0"/>
          <w:kern w:val="0"/>
          <w:sz w:val="30"/>
          <w:szCs w:val="30"/>
          <w:lang w:val="en-US" w:eastAsia="zh-CN"/>
        </w:rPr>
        <w:t>情况</w:t>
      </w:r>
    </w:p>
    <w:p>
      <w:pPr>
        <w:keepNext w:val="0"/>
        <w:keepLines w:val="0"/>
        <w:pageBreakBefore w:val="0"/>
        <w:widowControl/>
        <w:numPr>
          <w:ilvl w:val="0"/>
          <w:numId w:val="0"/>
        </w:numPr>
        <w:kinsoku/>
        <w:wordWrap/>
        <w:overflowPunct/>
        <w:topLinePunct w:val="0"/>
        <w:bidi w:val="0"/>
        <w:snapToGrid/>
        <w:spacing w:line="600" w:lineRule="exact"/>
        <w:ind w:firstLine="600" w:firstLineChars="200"/>
        <w:textAlignment w:val="auto"/>
        <w:rPr>
          <w:rFonts w:hint="eastAsia" w:ascii="仿宋" w:hAnsi="仿宋" w:eastAsia="仿宋" w:cs="仿宋"/>
          <w:bCs/>
          <w:kern w:val="0"/>
          <w:sz w:val="30"/>
          <w:szCs w:val="30"/>
        </w:rPr>
      </w:pPr>
      <w:r>
        <w:rPr>
          <w:rFonts w:hint="eastAsia" w:ascii="仿宋" w:hAnsi="仿宋" w:eastAsia="仿宋" w:cs="仿宋"/>
          <w:bCs/>
          <w:kern w:val="0"/>
          <w:sz w:val="30"/>
          <w:szCs w:val="30"/>
        </w:rPr>
        <w:t>益阳市赫山区司法局是区政府工作部门，为正科级。中共益阳市赫山区委全面依法治区委员会办公室，设在区司法局，接受中共益阳市赫山区委全面依法治区委员会的直接领导，承担委员会具体工作，组织开展全面依法治区重大问题的政策研究，协调督促有关方面落实委员会决定事项、工作部署和要求等。区司法局的内设机构根据工作需要承担区委依法治区办公室相关工作，接受区委依法治区办公室的统筹协调。益阳市赫山区司法局共设区委全面依法治区委员会办公室秘书室、办公室、政策法规股、法制审查工作股、行政执法协调监督股、行政复议与应诉股、社区矫正工作管理股（益阳市赫山区社区矫正中心、益阳市赫山区社区矫正工作管理局）、普法与依法治理股、人民参与促进法治工作股（人民陪审员和监督员选任管理办公室）、公共法律服务管理股（益阳市赫山区公共法律服务中心、益阳市赫山区法律援助中心）、律师工作管理股、装备财务保障股、政治工作办公室等12个股室。</w:t>
      </w:r>
    </w:p>
    <w:p>
      <w:pPr>
        <w:keepNext w:val="0"/>
        <w:keepLines w:val="0"/>
        <w:pageBreakBefore w:val="0"/>
        <w:widowControl/>
        <w:numPr>
          <w:ilvl w:val="0"/>
          <w:numId w:val="1"/>
        </w:numPr>
        <w:kinsoku/>
        <w:wordWrap/>
        <w:overflowPunct/>
        <w:topLinePunct w:val="0"/>
        <w:bidi w:val="0"/>
        <w:snapToGrid/>
        <w:spacing w:line="600" w:lineRule="exact"/>
        <w:ind w:firstLine="602" w:firstLineChars="200"/>
        <w:textAlignment w:val="auto"/>
        <w:rPr>
          <w:rFonts w:hint="eastAsia" w:ascii="仿宋" w:hAnsi="仿宋" w:eastAsia="仿宋" w:cs="仿宋"/>
          <w:b/>
          <w:bCs w:val="0"/>
          <w:kern w:val="0"/>
          <w:sz w:val="30"/>
          <w:szCs w:val="30"/>
        </w:rPr>
      </w:pPr>
      <w:r>
        <w:rPr>
          <w:rFonts w:hint="eastAsia" w:ascii="仿宋" w:hAnsi="仿宋" w:eastAsia="仿宋" w:cs="仿宋"/>
          <w:b/>
          <w:bCs w:val="0"/>
          <w:kern w:val="0"/>
          <w:sz w:val="30"/>
          <w:szCs w:val="30"/>
        </w:rPr>
        <w:t>决算单位构成</w:t>
      </w:r>
    </w:p>
    <w:p>
      <w:pPr>
        <w:keepNext w:val="0"/>
        <w:keepLines w:val="0"/>
        <w:pageBreakBefore w:val="0"/>
        <w:widowControl/>
        <w:numPr>
          <w:ilvl w:val="0"/>
          <w:numId w:val="0"/>
        </w:numPr>
        <w:kinsoku/>
        <w:wordWrap/>
        <w:overflowPunct/>
        <w:topLinePunct w:val="0"/>
        <w:bidi w:val="0"/>
        <w:snapToGrid/>
        <w:spacing w:line="600" w:lineRule="exact"/>
        <w:ind w:firstLine="600" w:firstLineChars="200"/>
        <w:textAlignment w:val="auto"/>
        <w:rPr>
          <w:rFonts w:hint="eastAsia" w:ascii="仿宋" w:hAnsi="仿宋" w:eastAsia="仿宋" w:cs="仿宋"/>
          <w:bCs/>
          <w:kern w:val="0"/>
          <w:sz w:val="30"/>
          <w:szCs w:val="30"/>
          <w:lang w:eastAsia="zh-CN"/>
        </w:rPr>
      </w:pPr>
      <w:r>
        <w:rPr>
          <w:rFonts w:hint="eastAsia" w:ascii="仿宋" w:hAnsi="仿宋" w:eastAsia="仿宋" w:cs="仿宋"/>
          <w:bCs/>
          <w:kern w:val="0"/>
          <w:sz w:val="30"/>
          <w:szCs w:val="30"/>
          <w:lang w:val="en-US" w:eastAsia="zh-CN"/>
        </w:rPr>
        <w:t>赫山区司法局</w:t>
      </w:r>
      <w:r>
        <w:rPr>
          <w:rFonts w:hint="eastAsia" w:ascii="仿宋" w:hAnsi="仿宋" w:eastAsia="仿宋" w:cs="仿宋"/>
          <w:bCs/>
          <w:kern w:val="0"/>
          <w:sz w:val="30"/>
          <w:szCs w:val="30"/>
          <w:lang w:eastAsia="zh-CN"/>
        </w:rPr>
        <w:t>2022</w:t>
      </w:r>
      <w:r>
        <w:rPr>
          <w:rFonts w:hint="eastAsia" w:ascii="仿宋" w:hAnsi="仿宋" w:eastAsia="仿宋" w:cs="仿宋"/>
          <w:bCs/>
          <w:kern w:val="0"/>
          <w:sz w:val="30"/>
          <w:szCs w:val="30"/>
        </w:rPr>
        <w:t>年部门决算汇总公开单位构成包括：</w:t>
      </w:r>
      <w:r>
        <w:rPr>
          <w:rFonts w:hint="eastAsia" w:ascii="仿宋" w:hAnsi="仿宋" w:eastAsia="仿宋" w:cs="仿宋"/>
          <w:bCs/>
          <w:kern w:val="0"/>
          <w:sz w:val="30"/>
          <w:szCs w:val="30"/>
          <w:lang w:val="en-US" w:eastAsia="zh-CN"/>
        </w:rPr>
        <w:t>赫山区司法局</w:t>
      </w:r>
      <w:r>
        <w:rPr>
          <w:rFonts w:hint="eastAsia" w:ascii="仿宋" w:hAnsi="仿宋" w:eastAsia="仿宋" w:cs="仿宋"/>
          <w:bCs/>
          <w:kern w:val="0"/>
          <w:sz w:val="30"/>
          <w:szCs w:val="30"/>
        </w:rPr>
        <w:t>本级</w:t>
      </w:r>
      <w:r>
        <w:rPr>
          <w:rFonts w:hint="eastAsia" w:ascii="仿宋" w:hAnsi="仿宋" w:eastAsia="仿宋" w:cs="仿宋"/>
          <w:bCs/>
          <w:kern w:val="0"/>
          <w:sz w:val="30"/>
          <w:szCs w:val="30"/>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jc w:val="center"/>
        <w:rPr>
          <w:rFonts w:hint="eastAsia" w:ascii="方正小标宋_GBK" w:hAnsi="方正小标宋_GBK" w:eastAsia="方正小标宋_GBK" w:cs="方正小标宋_GBK"/>
          <w:sz w:val="84"/>
          <w:szCs w:val="84"/>
        </w:rPr>
      </w:pPr>
    </w:p>
    <w:p>
      <w:pPr>
        <w:pStyle w:val="10"/>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0"/>
        <w:jc w:val="center"/>
        <w:rPr>
          <w:rFonts w:hint="eastAsia" w:ascii="方正小标宋_GBK" w:hAnsi="方正小标宋_GBK" w:eastAsia="方正小标宋_GBK" w:cs="方正小标宋_GBK"/>
          <w:sz w:val="84"/>
          <w:szCs w:val="84"/>
        </w:rPr>
      </w:pPr>
    </w:p>
    <w:p>
      <w:pPr>
        <w:pStyle w:val="10"/>
        <w:jc w:val="center"/>
        <w:rPr>
          <w:rFonts w:hint="eastAsia" w:eastAsia="方正小标宋_GBK"/>
          <w:sz w:val="72"/>
          <w:szCs w:val="72"/>
          <w:lang w:val="en-US" w:eastAsia="zh-CN"/>
        </w:rPr>
        <w:sectPr>
          <w:pgSz w:w="11906" w:h="16838"/>
          <w:pgMar w:top="1440" w:right="1800" w:bottom="1440" w:left="1800" w:header="851" w:footer="992" w:gutter="0"/>
          <w:cols w:space="425" w:num="1"/>
          <w:docGrid w:type="lines" w:linePitch="312" w:charSpace="0"/>
        </w:sectPr>
      </w:pPr>
      <w:r>
        <w:rPr>
          <w:rFonts w:hint="eastAsia" w:ascii="方正小标宋_GBK" w:hAnsi="方正小标宋_GBK" w:eastAsia="方正小标宋_GBK" w:cs="方正小标宋_GBK"/>
          <w:sz w:val="84"/>
          <w:szCs w:val="84"/>
        </w:rPr>
        <w:t>部门决算</w:t>
      </w:r>
      <w:r>
        <w:rPr>
          <w:rFonts w:hint="eastAsia" w:ascii="方正小标宋_GBK" w:hAnsi="方正小标宋_GBK" w:eastAsia="方正小标宋_GBK" w:cs="方正小标宋_GBK"/>
          <w:sz w:val="84"/>
          <w:szCs w:val="84"/>
          <w:lang w:val="en-US" w:eastAsia="zh-CN"/>
        </w:rPr>
        <w:t>表</w:t>
      </w:r>
    </w:p>
    <w:p>
      <w:pPr>
        <w:ind w:firstLine="720" w:firstLineChars="100"/>
        <w:jc w:val="both"/>
        <w:rPr>
          <w:rFonts w:hint="eastAsia" w:eastAsiaTheme="minorEastAsia"/>
          <w:sz w:val="72"/>
          <w:szCs w:val="72"/>
          <w:lang w:eastAsia="zh-CN"/>
        </w:rPr>
      </w:pPr>
      <w:r>
        <w:rPr>
          <w:rFonts w:hint="eastAsia" w:eastAsiaTheme="minorEastAsia"/>
          <w:sz w:val="72"/>
          <w:szCs w:val="72"/>
          <w:lang w:eastAsia="zh-CN"/>
        </w:rPr>
        <w:object>
          <v:shape id="_x0000_i1025" o:spt="75" type="#_x0000_t75" style="height:585.75pt;width:705pt;" o:ole="t" filled="f" o:preferrelative="t" stroked="f" coordsize="21600,21600">
            <v:path/>
            <v:fill on="f" focussize="0,0"/>
            <v:stroke on="f"/>
            <v:imagedata r:id="rId5" o:title=""/>
            <o:lock v:ext="edit" aspectratio="t"/>
            <w10:wrap type="none"/>
            <w10:anchorlock/>
          </v:shape>
          <o:OLEObject Type="Embed" ProgID="Excel.Sheet.8" ShapeID="_x0000_i1025" DrawAspect="Content" ObjectID="_1468075725" r:id="rId4">
            <o:LockedField>false</o:LockedField>
          </o:OLEObject>
        </w:object>
      </w:r>
    </w:p>
    <w:tbl>
      <w:tblPr>
        <w:tblStyle w:val="6"/>
        <w:tblW w:w="15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41"/>
        <w:gridCol w:w="258"/>
        <w:gridCol w:w="258"/>
        <w:gridCol w:w="2041"/>
        <w:gridCol w:w="1531"/>
        <w:gridCol w:w="1531"/>
        <w:gridCol w:w="1126"/>
        <w:gridCol w:w="1126"/>
        <w:gridCol w:w="1126"/>
        <w:gridCol w:w="1126"/>
        <w:gridCol w:w="1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15160"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部门：益阳市赫山区司法局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3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53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27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27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27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27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81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8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3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3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7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7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7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7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88"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53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3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7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7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7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7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3288"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53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3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7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7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7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7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1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3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3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7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1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1,619.53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1,619.53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1,619.53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1,619.53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1,619.53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1,619.53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1,432.53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1,432.53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基层司法业务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普法宣传</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公共法律服务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社区矫正</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法治建设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jc w:val="left"/>
        <w:rPr>
          <w:rFonts w:asciiTheme="minorEastAsia" w:hAnsiTheme="minorEastAsia"/>
          <w:sz w:val="32"/>
          <w:szCs w:val="32"/>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tbl>
      <w:tblPr>
        <w:tblStyle w:val="6"/>
        <w:tblW w:w="15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09"/>
        <w:gridCol w:w="264"/>
        <w:gridCol w:w="264"/>
        <w:gridCol w:w="2087"/>
        <w:gridCol w:w="1725"/>
        <w:gridCol w:w="1725"/>
        <w:gridCol w:w="1594"/>
        <w:gridCol w:w="1462"/>
        <w:gridCol w:w="1462"/>
        <w:gridCol w:w="2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72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部门：益阳市赫山区司法局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1,619.53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1,432.53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1,619.53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1,432.53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1,619.53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1,432.53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1,432.53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1,432.53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基层司法业务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普法宣传</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公共法律服务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社区矫正</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法治建设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tbl>
      <w:tblPr>
        <w:tblStyle w:val="6"/>
        <w:tblpPr w:leftFromText="180" w:rightFromText="180" w:vertAnchor="text" w:horzAnchor="page" w:tblpX="346" w:tblpY="270"/>
        <w:tblOverlap w:val="never"/>
        <w:tblW w:w="15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63"/>
        <w:gridCol w:w="542"/>
        <w:gridCol w:w="1499"/>
        <w:gridCol w:w="3878"/>
        <w:gridCol w:w="542"/>
        <w:gridCol w:w="1196"/>
        <w:gridCol w:w="1499"/>
        <w:gridCol w:w="1262"/>
        <w:gridCol w:w="1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840"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54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9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7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9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9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6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5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部门：益阳市赫山区司法局</w:t>
            </w:r>
          </w:p>
        </w:tc>
        <w:tc>
          <w:tcPr>
            <w:tcW w:w="54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9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7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9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9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6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85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04"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10236"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563"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4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49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87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4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196"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9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26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85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563"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9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7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9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9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6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5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42"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42"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19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9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6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5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1,619.53</w:t>
            </w:r>
          </w:p>
        </w:tc>
        <w:tc>
          <w:tcPr>
            <w:tcW w:w="38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1,619.53</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1,619.53</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4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4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8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1,619.53</w:t>
            </w:r>
          </w:p>
        </w:tc>
        <w:tc>
          <w:tcPr>
            <w:tcW w:w="38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1,619.53</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1,619.53</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78"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1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78"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1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878"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19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49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8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63"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1,619.53</w:t>
            </w:r>
          </w:p>
        </w:tc>
        <w:tc>
          <w:tcPr>
            <w:tcW w:w="387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4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1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1,619.53</w:t>
            </w:r>
          </w:p>
        </w:tc>
        <w:tc>
          <w:tcPr>
            <w:tcW w:w="149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1,619.53</w:t>
            </w:r>
          </w:p>
        </w:tc>
        <w:tc>
          <w:tcPr>
            <w:tcW w:w="12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8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81"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1859"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tbl>
      <w:tblPr>
        <w:tblStyle w:val="6"/>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22"/>
        <w:gridCol w:w="256"/>
        <w:gridCol w:w="256"/>
        <w:gridCol w:w="2028"/>
        <w:gridCol w:w="1937"/>
        <w:gridCol w:w="1937"/>
        <w:gridCol w:w="2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部门：益阳市赫山区司法局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1,619.53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1,432.53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1,619.53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1,432.53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司法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1,619.53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1,432.53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1,432.53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1,432.53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基层司法业务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普法宣传</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公共法律服务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社区矫正</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2040612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法治建设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tbl>
      <w:tblPr>
        <w:tblStyle w:val="6"/>
        <w:tblpPr w:leftFromText="180" w:rightFromText="180" w:vertAnchor="text" w:horzAnchor="page" w:tblpX="106" w:tblpY="94"/>
        <w:tblOverlap w:val="never"/>
        <w:tblW w:w="16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77"/>
        <w:gridCol w:w="3061"/>
        <w:gridCol w:w="1204"/>
        <w:gridCol w:w="841"/>
        <w:gridCol w:w="2104"/>
        <w:gridCol w:w="963"/>
        <w:gridCol w:w="841"/>
        <w:gridCol w:w="3828"/>
        <w:gridCol w:w="13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8" w:hRule="atLeast"/>
        </w:trPr>
        <w:tc>
          <w:tcPr>
            <w:tcW w:w="16420"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2277"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306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0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0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2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01"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2277"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部门：益阳市赫山区司法局</w:t>
            </w:r>
          </w:p>
        </w:tc>
        <w:tc>
          <w:tcPr>
            <w:tcW w:w="306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0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0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2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01"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542"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878"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277"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06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0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84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10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6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84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82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0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277"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06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0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4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0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6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4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2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0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27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30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2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1,127.98</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1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274.82</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38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27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30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2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497.19</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1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88.79</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38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27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30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2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143.50</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1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35.92</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38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27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30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2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1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8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27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30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2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1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8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27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30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2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94.47</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1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8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227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30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2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145.51</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1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12.09</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8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27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30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2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1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8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27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30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2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77.47</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1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8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27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30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2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1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8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27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30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2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1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8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227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30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126.69</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1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8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27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30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2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1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22.17</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8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27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30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2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1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8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27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30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2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1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8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27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30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2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1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8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27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30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2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1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8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27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30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2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1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8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27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30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2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16.10</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1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8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27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30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2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13.64</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1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8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27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30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2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1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8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27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30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2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1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8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227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30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2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1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25.06</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8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27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30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2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1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38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227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30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2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1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38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27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30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2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1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8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2277"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306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2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1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41"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828"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0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2277"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061"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20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4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1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96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71.72</w:t>
            </w:r>
          </w:p>
        </w:tc>
        <w:tc>
          <w:tcPr>
            <w:tcW w:w="841"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3828"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30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338"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2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1,157.71</w:t>
            </w:r>
          </w:p>
        </w:tc>
        <w:tc>
          <w:tcPr>
            <w:tcW w:w="8577"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3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6420"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tbl>
      <w:tblPr>
        <w:tblStyle w:val="6"/>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37"/>
        <w:gridCol w:w="300"/>
        <w:gridCol w:w="300"/>
        <w:gridCol w:w="1482"/>
        <w:gridCol w:w="1431"/>
        <w:gridCol w:w="1431"/>
        <w:gridCol w:w="1431"/>
        <w:gridCol w:w="1431"/>
        <w:gridCol w:w="1431"/>
        <w:gridCol w:w="2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00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部门：益阳市赫山区司法局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jc w:val="left"/>
        <w:rPr>
          <w:rFonts w:hint="eastAsia" w:ascii="宋体" w:hAnsi="宋体" w:eastAsia="宋体" w:cs="宋体"/>
          <w:i w:val="0"/>
          <w:iCs w:val="0"/>
          <w:color w:val="000000"/>
          <w:kern w:val="0"/>
          <w:sz w:val="30"/>
          <w:szCs w:val="30"/>
          <w:u w:val="none"/>
          <w:lang w:val="en-US" w:eastAsia="zh-CN" w:bidi="ar"/>
        </w:rPr>
      </w:pPr>
      <w:r>
        <w:rPr>
          <w:rFonts w:hint="eastAsia" w:ascii="宋体" w:hAnsi="宋体" w:eastAsia="宋体" w:cs="宋体"/>
          <w:i w:val="0"/>
          <w:iCs w:val="0"/>
          <w:color w:val="000000"/>
          <w:kern w:val="0"/>
          <w:sz w:val="30"/>
          <w:szCs w:val="30"/>
          <w:u w:val="none"/>
          <w:lang w:val="en-US" w:eastAsia="zh-CN" w:bidi="ar"/>
        </w:rPr>
        <w:t>我单位没有政府性基金收入，也没有使用政府性基金资金安排的支出，故本表无数据。</w:t>
      </w:r>
    </w:p>
    <w:p>
      <w:pPr>
        <w:jc w:val="left"/>
        <w:rPr>
          <w:rFonts w:hint="eastAsia" w:ascii="宋体" w:hAnsi="宋体" w:eastAsia="宋体" w:cs="宋体"/>
          <w:i w:val="0"/>
          <w:iCs w:val="0"/>
          <w:color w:val="000000"/>
          <w:kern w:val="0"/>
          <w:sz w:val="30"/>
          <w:szCs w:val="30"/>
          <w:u w:val="none"/>
          <w:lang w:val="en-US" w:eastAsia="zh-CN" w:bidi="ar"/>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tbl>
      <w:tblPr>
        <w:tblStyle w:val="6"/>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0"/>
        <w:gridCol w:w="279"/>
        <w:gridCol w:w="279"/>
        <w:gridCol w:w="1378"/>
        <w:gridCol w:w="1331"/>
        <w:gridCol w:w="1331"/>
        <w:gridCol w:w="2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96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部门：益阳市赫山区司法局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04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jc w:val="left"/>
        <w:rPr>
          <w:rFonts w:hint="eastAsia" w:ascii="宋体" w:hAnsi="宋体" w:eastAsia="宋体" w:cs="宋体"/>
          <w:i w:val="0"/>
          <w:iCs w:val="0"/>
          <w:color w:val="000000"/>
          <w:kern w:val="0"/>
          <w:sz w:val="30"/>
          <w:szCs w:val="30"/>
          <w:u w:val="none"/>
          <w:lang w:val="en-US" w:eastAsia="zh-CN" w:bidi="ar"/>
        </w:rPr>
      </w:pPr>
      <w:r>
        <w:rPr>
          <w:rFonts w:hint="eastAsia" w:ascii="宋体" w:hAnsi="宋体" w:eastAsia="宋体" w:cs="宋体"/>
          <w:i w:val="0"/>
          <w:iCs w:val="0"/>
          <w:color w:val="000000"/>
          <w:kern w:val="0"/>
          <w:sz w:val="30"/>
          <w:szCs w:val="30"/>
          <w:u w:val="none"/>
          <w:lang w:val="en-US" w:eastAsia="zh-CN" w:bidi="ar"/>
        </w:rPr>
        <w:t>我单位没有国有资本经营收入，也没有使用国有资本经营资金安排的支出，故本表无数据。</w:t>
      </w: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p>
      <w:pPr>
        <w:jc w:val="left"/>
        <w:rPr>
          <w:rFonts w:hint="eastAsia" w:asciiTheme="minorEastAsia" w:hAnsiTheme="minorEastAsia" w:eastAsiaTheme="minorEastAsia"/>
          <w:sz w:val="32"/>
          <w:szCs w:val="32"/>
          <w:lang w:eastAsia="zh-CN"/>
        </w:rPr>
      </w:pPr>
    </w:p>
    <w:tbl>
      <w:tblPr>
        <w:tblStyle w:val="6"/>
        <w:tblW w:w="15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1256"/>
        <w:gridCol w:w="1042"/>
        <w:gridCol w:w="1042"/>
        <w:gridCol w:w="1042"/>
        <w:gridCol w:w="1042"/>
        <w:gridCol w:w="1042"/>
        <w:gridCol w:w="1256"/>
        <w:gridCol w:w="1042"/>
        <w:gridCol w:w="1042"/>
        <w:gridCol w:w="1042"/>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15080"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部门：益阳市赫山区司法局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7982"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098"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233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5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297"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09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09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5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297"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44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2330"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5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9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9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09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09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9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5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9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9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09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44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 w:hRule="atLeast"/>
        </w:trPr>
        <w:tc>
          <w:tcPr>
            <w:tcW w:w="233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5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9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9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4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08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jc w:val="left"/>
        <w:rPr>
          <w:rFonts w:hint="eastAsia" w:asciiTheme="minorEastAsia" w:hAnsiTheme="minorEastAsia" w:eastAsiaTheme="minorEastAsia"/>
          <w:sz w:val="32"/>
          <w:szCs w:val="32"/>
          <w:lang w:eastAsia="zh-CN"/>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0"/>
        <w:jc w:val="center"/>
        <w:rPr>
          <w:rFonts w:hint="eastAsia" w:ascii="方正小标宋_GBK" w:hAnsi="方正小标宋_GBK" w:eastAsia="方正小标宋_GBK" w:cs="方正小标宋_GBK"/>
          <w:sz w:val="70"/>
          <w:szCs w:val="70"/>
        </w:rPr>
      </w:pPr>
    </w:p>
    <w:p>
      <w:pPr>
        <w:pStyle w:val="10"/>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0"/>
        <w:keepNext w:val="0"/>
        <w:keepLines w:val="0"/>
        <w:pageBreakBefore w:val="0"/>
        <w:widowControl w:val="0"/>
        <w:kinsoku/>
        <w:wordWrap/>
        <w:overflowPunct/>
        <w:topLinePunct w:val="0"/>
        <w:bidi w:val="0"/>
        <w:snapToGrid/>
        <w:spacing w:line="600" w:lineRule="exact"/>
        <w:ind w:firstLine="600" w:firstLineChars="200"/>
        <w:textAlignment w:val="auto"/>
        <w:rPr>
          <w:rFonts w:ascii="Times New Roman" w:hAnsi="Times New Roman" w:eastAsia="仿宋_GB2312"/>
          <w:sz w:val="32"/>
          <w:szCs w:val="32"/>
        </w:rPr>
      </w:pPr>
      <w:r>
        <w:rPr>
          <w:rFonts w:hint="eastAsia" w:ascii="仿宋" w:hAnsi="仿宋" w:eastAsia="仿宋" w:cs="仿宋"/>
          <w:color w:val="000000"/>
          <w:kern w:val="0"/>
          <w:sz w:val="30"/>
          <w:szCs w:val="30"/>
          <w:lang w:val="en-US" w:eastAsia="zh-CN" w:bidi="ar-SA"/>
        </w:rPr>
        <w:t>2022年度收、支总计1619.53万元。与上年相比，增加305.16万元，增长18.84%，主要是因</w:t>
      </w:r>
      <w:r>
        <w:rPr>
          <w:rFonts w:hint="eastAsia" w:ascii="Times New Roman" w:hAnsi="Times New Roman" w:eastAsia="仿宋_GB2312"/>
          <w:sz w:val="32"/>
          <w:szCs w:val="32"/>
        </w:rPr>
        <w:t>为</w:t>
      </w:r>
      <w:r>
        <w:rPr>
          <w:rFonts w:hint="eastAsia" w:ascii="仿宋" w:hAnsi="仿宋" w:eastAsia="仿宋" w:cs="仿宋"/>
          <w:color w:val="000000"/>
          <w:kern w:val="0"/>
          <w:sz w:val="30"/>
          <w:szCs w:val="30"/>
          <w:lang w:val="en-US" w:eastAsia="zh-CN" w:bidi="ar-SA"/>
        </w:rPr>
        <w:t>人民调解、社区矫正、法治宣传、行政执法、行政复议等业务经费增加</w:t>
      </w:r>
      <w:r>
        <w:rPr>
          <w:rFonts w:hint="eastAsia" w:ascii="仿宋" w:hAnsi="仿宋" w:eastAsia="仿宋" w:cs="仿宋"/>
          <w:color w:val="auto"/>
          <w:kern w:val="0"/>
          <w:sz w:val="30"/>
          <w:szCs w:val="30"/>
          <w:lang w:val="en-US" w:eastAsia="zh-CN" w:bidi="ar-SA"/>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0"/>
        <w:keepNext w:val="0"/>
        <w:keepLines w:val="0"/>
        <w:pageBreakBefore w:val="0"/>
        <w:widowControl w:val="0"/>
        <w:kinsoku/>
        <w:wordWrap/>
        <w:overflowPunct/>
        <w:topLinePunct w:val="0"/>
        <w:bidi w:val="0"/>
        <w:snapToGrid/>
        <w:spacing w:line="600" w:lineRule="exact"/>
        <w:ind w:firstLine="600" w:firstLineChars="200"/>
        <w:textAlignment w:val="auto"/>
        <w:rPr>
          <w:rFonts w:ascii="Times New Roman" w:hAnsi="Times New Roman" w:eastAsia="仿宋_GB2312"/>
          <w:sz w:val="32"/>
          <w:szCs w:val="32"/>
        </w:rPr>
      </w:pPr>
      <w:r>
        <w:rPr>
          <w:rFonts w:hint="eastAsia" w:ascii="仿宋" w:hAnsi="仿宋" w:eastAsia="仿宋" w:cs="仿宋"/>
          <w:color w:val="000000"/>
          <w:kern w:val="0"/>
          <w:sz w:val="30"/>
          <w:szCs w:val="30"/>
          <w:lang w:val="en-US" w:eastAsia="zh-CN" w:bidi="ar-SA"/>
        </w:rPr>
        <w:t>2022年度收入合计1619.53万元，其中：财政拨款收入1619.53万元，占100%。</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0"/>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2022年度支出合计1619.53万元，其中：基本支出1432.53万元，占88.45%；项目支出187万元，占11.55%。</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2022年度财政拨款收入总计1619.53万元，</w:t>
      </w:r>
      <w:r>
        <w:rPr>
          <w:rFonts w:hint="eastAsia" w:ascii="仿宋" w:hAnsi="仿宋" w:eastAsia="仿宋" w:cs="仿宋"/>
          <w:color w:val="auto"/>
          <w:kern w:val="0"/>
          <w:sz w:val="30"/>
          <w:szCs w:val="30"/>
          <w:highlight w:val="none"/>
          <w:lang w:val="en-US" w:eastAsia="zh-CN" w:bidi="ar-SA"/>
        </w:rPr>
        <w:t>与上年相比，增加305.16万元，增加18.84%。</w:t>
      </w:r>
      <w:r>
        <w:rPr>
          <w:rFonts w:hint="eastAsia" w:ascii="仿宋" w:hAnsi="仿宋" w:eastAsia="仿宋" w:cs="仿宋"/>
          <w:color w:val="000000"/>
          <w:kern w:val="0"/>
          <w:sz w:val="30"/>
          <w:szCs w:val="30"/>
          <w:lang w:val="en-US" w:eastAsia="zh-CN" w:bidi="ar-SA"/>
        </w:rPr>
        <w:t>财政拨款支出总计1619.53万元，</w:t>
      </w:r>
      <w:r>
        <w:rPr>
          <w:rFonts w:hint="eastAsia" w:ascii="仿宋" w:hAnsi="仿宋" w:eastAsia="仿宋" w:cs="仿宋"/>
          <w:color w:val="auto"/>
          <w:kern w:val="0"/>
          <w:sz w:val="30"/>
          <w:szCs w:val="30"/>
          <w:highlight w:val="none"/>
          <w:lang w:val="en-US" w:eastAsia="zh-CN" w:bidi="ar-SA"/>
        </w:rPr>
        <w:t>与上年相比，增加305.16万元，增加18.84%。</w:t>
      </w:r>
      <w:r>
        <w:rPr>
          <w:rFonts w:hint="eastAsia" w:ascii="仿宋" w:hAnsi="仿宋" w:eastAsia="仿宋" w:cs="仿宋"/>
          <w:color w:val="000000"/>
          <w:kern w:val="0"/>
          <w:sz w:val="30"/>
          <w:szCs w:val="30"/>
          <w:lang w:val="en-US" w:eastAsia="zh-CN" w:bidi="ar-SA"/>
        </w:rPr>
        <w:t>财政拨款收入和支出增加主要是因为法治宣传用品经费、法治宣传单面和法治宣传册经费、人民调解现场经费、行政复议经费、社区矫正建设经费等业务经费的减少以及日常公用经费增加。</w:t>
      </w:r>
    </w:p>
    <w:p>
      <w:pPr>
        <w:keepNext w:val="0"/>
        <w:keepLines w:val="0"/>
        <w:pageBreakBefore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0"/>
        <w:keepNext w:val="0"/>
        <w:keepLines w:val="0"/>
        <w:pageBreakBefore w:val="0"/>
        <w:widowControl w:val="0"/>
        <w:kinsoku/>
        <w:wordWrap/>
        <w:overflowPunct/>
        <w:topLinePunct w:val="0"/>
        <w:bidi w:val="0"/>
        <w:snapToGrid/>
        <w:spacing w:line="600" w:lineRule="exact"/>
        <w:ind w:firstLine="750" w:firstLineChars="250"/>
        <w:textAlignment w:val="auto"/>
        <w:rPr>
          <w:rFonts w:ascii="Times New Roman" w:hAnsi="Times New Roman" w:eastAsia="仿宋_GB2312"/>
          <w:sz w:val="32"/>
          <w:szCs w:val="32"/>
        </w:rPr>
      </w:pPr>
      <w:r>
        <w:rPr>
          <w:rFonts w:hint="eastAsia" w:ascii="仿宋" w:hAnsi="仿宋" w:eastAsia="仿宋" w:cs="仿宋"/>
          <w:color w:val="000000"/>
          <w:kern w:val="0"/>
          <w:sz w:val="30"/>
          <w:szCs w:val="30"/>
          <w:lang w:val="en-US" w:eastAsia="zh-CN" w:bidi="ar-SA"/>
        </w:rPr>
        <w:t>2022年度财政拨款支出1619.53万元，占本年支出合计的100%，与上年相比，财政拨款支出增加305.16万元，增长18.84%，主要是因为法治宣传用品经费、人民调解现场经费以及日常公用经费增加。</w:t>
      </w:r>
    </w:p>
    <w:p>
      <w:pPr>
        <w:pStyle w:val="10"/>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0"/>
        <w:keepNext w:val="0"/>
        <w:keepLines w:val="0"/>
        <w:pageBreakBefore w:val="0"/>
        <w:widowControl w:val="0"/>
        <w:kinsoku/>
        <w:wordWrap/>
        <w:overflowPunct/>
        <w:topLinePunct w:val="0"/>
        <w:bidi w:val="0"/>
        <w:snapToGrid/>
        <w:spacing w:line="600" w:lineRule="exact"/>
        <w:ind w:firstLine="750" w:firstLineChars="250"/>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2022年度财政拨款支出1619.53万元，主要用于以下方面：一般公共服务（类）支出1619.53万元，占100%；</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仿宋" w:hAnsi="仿宋" w:eastAsia="仿宋" w:cs="仿宋"/>
          <w:color w:val="000000"/>
          <w:kern w:val="0"/>
          <w:sz w:val="30"/>
          <w:szCs w:val="30"/>
          <w:lang w:val="en-US" w:eastAsia="zh-CN" w:bidi="ar-SA"/>
        </w:rPr>
        <w:t>1619.53</w:t>
      </w:r>
      <w:r>
        <w:rPr>
          <w:rFonts w:hint="eastAsia" w:ascii="Times New Roman" w:hAnsi="Times New Roman" w:eastAsia="仿宋_GB2312"/>
          <w:sz w:val="32"/>
          <w:szCs w:val="32"/>
        </w:rPr>
        <w:t>万元，支出决算数为</w:t>
      </w:r>
      <w:r>
        <w:rPr>
          <w:rFonts w:hint="eastAsia" w:ascii="仿宋" w:hAnsi="仿宋" w:eastAsia="仿宋" w:cs="仿宋"/>
          <w:color w:val="000000"/>
          <w:kern w:val="0"/>
          <w:sz w:val="30"/>
          <w:szCs w:val="30"/>
          <w:lang w:val="en-US" w:eastAsia="zh-CN" w:bidi="ar-SA"/>
        </w:rPr>
        <w:t>1619.53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.公共安全支出</w:t>
      </w:r>
      <w:r>
        <w:rPr>
          <w:rFonts w:hint="eastAsia" w:ascii="仿宋" w:hAnsi="仿宋" w:eastAsia="仿宋" w:cs="仿宋"/>
          <w:color w:val="auto"/>
          <w:sz w:val="30"/>
          <w:szCs w:val="30"/>
        </w:rPr>
        <w:t>（类）司法（款）</w:t>
      </w:r>
      <w:r>
        <w:rPr>
          <w:rFonts w:hint="eastAsia" w:ascii="仿宋" w:hAnsi="仿宋" w:eastAsia="仿宋" w:cs="仿宋"/>
          <w:color w:val="auto"/>
          <w:sz w:val="30"/>
          <w:szCs w:val="30"/>
          <w:lang w:val="en-US" w:eastAsia="zh-CN"/>
        </w:rPr>
        <w:t>行政运行（项）</w:t>
      </w:r>
      <w:r>
        <w:rPr>
          <w:rFonts w:hint="eastAsia" w:ascii="仿宋" w:hAnsi="仿宋" w:eastAsia="仿宋" w:cs="仿宋"/>
          <w:color w:val="auto"/>
          <w:sz w:val="30"/>
          <w:szCs w:val="30"/>
        </w:rPr>
        <w:t>。</w:t>
      </w:r>
    </w:p>
    <w:p>
      <w:pPr>
        <w:pStyle w:val="10"/>
        <w:keepNext w:val="0"/>
        <w:keepLines w:val="0"/>
        <w:pageBreakBefore w:val="0"/>
        <w:kinsoku/>
        <w:wordWrap/>
        <w:overflowPunct/>
        <w:topLinePunct w:val="0"/>
        <w:bidi w:val="0"/>
        <w:snapToGrid/>
        <w:spacing w:line="600" w:lineRule="exact"/>
        <w:ind w:firstLine="600" w:firstLineChars="20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年初预算为</w:t>
      </w:r>
      <w:r>
        <w:rPr>
          <w:rFonts w:hint="eastAsia" w:ascii="仿宋" w:hAnsi="仿宋" w:eastAsia="仿宋" w:cs="仿宋"/>
          <w:color w:val="auto"/>
          <w:sz w:val="30"/>
          <w:szCs w:val="30"/>
          <w:lang w:val="en-US" w:eastAsia="zh-CN"/>
        </w:rPr>
        <w:t>999.06</w:t>
      </w:r>
      <w:r>
        <w:rPr>
          <w:rFonts w:hint="eastAsia" w:ascii="仿宋" w:hAnsi="仿宋" w:eastAsia="仿宋" w:cs="仿宋"/>
          <w:color w:val="auto"/>
          <w:sz w:val="30"/>
          <w:szCs w:val="30"/>
        </w:rPr>
        <w:t>万元，支出决算为</w:t>
      </w:r>
      <w:r>
        <w:rPr>
          <w:rFonts w:hint="eastAsia" w:ascii="仿宋" w:hAnsi="仿宋" w:eastAsia="仿宋" w:cs="仿宋"/>
          <w:color w:val="auto"/>
          <w:sz w:val="30"/>
          <w:szCs w:val="30"/>
          <w:lang w:val="en-US" w:eastAsia="zh-CN"/>
        </w:rPr>
        <w:t>1619.53</w:t>
      </w:r>
      <w:r>
        <w:rPr>
          <w:rFonts w:hint="eastAsia" w:ascii="仿宋" w:hAnsi="仿宋" w:eastAsia="仿宋" w:cs="仿宋"/>
          <w:color w:val="auto"/>
          <w:sz w:val="30"/>
          <w:szCs w:val="30"/>
        </w:rPr>
        <w:t>万元，完成年初预算的</w:t>
      </w:r>
      <w:r>
        <w:rPr>
          <w:rFonts w:hint="eastAsia" w:ascii="仿宋" w:hAnsi="仿宋" w:eastAsia="仿宋" w:cs="仿宋"/>
          <w:color w:val="auto"/>
          <w:sz w:val="30"/>
          <w:szCs w:val="30"/>
          <w:lang w:val="en-US" w:eastAsia="zh-CN"/>
        </w:rPr>
        <w:t>162.1</w:t>
      </w:r>
      <w:r>
        <w:rPr>
          <w:rFonts w:hint="eastAsia" w:ascii="仿宋" w:hAnsi="仿宋" w:eastAsia="仿宋" w:cs="仿宋"/>
          <w:color w:val="auto"/>
          <w:sz w:val="30"/>
          <w:szCs w:val="30"/>
        </w:rPr>
        <w:t>%，决算数大于年初预算数的主要原因是</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一是</w:t>
      </w:r>
      <w:r>
        <w:rPr>
          <w:rFonts w:hint="eastAsia" w:ascii="仿宋" w:hAnsi="仿宋" w:eastAsia="仿宋" w:cs="仿宋"/>
          <w:color w:val="auto"/>
          <w:sz w:val="30"/>
          <w:szCs w:val="30"/>
          <w:lang w:eastAsia="zh-CN"/>
        </w:rPr>
        <w:t>新增</w:t>
      </w:r>
      <w:r>
        <w:rPr>
          <w:rFonts w:hint="eastAsia" w:ascii="仿宋" w:hAnsi="仿宋" w:eastAsia="仿宋" w:cs="仿宋"/>
          <w:color w:val="auto"/>
          <w:sz w:val="30"/>
          <w:szCs w:val="30"/>
          <w:lang w:val="en-US" w:eastAsia="zh-CN"/>
        </w:rPr>
        <w:t>上新桥法治乡村建设以及社区矫正执法设备、行政执法设备的添置；二是将基本养老保险缴费、行政单位医疗、住房公积金支出调整到本科目核算。</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.公共安全支出</w:t>
      </w:r>
      <w:r>
        <w:rPr>
          <w:rFonts w:hint="eastAsia" w:ascii="仿宋" w:hAnsi="仿宋" w:eastAsia="仿宋" w:cs="仿宋"/>
          <w:color w:val="auto"/>
          <w:sz w:val="30"/>
          <w:szCs w:val="30"/>
        </w:rPr>
        <w:t>（类）司法（款）</w:t>
      </w:r>
      <w:r>
        <w:rPr>
          <w:rFonts w:hint="eastAsia" w:ascii="仿宋" w:hAnsi="仿宋" w:eastAsia="仿宋" w:cs="仿宋"/>
          <w:color w:val="auto"/>
          <w:sz w:val="30"/>
          <w:szCs w:val="30"/>
          <w:lang w:val="en-US" w:eastAsia="zh-CN"/>
        </w:rPr>
        <w:t>基层司法业务</w:t>
      </w:r>
      <w:r>
        <w:rPr>
          <w:rFonts w:hint="eastAsia" w:ascii="仿宋" w:hAnsi="仿宋" w:eastAsia="仿宋" w:cs="仿宋"/>
          <w:color w:val="auto"/>
          <w:sz w:val="30"/>
          <w:szCs w:val="30"/>
        </w:rPr>
        <w:t>（项）。</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年初预算为</w:t>
      </w:r>
      <w:r>
        <w:rPr>
          <w:rFonts w:hint="eastAsia" w:ascii="仿宋" w:hAnsi="仿宋" w:eastAsia="仿宋" w:cs="仿宋"/>
          <w:color w:val="auto"/>
          <w:sz w:val="30"/>
          <w:szCs w:val="30"/>
          <w:lang w:val="en-US" w:eastAsia="zh-CN"/>
        </w:rPr>
        <w:t>30</w:t>
      </w:r>
      <w:r>
        <w:rPr>
          <w:rFonts w:hint="eastAsia" w:ascii="仿宋" w:hAnsi="仿宋" w:eastAsia="仿宋" w:cs="仿宋"/>
          <w:color w:val="auto"/>
          <w:sz w:val="30"/>
          <w:szCs w:val="30"/>
        </w:rPr>
        <w:t>万元，</w:t>
      </w:r>
      <w:r>
        <w:rPr>
          <w:rFonts w:hint="eastAsia" w:ascii="仿宋" w:hAnsi="仿宋" w:eastAsia="仿宋" w:cs="仿宋"/>
          <w:color w:val="auto"/>
          <w:sz w:val="30"/>
          <w:szCs w:val="30"/>
        </w:rPr>
        <w:t>支出决算为</w:t>
      </w:r>
      <w:r>
        <w:rPr>
          <w:rFonts w:hint="eastAsia" w:ascii="仿宋" w:hAnsi="仿宋" w:eastAsia="仿宋" w:cs="仿宋"/>
          <w:color w:val="auto"/>
          <w:sz w:val="30"/>
          <w:szCs w:val="30"/>
          <w:lang w:val="en-US" w:eastAsia="zh-CN"/>
        </w:rPr>
        <w:t>46.93</w:t>
      </w:r>
      <w:r>
        <w:rPr>
          <w:rFonts w:hint="eastAsia" w:ascii="仿宋" w:hAnsi="仿宋" w:eastAsia="仿宋" w:cs="仿宋"/>
          <w:color w:val="auto"/>
          <w:sz w:val="30"/>
          <w:szCs w:val="30"/>
        </w:rPr>
        <w:t>万元，完成年初预算的</w:t>
      </w:r>
      <w:r>
        <w:rPr>
          <w:rFonts w:hint="eastAsia" w:ascii="仿宋" w:hAnsi="仿宋" w:eastAsia="仿宋" w:cs="仿宋"/>
          <w:color w:val="auto"/>
          <w:sz w:val="30"/>
          <w:szCs w:val="30"/>
          <w:lang w:val="en-US" w:eastAsia="zh-CN"/>
        </w:rPr>
        <w:t>0.5</w:t>
      </w:r>
      <w:r>
        <w:rPr>
          <w:rFonts w:hint="eastAsia" w:ascii="仿宋" w:hAnsi="仿宋" w:eastAsia="仿宋" w:cs="仿宋"/>
          <w:color w:val="auto"/>
          <w:sz w:val="30"/>
          <w:szCs w:val="30"/>
        </w:rPr>
        <w:t>%，决算数</w:t>
      </w:r>
      <w:r>
        <w:rPr>
          <w:rFonts w:hint="eastAsia" w:ascii="仿宋" w:hAnsi="仿宋" w:eastAsia="仿宋" w:cs="仿宋"/>
          <w:color w:val="auto"/>
          <w:sz w:val="30"/>
          <w:szCs w:val="30"/>
          <w:lang w:eastAsia="zh-CN"/>
        </w:rPr>
        <w:t>大</w:t>
      </w:r>
      <w:r>
        <w:rPr>
          <w:rFonts w:hint="eastAsia" w:ascii="仿宋" w:hAnsi="仿宋" w:eastAsia="仿宋" w:cs="仿宋"/>
          <w:color w:val="auto"/>
          <w:sz w:val="30"/>
          <w:szCs w:val="30"/>
        </w:rPr>
        <w:t>于年初预算数的主要原因是</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需要调解的冲突、案件比上年有明显增多，同时加大了对基层司法所枫桥式司法所创建的力度。</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3.公共安全支出</w:t>
      </w:r>
      <w:r>
        <w:rPr>
          <w:rFonts w:hint="eastAsia" w:ascii="仿宋" w:hAnsi="仿宋" w:eastAsia="仿宋" w:cs="仿宋"/>
          <w:color w:val="auto"/>
          <w:sz w:val="30"/>
          <w:szCs w:val="30"/>
        </w:rPr>
        <w:t>（类）司法（款）</w:t>
      </w:r>
      <w:r>
        <w:rPr>
          <w:rFonts w:hint="eastAsia" w:ascii="仿宋" w:hAnsi="仿宋" w:eastAsia="仿宋" w:cs="仿宋"/>
          <w:color w:val="auto"/>
          <w:sz w:val="30"/>
          <w:szCs w:val="30"/>
          <w:lang w:val="en-US" w:eastAsia="zh-CN"/>
        </w:rPr>
        <w:t>普法宣传</w:t>
      </w:r>
      <w:r>
        <w:rPr>
          <w:rFonts w:hint="eastAsia" w:ascii="仿宋" w:hAnsi="仿宋" w:eastAsia="仿宋" w:cs="仿宋"/>
          <w:color w:val="auto"/>
          <w:sz w:val="30"/>
          <w:szCs w:val="30"/>
        </w:rPr>
        <w:t>（项）。</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年初预算为</w:t>
      </w: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rPr>
        <w:t>万元</w:t>
      </w:r>
      <w:r>
        <w:rPr>
          <w:rFonts w:hint="eastAsia" w:ascii="仿宋" w:hAnsi="仿宋" w:eastAsia="仿宋" w:cs="仿宋"/>
          <w:color w:val="FF0000"/>
          <w:sz w:val="30"/>
          <w:szCs w:val="30"/>
        </w:rPr>
        <w:t>，</w:t>
      </w:r>
      <w:r>
        <w:rPr>
          <w:rFonts w:hint="eastAsia" w:ascii="仿宋" w:hAnsi="仿宋" w:eastAsia="仿宋" w:cs="仿宋"/>
          <w:color w:val="auto"/>
          <w:sz w:val="30"/>
          <w:szCs w:val="30"/>
        </w:rPr>
        <w:t>支出决算为</w:t>
      </w:r>
      <w:r>
        <w:rPr>
          <w:rFonts w:hint="eastAsia" w:ascii="仿宋" w:hAnsi="仿宋" w:eastAsia="仿宋" w:cs="仿宋"/>
          <w:color w:val="auto"/>
          <w:sz w:val="30"/>
          <w:szCs w:val="30"/>
          <w:lang w:val="en-US" w:eastAsia="zh-CN"/>
        </w:rPr>
        <w:t>24.07</w:t>
      </w:r>
      <w:r>
        <w:rPr>
          <w:rFonts w:hint="eastAsia" w:ascii="仿宋" w:hAnsi="仿宋" w:eastAsia="仿宋" w:cs="仿宋"/>
          <w:color w:val="auto"/>
          <w:sz w:val="30"/>
          <w:szCs w:val="30"/>
        </w:rPr>
        <w:t>万元，决算数大于年初预算数的主要原因是</w:t>
      </w:r>
      <w:r>
        <w:rPr>
          <w:rFonts w:hint="eastAsia" w:ascii="仿宋" w:hAnsi="仿宋" w:eastAsia="仿宋" w:cs="仿宋"/>
          <w:color w:val="auto"/>
          <w:sz w:val="30"/>
          <w:szCs w:val="30"/>
          <w:lang w:val="en-US" w:eastAsia="zh-CN"/>
        </w:rPr>
        <w:t>往年宣传用品告罄，今年新增宣传用品印刷，如：手册、纸杯等。</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5.公共安全支出</w:t>
      </w:r>
      <w:r>
        <w:rPr>
          <w:rFonts w:hint="eastAsia" w:ascii="仿宋" w:hAnsi="仿宋" w:eastAsia="仿宋" w:cs="仿宋"/>
          <w:color w:val="auto"/>
          <w:sz w:val="30"/>
          <w:szCs w:val="30"/>
        </w:rPr>
        <w:t>（类）司法（款）</w:t>
      </w:r>
      <w:r>
        <w:rPr>
          <w:rFonts w:hint="eastAsia" w:ascii="仿宋" w:hAnsi="仿宋" w:eastAsia="仿宋" w:cs="仿宋"/>
          <w:color w:val="auto"/>
          <w:sz w:val="30"/>
          <w:szCs w:val="30"/>
          <w:lang w:val="en-US" w:eastAsia="zh-CN"/>
        </w:rPr>
        <w:t>公共法律服务</w:t>
      </w:r>
      <w:r>
        <w:rPr>
          <w:rFonts w:hint="eastAsia" w:ascii="仿宋" w:hAnsi="仿宋" w:eastAsia="仿宋" w:cs="仿宋"/>
          <w:color w:val="auto"/>
          <w:sz w:val="30"/>
          <w:szCs w:val="30"/>
        </w:rPr>
        <w:t>（项）。</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年初预算为</w:t>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万元，</w:t>
      </w:r>
      <w:r>
        <w:rPr>
          <w:rFonts w:hint="eastAsia" w:ascii="仿宋" w:hAnsi="仿宋" w:eastAsia="仿宋" w:cs="仿宋"/>
          <w:color w:val="auto"/>
          <w:sz w:val="30"/>
          <w:szCs w:val="30"/>
        </w:rPr>
        <w:t>支出决算为</w:t>
      </w:r>
      <w:r>
        <w:rPr>
          <w:rFonts w:hint="eastAsia" w:ascii="仿宋" w:hAnsi="仿宋" w:eastAsia="仿宋" w:cs="仿宋"/>
          <w:color w:val="auto"/>
          <w:sz w:val="30"/>
          <w:szCs w:val="30"/>
          <w:lang w:val="en-US" w:eastAsia="zh-CN"/>
        </w:rPr>
        <w:t>29.66</w:t>
      </w:r>
      <w:r>
        <w:rPr>
          <w:rFonts w:hint="eastAsia" w:ascii="仿宋" w:hAnsi="仿宋" w:eastAsia="仿宋" w:cs="仿宋"/>
          <w:color w:val="auto"/>
          <w:sz w:val="30"/>
          <w:szCs w:val="30"/>
        </w:rPr>
        <w:t>万元，决算数大于年初预算数的主要原因是</w:t>
      </w:r>
      <w:r>
        <w:rPr>
          <w:rFonts w:hint="eastAsia" w:ascii="仿宋" w:hAnsi="仿宋" w:eastAsia="仿宋" w:cs="仿宋"/>
          <w:color w:val="auto"/>
          <w:sz w:val="30"/>
          <w:szCs w:val="30"/>
          <w:lang w:val="en-US" w:eastAsia="zh-CN"/>
        </w:rPr>
        <w:t>公共法律援助案件增多。</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6.公共安全支出</w:t>
      </w:r>
      <w:r>
        <w:rPr>
          <w:rFonts w:hint="eastAsia" w:ascii="仿宋" w:hAnsi="仿宋" w:eastAsia="仿宋" w:cs="仿宋"/>
          <w:color w:val="auto"/>
          <w:sz w:val="30"/>
          <w:szCs w:val="30"/>
        </w:rPr>
        <w:t>（类）司法（款）</w:t>
      </w:r>
      <w:r>
        <w:rPr>
          <w:rFonts w:hint="eastAsia" w:ascii="仿宋" w:hAnsi="仿宋" w:eastAsia="仿宋" w:cs="仿宋"/>
          <w:color w:val="auto"/>
          <w:sz w:val="30"/>
          <w:szCs w:val="30"/>
          <w:lang w:val="en-US" w:eastAsia="zh-CN"/>
        </w:rPr>
        <w:t>社区矫正</w:t>
      </w:r>
      <w:r>
        <w:rPr>
          <w:rFonts w:hint="eastAsia" w:ascii="仿宋" w:hAnsi="仿宋" w:eastAsia="仿宋" w:cs="仿宋"/>
          <w:color w:val="auto"/>
          <w:sz w:val="30"/>
          <w:szCs w:val="30"/>
        </w:rPr>
        <w:t>（项）。</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年初预算为</w:t>
      </w:r>
      <w:r>
        <w:rPr>
          <w:rFonts w:hint="eastAsia" w:ascii="仿宋" w:hAnsi="仿宋" w:eastAsia="仿宋" w:cs="仿宋"/>
          <w:color w:val="auto"/>
          <w:sz w:val="30"/>
          <w:szCs w:val="30"/>
          <w:lang w:val="en-US" w:eastAsia="zh-CN"/>
        </w:rPr>
        <w:t>73</w:t>
      </w:r>
      <w:r>
        <w:rPr>
          <w:rFonts w:hint="eastAsia" w:ascii="仿宋" w:hAnsi="仿宋" w:eastAsia="仿宋" w:cs="仿宋"/>
          <w:color w:val="auto"/>
          <w:sz w:val="30"/>
          <w:szCs w:val="30"/>
        </w:rPr>
        <w:t>万元，支出决算为</w:t>
      </w:r>
      <w:r>
        <w:rPr>
          <w:rFonts w:hint="eastAsia" w:ascii="仿宋" w:hAnsi="仿宋" w:eastAsia="仿宋" w:cs="仿宋"/>
          <w:color w:val="auto"/>
          <w:sz w:val="30"/>
          <w:szCs w:val="30"/>
          <w:lang w:val="en-US" w:eastAsia="zh-CN"/>
        </w:rPr>
        <w:t>73.05</w:t>
      </w:r>
      <w:r>
        <w:rPr>
          <w:rFonts w:hint="eastAsia" w:ascii="仿宋" w:hAnsi="仿宋" w:eastAsia="仿宋" w:cs="仿宋"/>
          <w:color w:val="auto"/>
          <w:sz w:val="30"/>
          <w:szCs w:val="30"/>
        </w:rPr>
        <w:t>万元，决算数</w:t>
      </w:r>
      <w:r>
        <w:rPr>
          <w:rFonts w:hint="eastAsia" w:ascii="仿宋" w:hAnsi="仿宋" w:eastAsia="仿宋" w:cs="仿宋"/>
          <w:color w:val="auto"/>
          <w:sz w:val="30"/>
          <w:szCs w:val="30"/>
          <w:lang w:eastAsia="zh-CN"/>
        </w:rPr>
        <w:t>大</w:t>
      </w:r>
      <w:r>
        <w:rPr>
          <w:rFonts w:hint="eastAsia" w:ascii="仿宋" w:hAnsi="仿宋" w:eastAsia="仿宋" w:cs="仿宋"/>
          <w:color w:val="auto"/>
          <w:sz w:val="30"/>
          <w:szCs w:val="30"/>
        </w:rPr>
        <w:t>于年初预算数的主要原因是</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司法所社区矫正社会调查评估工作要求加强，倾向于司法所的社区矫正费用增加，同时加大了对《社区矫正法》的宣传，印制了宣传册。</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7.公共安全支出</w:t>
      </w:r>
      <w:r>
        <w:rPr>
          <w:rFonts w:hint="eastAsia" w:ascii="仿宋" w:hAnsi="仿宋" w:eastAsia="仿宋" w:cs="仿宋"/>
          <w:color w:val="auto"/>
          <w:sz w:val="30"/>
          <w:szCs w:val="30"/>
        </w:rPr>
        <w:t>（类）司法（款）</w:t>
      </w:r>
      <w:r>
        <w:rPr>
          <w:rFonts w:hint="eastAsia" w:ascii="仿宋" w:hAnsi="仿宋" w:eastAsia="仿宋" w:cs="仿宋"/>
          <w:color w:val="auto"/>
          <w:sz w:val="30"/>
          <w:szCs w:val="30"/>
          <w:lang w:val="en-US" w:eastAsia="zh-CN"/>
        </w:rPr>
        <w:t>法治建设</w:t>
      </w:r>
      <w:r>
        <w:rPr>
          <w:rFonts w:hint="eastAsia" w:ascii="仿宋" w:hAnsi="仿宋" w:eastAsia="仿宋" w:cs="仿宋"/>
          <w:color w:val="auto"/>
          <w:sz w:val="30"/>
          <w:szCs w:val="30"/>
        </w:rPr>
        <w:t>（项）。</w:t>
      </w:r>
    </w:p>
    <w:p>
      <w:pPr>
        <w:pStyle w:val="10"/>
        <w:keepNext w:val="0"/>
        <w:keepLines w:val="0"/>
        <w:pageBreakBefore w:val="0"/>
        <w:kinsoku/>
        <w:wordWrap/>
        <w:overflowPunct/>
        <w:topLinePunct w:val="0"/>
        <w:bidi w:val="0"/>
        <w:snapToGrid/>
        <w:spacing w:line="600" w:lineRule="exact"/>
        <w:ind w:firstLine="600" w:firstLineChars="200"/>
        <w:textAlignment w:val="auto"/>
        <w:rPr>
          <w:color w:val="auto"/>
        </w:rPr>
      </w:pPr>
      <w:r>
        <w:rPr>
          <w:rFonts w:hint="eastAsia" w:ascii="仿宋" w:hAnsi="仿宋" w:eastAsia="仿宋" w:cs="仿宋"/>
          <w:color w:val="auto"/>
          <w:sz w:val="30"/>
          <w:szCs w:val="30"/>
        </w:rPr>
        <w:t>年初预算为</w:t>
      </w: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rPr>
        <w:t>万元，</w:t>
      </w:r>
      <w:r>
        <w:rPr>
          <w:rFonts w:hint="eastAsia" w:ascii="仿宋" w:hAnsi="仿宋" w:eastAsia="仿宋" w:cs="仿宋"/>
          <w:color w:val="auto"/>
          <w:sz w:val="30"/>
          <w:szCs w:val="30"/>
        </w:rPr>
        <w:t>支出决算为</w:t>
      </w:r>
      <w:r>
        <w:rPr>
          <w:rFonts w:hint="eastAsia" w:ascii="仿宋" w:hAnsi="仿宋" w:eastAsia="仿宋" w:cs="仿宋"/>
          <w:color w:val="auto"/>
          <w:sz w:val="30"/>
          <w:szCs w:val="30"/>
          <w:lang w:val="en-US" w:eastAsia="zh-CN"/>
        </w:rPr>
        <w:t>13.29</w:t>
      </w:r>
      <w:r>
        <w:rPr>
          <w:rFonts w:hint="eastAsia" w:ascii="仿宋" w:hAnsi="仿宋" w:eastAsia="仿宋" w:cs="仿宋"/>
          <w:color w:val="auto"/>
          <w:sz w:val="30"/>
          <w:szCs w:val="30"/>
        </w:rPr>
        <w:t>万元，决算数</w:t>
      </w:r>
      <w:r>
        <w:rPr>
          <w:rFonts w:hint="eastAsia" w:ascii="仿宋" w:hAnsi="仿宋" w:eastAsia="仿宋" w:cs="仿宋"/>
          <w:color w:val="auto"/>
          <w:sz w:val="30"/>
          <w:szCs w:val="30"/>
          <w:lang w:eastAsia="zh-CN"/>
        </w:rPr>
        <w:t>大</w:t>
      </w:r>
      <w:r>
        <w:rPr>
          <w:rFonts w:hint="eastAsia" w:ascii="仿宋" w:hAnsi="仿宋" w:eastAsia="仿宋" w:cs="仿宋"/>
          <w:color w:val="auto"/>
          <w:sz w:val="30"/>
          <w:szCs w:val="30"/>
        </w:rPr>
        <w:t>于年初预算数的主要原因是</w:t>
      </w:r>
      <w:r>
        <w:rPr>
          <w:rFonts w:hint="eastAsia" w:ascii="仿宋" w:hAnsi="仿宋" w:eastAsia="仿宋" w:cs="仿宋"/>
          <w:color w:val="auto"/>
          <w:sz w:val="30"/>
          <w:szCs w:val="30"/>
          <w:lang w:eastAsia="zh-CN"/>
        </w:rPr>
        <w:t>新增“</w:t>
      </w:r>
      <w:r>
        <w:rPr>
          <w:rFonts w:hint="eastAsia" w:ascii="仿宋" w:hAnsi="仿宋" w:eastAsia="仿宋" w:cs="仿宋"/>
          <w:color w:val="auto"/>
          <w:sz w:val="30"/>
          <w:szCs w:val="30"/>
          <w:lang w:val="en-US" w:eastAsia="zh-CN"/>
        </w:rPr>
        <w:t>智慧矫正</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系统建设。</w:t>
      </w:r>
    </w:p>
    <w:p>
      <w:pPr>
        <w:pStyle w:val="10"/>
        <w:keepNext w:val="0"/>
        <w:keepLines w:val="0"/>
        <w:pageBreakBefore w:val="0"/>
        <w:kinsoku/>
        <w:wordWrap/>
        <w:overflowPunct/>
        <w:topLinePunct w:val="0"/>
        <w:bidi w:val="0"/>
        <w:snapToGrid/>
        <w:spacing w:line="600" w:lineRule="exact"/>
        <w:textAlignment w:val="auto"/>
        <w:rPr>
          <w:rFonts w:hint="default" w:ascii="仿宋" w:hAnsi="仿宋" w:eastAsia="仿宋" w:cs="仿宋"/>
          <w:color w:val="auto"/>
          <w:sz w:val="30"/>
          <w:szCs w:val="30"/>
          <w:lang w:val="en-US" w:eastAsia="zh-CN"/>
        </w:rPr>
      </w:pPr>
      <w:r>
        <w:rPr>
          <w:rFonts w:hint="eastAsia"/>
          <w:color w:val="auto"/>
          <w:lang w:val="en-US" w:eastAsia="zh-CN"/>
        </w:rPr>
        <w:t xml:space="preserve">  </w:t>
      </w:r>
      <w:r>
        <w:rPr>
          <w:rFonts w:hint="eastAsia" w:ascii="仿宋" w:hAnsi="仿宋" w:eastAsia="仿宋" w:cs="仿宋"/>
          <w:color w:val="auto"/>
          <w:sz w:val="30"/>
          <w:szCs w:val="30"/>
          <w:lang w:val="en-US" w:eastAsia="zh-CN"/>
        </w:rPr>
        <w:t xml:space="preserve">   8.社会保障和就业支出（类）</w:t>
      </w:r>
    </w:p>
    <w:p>
      <w:pPr>
        <w:pStyle w:val="10"/>
        <w:keepNext w:val="0"/>
        <w:keepLines w:val="0"/>
        <w:pageBreakBefore w:val="0"/>
        <w:kinsoku/>
        <w:wordWrap/>
        <w:overflowPunct/>
        <w:topLinePunct w:val="0"/>
        <w:bidi w:val="0"/>
        <w:snapToGrid/>
        <w:spacing w:line="600" w:lineRule="exact"/>
        <w:ind w:firstLine="600" w:firstLineChars="200"/>
        <w:textAlignment w:val="auto"/>
        <w:rPr>
          <w:rFonts w:hint="default" w:ascii="黑体" w:hAnsi="黑体" w:eastAsia="仿宋" w:cs="黑体"/>
          <w:b w:val="0"/>
          <w:bCs/>
          <w:color w:val="auto"/>
          <w:sz w:val="30"/>
          <w:szCs w:val="30"/>
          <w:lang w:val="en-US" w:eastAsia="zh-CN"/>
        </w:rPr>
      </w:pPr>
      <w:r>
        <w:rPr>
          <w:rFonts w:hint="eastAsia" w:ascii="仿宋" w:hAnsi="仿宋" w:eastAsia="仿宋" w:cs="仿宋"/>
          <w:color w:val="auto"/>
          <w:sz w:val="30"/>
          <w:szCs w:val="30"/>
        </w:rPr>
        <w:t>年初预算为</w:t>
      </w:r>
      <w:r>
        <w:rPr>
          <w:rFonts w:hint="eastAsia" w:ascii="仿宋" w:hAnsi="仿宋" w:eastAsia="仿宋" w:cs="仿宋"/>
          <w:color w:val="auto"/>
          <w:sz w:val="30"/>
          <w:szCs w:val="30"/>
          <w:lang w:val="en-US" w:eastAsia="zh-CN"/>
        </w:rPr>
        <w:t>76.32</w:t>
      </w:r>
      <w:r>
        <w:rPr>
          <w:rFonts w:hint="eastAsia" w:ascii="仿宋" w:hAnsi="仿宋" w:eastAsia="仿宋" w:cs="仿宋"/>
          <w:color w:val="auto"/>
          <w:sz w:val="30"/>
          <w:szCs w:val="30"/>
        </w:rPr>
        <w:t>万元，</w:t>
      </w:r>
      <w:r>
        <w:rPr>
          <w:rFonts w:hint="eastAsia" w:ascii="仿宋" w:hAnsi="仿宋" w:eastAsia="仿宋" w:cs="仿宋"/>
          <w:color w:val="auto"/>
          <w:sz w:val="30"/>
          <w:szCs w:val="30"/>
        </w:rPr>
        <w:t>支出决算为</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万元，决算数</w:t>
      </w:r>
      <w:r>
        <w:rPr>
          <w:rFonts w:hint="eastAsia" w:ascii="仿宋" w:hAnsi="仿宋" w:eastAsia="仿宋" w:cs="仿宋"/>
          <w:color w:val="auto"/>
          <w:sz w:val="30"/>
          <w:szCs w:val="30"/>
          <w:lang w:eastAsia="zh-CN"/>
        </w:rPr>
        <w:t>小</w:t>
      </w:r>
      <w:r>
        <w:rPr>
          <w:rFonts w:hint="eastAsia" w:ascii="仿宋" w:hAnsi="仿宋" w:eastAsia="仿宋" w:cs="仿宋"/>
          <w:color w:val="auto"/>
          <w:sz w:val="30"/>
          <w:szCs w:val="30"/>
        </w:rPr>
        <w:t>于年初预算数的主要原因</w:t>
      </w:r>
      <w:r>
        <w:rPr>
          <w:rFonts w:hint="eastAsia" w:ascii="仿宋" w:hAnsi="仿宋" w:eastAsia="仿宋" w:cs="仿宋"/>
          <w:color w:val="auto"/>
          <w:sz w:val="30"/>
          <w:szCs w:val="30"/>
          <w:lang w:eastAsia="zh-CN"/>
        </w:rPr>
        <w:t>是</w:t>
      </w:r>
      <w:r>
        <w:rPr>
          <w:rFonts w:hint="eastAsia" w:ascii="仿宋" w:hAnsi="仿宋" w:eastAsia="仿宋" w:cs="仿宋"/>
          <w:color w:val="auto"/>
          <w:sz w:val="30"/>
          <w:szCs w:val="30"/>
          <w:lang w:val="en-US" w:eastAsia="zh-CN"/>
        </w:rPr>
        <w:t>：决算调整到“公共安全支出</w:t>
      </w:r>
      <w:r>
        <w:rPr>
          <w:rFonts w:hint="eastAsia" w:ascii="仿宋" w:hAnsi="仿宋" w:eastAsia="仿宋" w:cs="仿宋"/>
          <w:color w:val="auto"/>
          <w:sz w:val="30"/>
          <w:szCs w:val="30"/>
        </w:rPr>
        <w:t>（类）司法（款）</w:t>
      </w:r>
      <w:r>
        <w:rPr>
          <w:rFonts w:hint="eastAsia" w:ascii="仿宋" w:hAnsi="仿宋" w:eastAsia="仿宋" w:cs="仿宋"/>
          <w:color w:val="auto"/>
          <w:sz w:val="30"/>
          <w:szCs w:val="30"/>
          <w:lang w:val="en-US" w:eastAsia="zh-CN"/>
        </w:rPr>
        <w:t>行政运行（项）”支出。</w:t>
      </w:r>
    </w:p>
    <w:p>
      <w:pPr>
        <w:pStyle w:val="10"/>
        <w:keepNext w:val="0"/>
        <w:keepLines w:val="0"/>
        <w:pageBreakBefore w:val="0"/>
        <w:kinsoku/>
        <w:wordWrap/>
        <w:overflowPunct/>
        <w:topLinePunct w:val="0"/>
        <w:bidi w:val="0"/>
        <w:snapToGrid/>
        <w:spacing w:line="600" w:lineRule="exac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9.卫生健康支出（类）行政事业单位医疗（款）行政单位医疗（项）</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黑体" w:hAnsi="黑体" w:eastAsia="仿宋" w:cs="黑体"/>
          <w:b w:val="0"/>
          <w:bCs/>
          <w:color w:val="auto"/>
          <w:sz w:val="30"/>
          <w:szCs w:val="30"/>
          <w:lang w:val="en-US" w:eastAsia="zh-CN"/>
        </w:rPr>
      </w:pPr>
      <w:r>
        <w:rPr>
          <w:rFonts w:hint="eastAsia" w:ascii="仿宋" w:hAnsi="仿宋" w:eastAsia="仿宋" w:cs="仿宋"/>
          <w:color w:val="auto"/>
          <w:sz w:val="30"/>
          <w:szCs w:val="30"/>
        </w:rPr>
        <w:t>年初预算为</w:t>
      </w:r>
      <w:r>
        <w:rPr>
          <w:rFonts w:hint="eastAsia" w:ascii="仿宋" w:hAnsi="仿宋" w:eastAsia="仿宋" w:cs="仿宋"/>
          <w:color w:val="auto"/>
          <w:sz w:val="30"/>
          <w:szCs w:val="30"/>
          <w:lang w:val="en-US" w:eastAsia="zh-CN"/>
        </w:rPr>
        <w:t>53.72</w:t>
      </w:r>
      <w:r>
        <w:rPr>
          <w:rFonts w:hint="eastAsia" w:ascii="仿宋" w:hAnsi="仿宋" w:eastAsia="仿宋" w:cs="仿宋"/>
          <w:color w:val="auto"/>
          <w:sz w:val="30"/>
          <w:szCs w:val="30"/>
        </w:rPr>
        <w:t>万元，</w:t>
      </w:r>
      <w:r>
        <w:rPr>
          <w:rFonts w:hint="eastAsia" w:ascii="仿宋" w:hAnsi="仿宋" w:eastAsia="仿宋" w:cs="仿宋"/>
          <w:color w:val="auto"/>
          <w:sz w:val="30"/>
          <w:szCs w:val="30"/>
        </w:rPr>
        <w:t>支出决算为</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万元，决算数</w:t>
      </w:r>
      <w:r>
        <w:rPr>
          <w:rFonts w:hint="eastAsia" w:ascii="仿宋" w:hAnsi="仿宋" w:eastAsia="仿宋" w:cs="仿宋"/>
          <w:color w:val="auto"/>
          <w:sz w:val="30"/>
          <w:szCs w:val="30"/>
          <w:lang w:eastAsia="zh-CN"/>
        </w:rPr>
        <w:t>小</w:t>
      </w:r>
      <w:r>
        <w:rPr>
          <w:rFonts w:hint="eastAsia" w:ascii="仿宋" w:hAnsi="仿宋" w:eastAsia="仿宋" w:cs="仿宋"/>
          <w:color w:val="auto"/>
          <w:sz w:val="30"/>
          <w:szCs w:val="30"/>
        </w:rPr>
        <w:t>于年初预算数的主要原因</w:t>
      </w:r>
      <w:r>
        <w:rPr>
          <w:rFonts w:hint="eastAsia" w:ascii="仿宋" w:hAnsi="仿宋" w:eastAsia="仿宋" w:cs="仿宋"/>
          <w:color w:val="auto"/>
          <w:sz w:val="30"/>
          <w:szCs w:val="30"/>
          <w:lang w:eastAsia="zh-CN"/>
        </w:rPr>
        <w:t>是</w:t>
      </w:r>
      <w:r>
        <w:rPr>
          <w:rFonts w:hint="eastAsia" w:ascii="仿宋" w:hAnsi="仿宋" w:eastAsia="仿宋" w:cs="仿宋"/>
          <w:color w:val="auto"/>
          <w:sz w:val="30"/>
          <w:szCs w:val="30"/>
          <w:lang w:val="en-US" w:eastAsia="zh-CN"/>
        </w:rPr>
        <w:t>：决算调整到“公共安全支出</w:t>
      </w:r>
      <w:r>
        <w:rPr>
          <w:rFonts w:hint="eastAsia" w:ascii="仿宋" w:hAnsi="仿宋" w:eastAsia="仿宋" w:cs="仿宋"/>
          <w:color w:val="auto"/>
          <w:sz w:val="30"/>
          <w:szCs w:val="30"/>
        </w:rPr>
        <w:t>（类）司法（款）</w:t>
      </w:r>
      <w:r>
        <w:rPr>
          <w:rFonts w:hint="eastAsia" w:ascii="仿宋" w:hAnsi="仿宋" w:eastAsia="仿宋" w:cs="仿宋"/>
          <w:color w:val="auto"/>
          <w:sz w:val="30"/>
          <w:szCs w:val="30"/>
          <w:lang w:val="en-US" w:eastAsia="zh-CN"/>
        </w:rPr>
        <w:t>行政运行（项）”支出。</w:t>
      </w:r>
      <w:bookmarkStart w:id="0" w:name="_GoBack"/>
      <w:bookmarkEnd w:id="0"/>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i/>
          <w:color w:val="auto"/>
          <w:sz w:val="30"/>
          <w:szCs w:val="30"/>
        </w:rPr>
      </w:pP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年度财政拨款基本支出</w:t>
      </w:r>
      <w:r>
        <w:rPr>
          <w:rFonts w:hint="eastAsia" w:ascii="仿宋" w:hAnsi="仿宋" w:eastAsia="仿宋" w:cs="仿宋"/>
          <w:color w:val="auto"/>
          <w:sz w:val="30"/>
          <w:szCs w:val="30"/>
          <w:lang w:val="en-US" w:eastAsia="zh-CN"/>
        </w:rPr>
        <w:t>1432.53</w:t>
      </w:r>
      <w:r>
        <w:rPr>
          <w:rFonts w:hint="eastAsia" w:ascii="仿宋" w:hAnsi="仿宋" w:eastAsia="仿宋" w:cs="仿宋"/>
          <w:color w:val="auto"/>
          <w:sz w:val="30"/>
          <w:szCs w:val="30"/>
        </w:rPr>
        <w:t>万元，其中：</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人员经费</w:t>
      </w:r>
      <w:r>
        <w:rPr>
          <w:rFonts w:hint="eastAsia" w:ascii="仿宋" w:hAnsi="仿宋" w:eastAsia="仿宋" w:cs="仿宋"/>
          <w:color w:val="auto"/>
          <w:sz w:val="30"/>
          <w:szCs w:val="30"/>
          <w:lang w:val="en-US" w:eastAsia="zh-CN"/>
        </w:rPr>
        <w:t>1157.71</w:t>
      </w:r>
      <w:r>
        <w:rPr>
          <w:rFonts w:hint="eastAsia" w:ascii="仿宋" w:hAnsi="仿宋" w:eastAsia="仿宋" w:cs="仿宋"/>
          <w:color w:val="auto"/>
          <w:sz w:val="30"/>
          <w:szCs w:val="30"/>
        </w:rPr>
        <w:t>万元，占基本支出的</w:t>
      </w:r>
      <w:r>
        <w:rPr>
          <w:rFonts w:hint="eastAsia" w:ascii="仿宋" w:hAnsi="仿宋" w:eastAsia="仿宋" w:cs="仿宋"/>
          <w:color w:val="auto"/>
          <w:sz w:val="30"/>
          <w:szCs w:val="30"/>
          <w:lang w:val="en-US" w:eastAsia="zh-CN"/>
        </w:rPr>
        <w:t>80.81</w:t>
      </w:r>
      <w:r>
        <w:rPr>
          <w:rFonts w:hint="eastAsia" w:ascii="仿宋" w:hAnsi="仿宋" w:eastAsia="仿宋" w:cs="仿宋"/>
          <w:color w:val="auto"/>
          <w:sz w:val="30"/>
          <w:szCs w:val="30"/>
        </w:rPr>
        <w:t>%,主要包括基本工资、津贴补贴、奖金、伙食补助费</w:t>
      </w:r>
      <w:r>
        <w:rPr>
          <w:rFonts w:hint="eastAsia" w:ascii="仿宋" w:hAnsi="仿宋" w:eastAsia="仿宋" w:cs="仿宋"/>
          <w:color w:val="auto"/>
          <w:sz w:val="30"/>
          <w:szCs w:val="30"/>
          <w:lang w:val="en-US" w:eastAsia="zh-CN"/>
        </w:rPr>
        <w:t>等</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公用经费</w:t>
      </w:r>
      <w:r>
        <w:rPr>
          <w:rFonts w:hint="eastAsia" w:ascii="仿宋" w:hAnsi="仿宋" w:eastAsia="仿宋" w:cs="仿宋"/>
          <w:color w:val="auto"/>
          <w:sz w:val="30"/>
          <w:szCs w:val="30"/>
          <w:lang w:val="en-US" w:eastAsia="zh-CN"/>
        </w:rPr>
        <w:t>274.82</w:t>
      </w:r>
      <w:r>
        <w:rPr>
          <w:rFonts w:hint="eastAsia" w:ascii="仿宋" w:hAnsi="仿宋" w:eastAsia="仿宋" w:cs="仿宋"/>
          <w:color w:val="auto"/>
          <w:sz w:val="30"/>
          <w:szCs w:val="30"/>
        </w:rPr>
        <w:t>万元，占基本支出的</w:t>
      </w:r>
      <w:r>
        <w:rPr>
          <w:rFonts w:hint="eastAsia" w:ascii="仿宋" w:hAnsi="仿宋" w:eastAsia="仿宋" w:cs="仿宋"/>
          <w:color w:val="auto"/>
          <w:sz w:val="30"/>
          <w:szCs w:val="30"/>
          <w:lang w:val="en-US" w:eastAsia="zh-CN"/>
        </w:rPr>
        <w:t>19.19</w:t>
      </w:r>
      <w:r>
        <w:rPr>
          <w:rFonts w:hint="eastAsia" w:ascii="仿宋" w:hAnsi="仿宋" w:eastAsia="仿宋" w:cs="仿宋"/>
          <w:color w:val="auto"/>
          <w:sz w:val="30"/>
          <w:szCs w:val="30"/>
        </w:rPr>
        <w:t>%，主要包括办公费、印刷费、咨询费、手续费</w:t>
      </w:r>
      <w:r>
        <w:rPr>
          <w:rFonts w:hint="eastAsia" w:ascii="仿宋" w:hAnsi="仿宋" w:eastAsia="仿宋" w:cs="仿宋"/>
          <w:color w:val="auto"/>
          <w:sz w:val="30"/>
          <w:szCs w:val="30"/>
          <w:lang w:val="en-US" w:eastAsia="zh-CN"/>
        </w:rPr>
        <w:t>等</w:t>
      </w:r>
      <w:r>
        <w:rPr>
          <w:rFonts w:hint="eastAsia" w:ascii="仿宋" w:hAnsi="仿宋" w:eastAsia="仿宋" w:cs="仿宋"/>
          <w:color w:val="auto"/>
          <w:sz w:val="30"/>
          <w:szCs w:val="30"/>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b/>
          <w:color w:val="auto"/>
          <w:sz w:val="30"/>
          <w:szCs w:val="30"/>
        </w:rPr>
      </w:pPr>
      <w:r>
        <w:rPr>
          <w:rFonts w:hint="eastAsia" w:ascii="仿宋" w:hAnsi="仿宋" w:eastAsia="仿宋" w:cs="仿宋"/>
          <w:b/>
          <w:color w:val="auto"/>
          <w:sz w:val="30"/>
          <w:szCs w:val="30"/>
        </w:rPr>
        <w:t>（一）“三公”经费财政拨款支出决算总体情况说明</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年度“三公”经费财政拨款支出预算为</w:t>
      </w: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rPr>
        <w:t>万元，支出决算为</w:t>
      </w:r>
      <w:r>
        <w:rPr>
          <w:rFonts w:hint="eastAsia" w:ascii="仿宋" w:hAnsi="仿宋" w:eastAsia="仿宋" w:cs="仿宋"/>
          <w:color w:val="auto"/>
          <w:sz w:val="30"/>
          <w:szCs w:val="30"/>
          <w:lang w:val="en-US" w:eastAsia="zh-CN"/>
        </w:rPr>
        <w:t>5.73</w:t>
      </w:r>
      <w:r>
        <w:rPr>
          <w:rFonts w:hint="eastAsia" w:ascii="仿宋" w:hAnsi="仿宋" w:eastAsia="仿宋" w:cs="仿宋"/>
          <w:color w:val="auto"/>
          <w:sz w:val="30"/>
          <w:szCs w:val="30"/>
        </w:rPr>
        <w:t>万元，完成预算的</w:t>
      </w:r>
      <w:r>
        <w:rPr>
          <w:rFonts w:hint="eastAsia" w:ascii="仿宋" w:hAnsi="仿宋" w:eastAsia="仿宋" w:cs="仿宋"/>
          <w:color w:val="auto"/>
          <w:sz w:val="30"/>
          <w:szCs w:val="30"/>
          <w:lang w:val="en-US" w:eastAsia="zh-CN"/>
        </w:rPr>
        <w:t>57.3</w:t>
      </w:r>
      <w:r>
        <w:rPr>
          <w:rFonts w:hint="eastAsia" w:ascii="仿宋" w:hAnsi="仿宋" w:eastAsia="仿宋" w:cs="仿宋"/>
          <w:color w:val="auto"/>
          <w:sz w:val="30"/>
          <w:szCs w:val="30"/>
        </w:rPr>
        <w:t>%，其中：</w:t>
      </w:r>
    </w:p>
    <w:p>
      <w:pPr>
        <w:pStyle w:val="10"/>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因公出国（境）费支出预算为0万元，支出决算为0万元，与上年持平</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2022年我部门未开展</w:t>
      </w:r>
      <w:r>
        <w:rPr>
          <w:rFonts w:hint="eastAsia" w:ascii="仿宋" w:hAnsi="仿宋" w:eastAsia="仿宋" w:cs="仿宋"/>
          <w:color w:val="auto"/>
          <w:sz w:val="30"/>
          <w:szCs w:val="30"/>
        </w:rPr>
        <w:t>因公出国（境）</w:t>
      </w:r>
      <w:r>
        <w:rPr>
          <w:rFonts w:hint="eastAsia" w:ascii="仿宋" w:hAnsi="仿宋" w:eastAsia="仿宋" w:cs="仿宋"/>
          <w:color w:val="auto"/>
          <w:sz w:val="30"/>
          <w:szCs w:val="30"/>
          <w:lang w:eastAsia="zh-CN"/>
        </w:rPr>
        <w:t>活动</w:t>
      </w:r>
      <w:r>
        <w:rPr>
          <w:rFonts w:hint="eastAsia" w:ascii="仿宋" w:hAnsi="仿宋" w:eastAsia="仿宋" w:cs="仿宋"/>
          <w:color w:val="auto"/>
          <w:sz w:val="30"/>
          <w:szCs w:val="30"/>
        </w:rPr>
        <w:t>。</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公务接待费支出预算为</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万元，支出决算为</w:t>
      </w:r>
      <w:r>
        <w:rPr>
          <w:rFonts w:hint="eastAsia" w:ascii="仿宋" w:hAnsi="仿宋" w:eastAsia="仿宋" w:cs="仿宋"/>
          <w:color w:val="auto"/>
          <w:sz w:val="30"/>
          <w:szCs w:val="30"/>
          <w:lang w:val="en-US" w:eastAsia="zh-CN"/>
        </w:rPr>
        <w:t>1.27</w:t>
      </w:r>
      <w:r>
        <w:rPr>
          <w:rFonts w:hint="eastAsia" w:ascii="仿宋" w:hAnsi="仿宋" w:eastAsia="仿宋" w:cs="仿宋"/>
          <w:color w:val="auto"/>
          <w:sz w:val="30"/>
          <w:szCs w:val="30"/>
        </w:rPr>
        <w:t>万元，完成预算的</w:t>
      </w:r>
      <w:r>
        <w:rPr>
          <w:rFonts w:hint="eastAsia" w:ascii="仿宋" w:hAnsi="仿宋" w:eastAsia="仿宋" w:cs="仿宋"/>
          <w:color w:val="auto"/>
          <w:sz w:val="30"/>
          <w:szCs w:val="30"/>
          <w:lang w:val="en-US" w:eastAsia="zh-CN"/>
        </w:rPr>
        <w:t>63.5</w:t>
      </w:r>
      <w:r>
        <w:rPr>
          <w:rFonts w:hint="eastAsia" w:ascii="仿宋" w:hAnsi="仿宋" w:eastAsia="仿宋" w:cs="仿宋"/>
          <w:color w:val="auto"/>
          <w:sz w:val="30"/>
          <w:szCs w:val="30"/>
        </w:rPr>
        <w:t>%，与上年相比</w:t>
      </w:r>
      <w:r>
        <w:rPr>
          <w:rFonts w:hint="eastAsia" w:ascii="仿宋" w:hAnsi="仿宋" w:eastAsia="仿宋" w:cs="仿宋"/>
          <w:color w:val="auto"/>
          <w:sz w:val="30"/>
          <w:szCs w:val="30"/>
          <w:lang w:val="en-US" w:eastAsia="zh-CN"/>
        </w:rPr>
        <w:t>减少0.13</w:t>
      </w:r>
      <w:r>
        <w:rPr>
          <w:rFonts w:hint="eastAsia" w:ascii="仿宋" w:hAnsi="仿宋" w:eastAsia="仿宋" w:cs="仿宋"/>
          <w:color w:val="auto"/>
          <w:sz w:val="30"/>
          <w:szCs w:val="30"/>
        </w:rPr>
        <w:t>万元，</w:t>
      </w:r>
      <w:r>
        <w:rPr>
          <w:rFonts w:hint="eastAsia" w:ascii="仿宋" w:hAnsi="仿宋" w:eastAsia="仿宋" w:cs="仿宋"/>
          <w:color w:val="auto"/>
          <w:sz w:val="30"/>
          <w:szCs w:val="30"/>
          <w:lang w:val="en-US" w:eastAsia="zh-CN"/>
        </w:rPr>
        <w:t>减少0.09</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减少</w:t>
      </w:r>
      <w:r>
        <w:rPr>
          <w:rFonts w:hint="eastAsia" w:ascii="仿宋" w:hAnsi="仿宋" w:eastAsia="仿宋" w:cs="仿宋"/>
          <w:color w:val="auto"/>
          <w:sz w:val="30"/>
          <w:szCs w:val="30"/>
        </w:rPr>
        <w:t>的主要原因是</w:t>
      </w:r>
      <w:r>
        <w:rPr>
          <w:rFonts w:hint="eastAsia" w:ascii="仿宋" w:hAnsi="仿宋" w:eastAsia="仿宋" w:cs="仿宋"/>
          <w:color w:val="auto"/>
          <w:sz w:val="30"/>
          <w:szCs w:val="30"/>
          <w:lang w:val="en-US" w:eastAsia="zh-CN"/>
        </w:rPr>
        <w:t>2022年缩减三公经费开支。</w:t>
      </w:r>
    </w:p>
    <w:p>
      <w:pPr>
        <w:pStyle w:val="10"/>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公务用车购置费支出预算为0万元，支出决算为0万元，与上年持平</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2022年我部门未购置公务用车</w:t>
      </w:r>
      <w:r>
        <w:rPr>
          <w:rFonts w:hint="eastAsia" w:ascii="仿宋" w:hAnsi="仿宋" w:eastAsia="仿宋" w:cs="仿宋"/>
          <w:color w:val="auto"/>
          <w:sz w:val="30"/>
          <w:szCs w:val="30"/>
        </w:rPr>
        <w:t>。</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公务用车运行维护费支出预算为</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万元，支出决算为</w:t>
      </w:r>
      <w:r>
        <w:rPr>
          <w:rFonts w:hint="eastAsia" w:ascii="仿宋" w:hAnsi="仿宋" w:eastAsia="仿宋" w:cs="仿宋"/>
          <w:color w:val="auto"/>
          <w:sz w:val="30"/>
          <w:szCs w:val="30"/>
          <w:lang w:val="en-US" w:eastAsia="zh-CN"/>
        </w:rPr>
        <w:t>4.47</w:t>
      </w:r>
      <w:r>
        <w:rPr>
          <w:rFonts w:hint="eastAsia" w:ascii="仿宋" w:hAnsi="仿宋" w:eastAsia="仿宋" w:cs="仿宋"/>
          <w:color w:val="auto"/>
          <w:sz w:val="30"/>
          <w:szCs w:val="30"/>
        </w:rPr>
        <w:t>万元，完成预算的</w:t>
      </w:r>
      <w:r>
        <w:rPr>
          <w:rFonts w:hint="eastAsia" w:ascii="仿宋" w:hAnsi="仿宋" w:eastAsia="仿宋" w:cs="仿宋"/>
          <w:color w:val="auto"/>
          <w:sz w:val="30"/>
          <w:szCs w:val="30"/>
          <w:lang w:val="en-US" w:eastAsia="zh-CN"/>
        </w:rPr>
        <w:t>55.88</w:t>
      </w:r>
      <w:r>
        <w:rPr>
          <w:rFonts w:hint="eastAsia" w:ascii="仿宋" w:hAnsi="仿宋" w:eastAsia="仿宋" w:cs="仿宋"/>
          <w:color w:val="auto"/>
          <w:sz w:val="30"/>
          <w:szCs w:val="30"/>
        </w:rPr>
        <w:t>%，与上年相比减少</w:t>
      </w:r>
      <w:r>
        <w:rPr>
          <w:rFonts w:hint="eastAsia" w:ascii="仿宋" w:hAnsi="仿宋" w:eastAsia="仿宋" w:cs="仿宋"/>
          <w:color w:val="auto"/>
          <w:sz w:val="30"/>
          <w:szCs w:val="30"/>
          <w:lang w:val="en-US" w:eastAsia="zh-CN"/>
        </w:rPr>
        <w:t>0.04</w:t>
      </w:r>
      <w:r>
        <w:rPr>
          <w:rFonts w:hint="eastAsia" w:ascii="仿宋" w:hAnsi="仿宋" w:eastAsia="仿宋" w:cs="仿宋"/>
          <w:color w:val="auto"/>
          <w:sz w:val="30"/>
          <w:szCs w:val="30"/>
        </w:rPr>
        <w:t>万元，减少</w:t>
      </w:r>
      <w:r>
        <w:rPr>
          <w:rFonts w:hint="eastAsia" w:ascii="仿宋" w:hAnsi="仿宋" w:eastAsia="仿宋" w:cs="仿宋"/>
          <w:color w:val="auto"/>
          <w:sz w:val="30"/>
          <w:szCs w:val="30"/>
          <w:lang w:val="en-US" w:eastAsia="zh-CN"/>
        </w:rPr>
        <w:t>0.01</w:t>
      </w:r>
      <w:r>
        <w:rPr>
          <w:rFonts w:hint="eastAsia" w:ascii="仿宋" w:hAnsi="仿宋" w:eastAsia="仿宋" w:cs="仿宋"/>
          <w:color w:val="auto"/>
          <w:sz w:val="30"/>
          <w:szCs w:val="30"/>
        </w:rPr>
        <w:t>%,减少的主要原因是三公经费按要求每年缩减。</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b/>
          <w:color w:val="auto"/>
          <w:sz w:val="30"/>
          <w:szCs w:val="30"/>
        </w:rPr>
      </w:pPr>
      <w:r>
        <w:rPr>
          <w:rFonts w:hint="eastAsia" w:ascii="仿宋" w:hAnsi="仿宋" w:eastAsia="仿宋" w:cs="仿宋"/>
          <w:b/>
          <w:color w:val="auto"/>
          <w:sz w:val="30"/>
          <w:szCs w:val="30"/>
        </w:rPr>
        <w:t>（二）“三公”经费财政拨款支出决算具体情况说明</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年度“三公”经费财政拨款支出决算中，公务接待费支出决算</w:t>
      </w:r>
      <w:r>
        <w:rPr>
          <w:rFonts w:hint="eastAsia" w:ascii="仿宋" w:hAnsi="仿宋" w:eastAsia="仿宋" w:cs="仿宋"/>
          <w:color w:val="auto"/>
          <w:sz w:val="30"/>
          <w:szCs w:val="30"/>
          <w:lang w:val="en-US" w:eastAsia="zh-CN"/>
        </w:rPr>
        <w:t>1.27</w:t>
      </w:r>
      <w:r>
        <w:rPr>
          <w:rFonts w:hint="eastAsia" w:ascii="仿宋" w:hAnsi="仿宋" w:eastAsia="仿宋" w:cs="仿宋"/>
          <w:color w:val="auto"/>
          <w:sz w:val="30"/>
          <w:szCs w:val="30"/>
        </w:rPr>
        <w:t>万元，占</w:t>
      </w:r>
      <w:r>
        <w:rPr>
          <w:rFonts w:hint="eastAsia" w:ascii="仿宋" w:hAnsi="仿宋" w:eastAsia="仿宋" w:cs="仿宋"/>
          <w:color w:val="auto"/>
          <w:sz w:val="30"/>
          <w:szCs w:val="30"/>
          <w:lang w:val="en-US" w:eastAsia="zh-CN"/>
        </w:rPr>
        <w:t>22.16</w:t>
      </w:r>
      <w:r>
        <w:rPr>
          <w:rFonts w:hint="eastAsia" w:ascii="仿宋" w:hAnsi="仿宋" w:eastAsia="仿宋" w:cs="仿宋"/>
          <w:color w:val="auto"/>
          <w:sz w:val="30"/>
          <w:szCs w:val="30"/>
        </w:rPr>
        <w:t>%,因公出国（境）费支出决算</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万元，占</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%,公务用车购置费及运行维护费支出决算</w:t>
      </w:r>
      <w:r>
        <w:rPr>
          <w:rFonts w:hint="eastAsia" w:ascii="仿宋" w:hAnsi="仿宋" w:eastAsia="仿宋" w:cs="仿宋"/>
          <w:color w:val="auto"/>
          <w:sz w:val="30"/>
          <w:szCs w:val="30"/>
          <w:lang w:val="en-US" w:eastAsia="zh-CN"/>
        </w:rPr>
        <w:t>4.47</w:t>
      </w:r>
      <w:r>
        <w:rPr>
          <w:rFonts w:hint="eastAsia" w:ascii="仿宋" w:hAnsi="仿宋" w:eastAsia="仿宋" w:cs="仿宋"/>
          <w:color w:val="auto"/>
          <w:sz w:val="30"/>
          <w:szCs w:val="30"/>
        </w:rPr>
        <w:t>万元，占</w:t>
      </w:r>
      <w:r>
        <w:rPr>
          <w:rFonts w:hint="eastAsia" w:ascii="仿宋" w:hAnsi="仿宋" w:eastAsia="仿宋" w:cs="仿宋"/>
          <w:color w:val="auto"/>
          <w:sz w:val="30"/>
          <w:szCs w:val="30"/>
          <w:lang w:val="en-US" w:eastAsia="zh-CN"/>
        </w:rPr>
        <w:t>78</w:t>
      </w:r>
      <w:r>
        <w:rPr>
          <w:rFonts w:hint="eastAsia" w:ascii="仿宋" w:hAnsi="仿宋" w:eastAsia="仿宋" w:cs="仿宋"/>
          <w:color w:val="auto"/>
          <w:sz w:val="30"/>
          <w:szCs w:val="30"/>
        </w:rPr>
        <w:t>%。其中：</w:t>
      </w:r>
    </w:p>
    <w:p>
      <w:pPr>
        <w:pStyle w:val="10"/>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因公出国（境）费支出决算为0万元，全年安排因公出国（境）团组0个，累计0人次。</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公务接待费支出决算为</w:t>
      </w:r>
      <w:r>
        <w:rPr>
          <w:rFonts w:hint="eastAsia" w:ascii="仿宋" w:hAnsi="仿宋" w:eastAsia="仿宋" w:cs="仿宋"/>
          <w:color w:val="auto"/>
          <w:sz w:val="30"/>
          <w:szCs w:val="30"/>
          <w:lang w:val="en-US" w:eastAsia="zh-CN"/>
        </w:rPr>
        <w:t>1.27</w:t>
      </w:r>
      <w:r>
        <w:rPr>
          <w:rFonts w:hint="eastAsia" w:ascii="仿宋" w:hAnsi="仿宋" w:eastAsia="仿宋" w:cs="仿宋"/>
          <w:color w:val="auto"/>
          <w:sz w:val="30"/>
          <w:szCs w:val="30"/>
        </w:rPr>
        <w:t>万元，全年共接待来访团组</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个、来宾</w:t>
      </w:r>
      <w:r>
        <w:rPr>
          <w:rFonts w:hint="eastAsia" w:ascii="仿宋" w:hAnsi="仿宋" w:eastAsia="仿宋" w:cs="仿宋"/>
          <w:color w:val="auto"/>
          <w:sz w:val="30"/>
          <w:szCs w:val="30"/>
          <w:lang w:val="en-US" w:eastAsia="zh-CN"/>
        </w:rPr>
        <w:t>50</w:t>
      </w:r>
      <w:r>
        <w:rPr>
          <w:rFonts w:hint="eastAsia" w:ascii="仿宋" w:hAnsi="仿宋" w:eastAsia="仿宋" w:cs="仿宋"/>
          <w:color w:val="auto"/>
          <w:sz w:val="30"/>
          <w:szCs w:val="30"/>
        </w:rPr>
        <w:t>人次，主要是督察发生的接待支出。</w:t>
      </w:r>
    </w:p>
    <w:p>
      <w:pPr>
        <w:keepNext w:val="0"/>
        <w:keepLines w:val="0"/>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公务用车购置费及运行维护费支出决算为</w:t>
      </w:r>
      <w:r>
        <w:rPr>
          <w:rFonts w:hint="eastAsia" w:ascii="仿宋" w:hAnsi="仿宋" w:eastAsia="仿宋" w:cs="仿宋"/>
          <w:color w:val="auto"/>
          <w:sz w:val="30"/>
          <w:szCs w:val="30"/>
          <w:lang w:val="en-US" w:eastAsia="zh-CN"/>
        </w:rPr>
        <w:t>4.47</w:t>
      </w:r>
      <w:r>
        <w:rPr>
          <w:rFonts w:hint="eastAsia" w:ascii="仿宋" w:hAnsi="仿宋" w:eastAsia="仿宋" w:cs="仿宋"/>
          <w:color w:val="auto"/>
          <w:sz w:val="30"/>
          <w:szCs w:val="30"/>
        </w:rPr>
        <w:t>万元，其中：公务用车购置费</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公务用车运行维护费</w:t>
      </w:r>
      <w:r>
        <w:rPr>
          <w:rFonts w:hint="eastAsia" w:ascii="仿宋" w:hAnsi="仿宋" w:eastAsia="仿宋" w:cs="仿宋"/>
          <w:color w:val="auto"/>
          <w:sz w:val="30"/>
          <w:szCs w:val="30"/>
          <w:lang w:val="en-US" w:eastAsia="zh-CN"/>
        </w:rPr>
        <w:t>4.47</w:t>
      </w:r>
      <w:r>
        <w:rPr>
          <w:rFonts w:hint="eastAsia" w:ascii="仿宋" w:hAnsi="仿宋" w:eastAsia="仿宋" w:cs="仿宋"/>
          <w:color w:val="auto"/>
          <w:sz w:val="30"/>
          <w:szCs w:val="30"/>
        </w:rPr>
        <w:t>万元，主要是</w:t>
      </w:r>
      <w:r>
        <w:rPr>
          <w:rFonts w:hint="eastAsia" w:ascii="仿宋" w:hAnsi="仿宋" w:eastAsia="仿宋" w:cs="仿宋"/>
          <w:color w:val="auto"/>
          <w:sz w:val="30"/>
          <w:szCs w:val="30"/>
          <w:lang w:val="en-US" w:eastAsia="zh-CN"/>
        </w:rPr>
        <w:t>车辆维修、保养等</w:t>
      </w:r>
      <w:r>
        <w:rPr>
          <w:rFonts w:hint="eastAsia" w:ascii="仿宋" w:hAnsi="仿宋" w:eastAsia="仿宋" w:cs="仿宋"/>
          <w:color w:val="auto"/>
          <w:sz w:val="30"/>
          <w:szCs w:val="30"/>
        </w:rPr>
        <w:t>支出，截止202</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年12月31日，</w:t>
      </w:r>
      <w:r>
        <w:rPr>
          <w:rFonts w:hint="eastAsia" w:ascii="仿宋" w:hAnsi="仿宋" w:eastAsia="仿宋" w:cs="仿宋"/>
          <w:color w:val="auto"/>
          <w:sz w:val="30"/>
          <w:szCs w:val="30"/>
          <w:lang w:eastAsia="zh-CN"/>
        </w:rPr>
        <w:t>本部门</w:t>
      </w:r>
      <w:r>
        <w:rPr>
          <w:rFonts w:hint="eastAsia" w:ascii="仿宋" w:hAnsi="仿宋" w:eastAsia="仿宋" w:cs="仿宋"/>
          <w:color w:val="auto"/>
          <w:sz w:val="30"/>
          <w:szCs w:val="30"/>
        </w:rPr>
        <w:t>开支财政拨款的公务用车保有量为</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辆。</w:t>
      </w:r>
    </w:p>
    <w:p>
      <w:pPr>
        <w:pStyle w:val="10"/>
        <w:keepNext w:val="0"/>
        <w:keepLines w:val="0"/>
        <w:pageBreakBefore w:val="0"/>
        <w:kinsoku/>
        <w:wordWrap/>
        <w:overflowPunct/>
        <w:topLinePunct w:val="0"/>
        <w:bidi w:val="0"/>
        <w:snapToGrid/>
        <w:spacing w:line="600" w:lineRule="exact"/>
        <w:ind w:firstLine="600" w:firstLineChars="200"/>
        <w:textAlignment w:val="auto"/>
        <w:rPr>
          <w:rFonts w:hint="eastAsia" w:ascii="黑体" w:hAnsi="黑体" w:eastAsia="黑体" w:cs="黑体"/>
          <w:b w:val="0"/>
          <w:bCs/>
          <w:sz w:val="30"/>
          <w:szCs w:val="30"/>
        </w:rPr>
      </w:pPr>
      <w:r>
        <w:rPr>
          <w:rFonts w:hint="eastAsia" w:ascii="黑体" w:hAnsi="黑体" w:eastAsia="黑体" w:cs="黑体"/>
          <w:b w:val="0"/>
          <w:bCs/>
          <w:sz w:val="30"/>
          <w:szCs w:val="30"/>
        </w:rPr>
        <w:t>八、政府性基金预算收入支出决算情况</w:t>
      </w:r>
    </w:p>
    <w:p>
      <w:pPr>
        <w:pStyle w:val="10"/>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2021年</w:t>
      </w:r>
      <w:r>
        <w:rPr>
          <w:rFonts w:hint="eastAsia" w:ascii="仿宋" w:hAnsi="仿宋" w:eastAsia="仿宋" w:cs="仿宋"/>
          <w:sz w:val="30"/>
          <w:szCs w:val="30"/>
          <w:lang w:val="en-US" w:eastAsia="zh-CN"/>
        </w:rPr>
        <w:t>度</w:t>
      </w:r>
      <w:r>
        <w:rPr>
          <w:rFonts w:hint="eastAsia" w:ascii="仿宋" w:hAnsi="仿宋" w:eastAsia="仿宋" w:cs="仿宋"/>
          <w:sz w:val="30"/>
          <w:szCs w:val="30"/>
        </w:rPr>
        <w:t>本</w:t>
      </w:r>
      <w:r>
        <w:rPr>
          <w:rFonts w:hint="eastAsia" w:ascii="仿宋" w:hAnsi="仿宋" w:eastAsia="仿宋" w:cs="仿宋"/>
          <w:sz w:val="30"/>
          <w:szCs w:val="30"/>
          <w:lang w:eastAsia="zh-CN"/>
        </w:rPr>
        <w:t>部门</w:t>
      </w:r>
      <w:r>
        <w:rPr>
          <w:rFonts w:hint="eastAsia" w:ascii="仿宋" w:hAnsi="仿宋" w:eastAsia="仿宋" w:cs="仿宋"/>
          <w:sz w:val="30"/>
          <w:szCs w:val="30"/>
        </w:rPr>
        <w:t>无政府性基金</w:t>
      </w:r>
      <w:r>
        <w:rPr>
          <w:rFonts w:hint="eastAsia" w:ascii="仿宋" w:hAnsi="仿宋" w:eastAsia="仿宋" w:cs="仿宋"/>
          <w:sz w:val="30"/>
          <w:szCs w:val="30"/>
          <w:lang w:eastAsia="zh-CN"/>
        </w:rPr>
        <w:t>预算</w:t>
      </w:r>
      <w:r>
        <w:rPr>
          <w:rFonts w:hint="eastAsia" w:ascii="仿宋" w:hAnsi="仿宋" w:eastAsia="仿宋" w:cs="仿宋"/>
          <w:sz w:val="30"/>
          <w:szCs w:val="30"/>
        </w:rPr>
        <w:t>收支。</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年度机关运行经费支出</w:t>
      </w:r>
      <w:r>
        <w:rPr>
          <w:rFonts w:hint="eastAsia" w:ascii="仿宋" w:hAnsi="仿宋" w:eastAsia="仿宋" w:cs="仿宋"/>
          <w:color w:val="auto"/>
          <w:sz w:val="30"/>
          <w:szCs w:val="30"/>
          <w:lang w:val="en-US" w:eastAsia="zh-CN"/>
        </w:rPr>
        <w:t>274.82</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比上年决算数增加</w:t>
      </w:r>
      <w:r>
        <w:rPr>
          <w:rFonts w:hint="eastAsia" w:ascii="Times New Roman" w:hAnsi="Times New Roman" w:eastAsia="仿宋_GB2312"/>
          <w:color w:val="auto"/>
          <w:sz w:val="32"/>
          <w:szCs w:val="32"/>
          <w:lang w:val="en-US" w:eastAsia="zh-CN"/>
        </w:rPr>
        <w:t>87.08</w:t>
      </w:r>
      <w:r>
        <w:rPr>
          <w:rFonts w:hint="eastAsia" w:ascii="Times New Roman" w:hAnsi="Times New Roman" w:eastAsia="仿宋_GB2312"/>
          <w:color w:val="auto"/>
          <w:sz w:val="32"/>
          <w:szCs w:val="32"/>
        </w:rPr>
        <w:t xml:space="preserve"> 万元，增长</w:t>
      </w:r>
      <w:r>
        <w:rPr>
          <w:rFonts w:hint="eastAsia" w:ascii="Times New Roman" w:hAnsi="Times New Roman" w:eastAsia="仿宋_GB2312"/>
          <w:color w:val="auto"/>
          <w:sz w:val="32"/>
          <w:szCs w:val="32"/>
          <w:lang w:val="en-US" w:eastAsia="zh-CN"/>
        </w:rPr>
        <w:t>31.68</w:t>
      </w:r>
      <w:r>
        <w:rPr>
          <w:rFonts w:hint="eastAsia" w:ascii="Times New Roman" w:hAnsi="Times New Roman" w:eastAsia="仿宋_GB2312"/>
          <w:color w:val="auto"/>
          <w:sz w:val="32"/>
          <w:szCs w:val="32"/>
        </w:rPr>
        <w:t>%。</w:t>
      </w:r>
      <w:r>
        <w:rPr>
          <w:rFonts w:hint="eastAsia" w:ascii="Times New Roman" w:hAnsi="Times New Roman" w:eastAsia="仿宋_GB2312"/>
          <w:color w:val="FF0000"/>
          <w:sz w:val="32"/>
          <w:szCs w:val="32"/>
        </w:rPr>
        <w:t>主要原因是</w:t>
      </w:r>
      <w:r>
        <w:rPr>
          <w:rFonts w:hint="eastAsia" w:ascii="Times New Roman" w:hAnsi="Times New Roman" w:eastAsia="仿宋_GB2312"/>
          <w:color w:val="FF0000"/>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十、一般性支出情况说明</w:t>
      </w:r>
    </w:p>
    <w:p>
      <w:pPr>
        <w:pStyle w:val="10"/>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年</w:t>
      </w:r>
      <w:r>
        <w:rPr>
          <w:rFonts w:hint="eastAsia" w:ascii="仿宋" w:hAnsi="仿宋" w:eastAsia="仿宋" w:cs="仿宋"/>
          <w:color w:val="auto"/>
          <w:sz w:val="30"/>
          <w:szCs w:val="30"/>
          <w:lang w:eastAsia="zh-CN"/>
        </w:rPr>
        <w:t>度</w:t>
      </w:r>
      <w:r>
        <w:rPr>
          <w:rFonts w:hint="eastAsia" w:ascii="仿宋" w:hAnsi="仿宋" w:eastAsia="仿宋" w:cs="仿宋"/>
          <w:color w:val="auto"/>
          <w:sz w:val="30"/>
          <w:szCs w:val="30"/>
        </w:rPr>
        <w:t>本部门开支</w:t>
      </w:r>
      <w:r>
        <w:rPr>
          <w:rFonts w:hint="eastAsia" w:ascii="仿宋" w:hAnsi="仿宋" w:eastAsia="仿宋" w:cs="仿宋"/>
          <w:color w:val="auto"/>
          <w:sz w:val="30"/>
          <w:szCs w:val="30"/>
          <w:lang w:val="en-US" w:eastAsia="zh-CN"/>
        </w:rPr>
        <w:t>开支培训费4.14万元，用于开展赫山区行政执法业务培训，人数100人，内容为行政程序法律效应与行政执法规范化建设、《民法典》、行政处罚法、案卷制作和案件评查、法制审查，新思想新标准新征程一《法治政府建设实施纲要(2021一2025年)》解读、习近平法治思想、《行政诉讼法》；</w:t>
      </w:r>
      <w:r>
        <w:rPr>
          <w:rFonts w:hint="eastAsia" w:ascii="仿宋" w:hAnsi="仿宋" w:eastAsia="仿宋" w:cs="仿宋"/>
          <w:color w:val="auto"/>
          <w:sz w:val="30"/>
          <w:szCs w:val="30"/>
          <w:lang w:eastAsia="zh-CN"/>
        </w:rPr>
        <w:t>未举办节庆、晚会、论坛、</w:t>
      </w:r>
      <w:r>
        <w:rPr>
          <w:rFonts w:hint="eastAsia" w:ascii="仿宋" w:hAnsi="仿宋" w:eastAsia="仿宋" w:cs="仿宋"/>
          <w:color w:val="auto"/>
          <w:sz w:val="30"/>
          <w:szCs w:val="30"/>
        </w:rPr>
        <w:t>赛事</w:t>
      </w:r>
      <w:r>
        <w:rPr>
          <w:rFonts w:hint="eastAsia" w:ascii="仿宋" w:hAnsi="仿宋" w:eastAsia="仿宋" w:cs="仿宋"/>
          <w:color w:val="auto"/>
          <w:sz w:val="30"/>
          <w:szCs w:val="30"/>
          <w:lang w:eastAsia="zh-CN"/>
        </w:rPr>
        <w:t>等</w:t>
      </w:r>
      <w:r>
        <w:rPr>
          <w:rFonts w:hint="eastAsia" w:ascii="仿宋" w:hAnsi="仿宋" w:eastAsia="仿宋" w:cs="仿宋"/>
          <w:color w:val="auto"/>
          <w:sz w:val="30"/>
          <w:szCs w:val="30"/>
        </w:rPr>
        <w:t>活动。</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年度政府采购支出总额</w:t>
      </w:r>
      <w:r>
        <w:rPr>
          <w:rFonts w:hint="eastAsia" w:ascii="Times New Roman" w:hAnsi="Times New Roman" w:eastAsia="仿宋_GB2312"/>
          <w:color w:val="auto"/>
          <w:sz w:val="32"/>
          <w:szCs w:val="32"/>
          <w:lang w:val="en-US" w:eastAsia="zh-CN"/>
        </w:rPr>
        <w:t>176</w:t>
      </w:r>
      <w:r>
        <w:rPr>
          <w:rFonts w:hint="eastAsia" w:ascii="Times New Roman" w:hAnsi="Times New Roman" w:eastAsia="仿宋_GB2312"/>
          <w:color w:val="auto"/>
          <w:sz w:val="32"/>
          <w:szCs w:val="32"/>
        </w:rPr>
        <w:t>万元，其中：政府采购货物支出</w:t>
      </w:r>
      <w:r>
        <w:rPr>
          <w:rFonts w:hint="eastAsia" w:ascii="Times New Roman" w:hAnsi="Times New Roman" w:eastAsia="仿宋_GB2312"/>
          <w:color w:val="auto"/>
          <w:sz w:val="32"/>
          <w:szCs w:val="32"/>
          <w:lang w:val="en-US" w:eastAsia="zh-CN"/>
        </w:rPr>
        <w:t>176</w:t>
      </w:r>
      <w:r>
        <w:rPr>
          <w:rFonts w:hint="eastAsia" w:ascii="Times New Roman" w:hAnsi="Times New Roman" w:eastAsia="仿宋_GB2312"/>
          <w:color w:val="auto"/>
          <w:sz w:val="32"/>
          <w:szCs w:val="32"/>
        </w:rPr>
        <w:t>万元</w:t>
      </w:r>
      <w:r>
        <w:rPr>
          <w:rFonts w:hint="eastAsia" w:ascii="Times New Roman" w:hAnsi="Times New Roman" w:eastAsia="仿宋_GB2312"/>
          <w:color w:val="auto"/>
          <w:sz w:val="32"/>
          <w:szCs w:val="32"/>
          <w:lang w:eastAsia="zh-CN"/>
        </w:rPr>
        <w:t>。</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0"/>
        <w:keepNext w:val="0"/>
        <w:keepLines w:val="0"/>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截至202</w:t>
      </w:r>
      <w:r>
        <w:rPr>
          <w:rFonts w:hint="eastAsia" w:ascii="仿宋" w:hAnsi="仿宋" w:eastAsia="仿宋" w:cs="仿宋"/>
          <w:sz w:val="30"/>
          <w:szCs w:val="30"/>
          <w:lang w:val="en-US" w:eastAsia="zh-CN"/>
        </w:rPr>
        <w:t>2</w:t>
      </w:r>
      <w:r>
        <w:rPr>
          <w:rFonts w:hint="eastAsia" w:ascii="仿宋" w:hAnsi="仿宋" w:eastAsia="仿宋" w:cs="仿宋"/>
          <w:sz w:val="30"/>
          <w:szCs w:val="30"/>
        </w:rPr>
        <w:t>年12月31日，</w:t>
      </w:r>
      <w:r>
        <w:rPr>
          <w:rFonts w:hint="eastAsia" w:ascii="仿宋" w:hAnsi="仿宋" w:eastAsia="仿宋" w:cs="仿宋"/>
          <w:sz w:val="30"/>
          <w:szCs w:val="30"/>
          <w:lang w:eastAsia="zh-CN"/>
        </w:rPr>
        <w:t>本</w:t>
      </w:r>
      <w:r>
        <w:rPr>
          <w:rFonts w:hint="eastAsia" w:ascii="仿宋" w:hAnsi="仿宋" w:eastAsia="仿宋" w:cs="仿宋"/>
          <w:sz w:val="30"/>
          <w:szCs w:val="30"/>
        </w:rPr>
        <w:t>部门共有车辆</w:t>
      </w:r>
      <w:r>
        <w:rPr>
          <w:rFonts w:hint="eastAsia" w:ascii="仿宋" w:hAnsi="仿宋" w:eastAsia="仿宋" w:cs="仿宋"/>
          <w:sz w:val="30"/>
          <w:szCs w:val="30"/>
          <w:lang w:val="en-US" w:eastAsia="zh-CN"/>
        </w:rPr>
        <w:t>2</w:t>
      </w:r>
      <w:r>
        <w:rPr>
          <w:rFonts w:hint="eastAsia" w:ascii="仿宋" w:hAnsi="仿宋" w:eastAsia="仿宋" w:cs="仿宋"/>
          <w:sz w:val="30"/>
          <w:szCs w:val="30"/>
        </w:rPr>
        <w:t>辆，其中，执法执勤用车</w:t>
      </w:r>
      <w:r>
        <w:rPr>
          <w:rFonts w:hint="eastAsia" w:ascii="仿宋" w:hAnsi="仿宋" w:eastAsia="仿宋" w:cs="仿宋"/>
          <w:sz w:val="30"/>
          <w:szCs w:val="30"/>
          <w:lang w:val="en-US" w:eastAsia="zh-CN"/>
        </w:rPr>
        <w:t>2</w:t>
      </w:r>
      <w:r>
        <w:rPr>
          <w:rFonts w:hint="eastAsia" w:ascii="仿宋" w:hAnsi="仿宋" w:eastAsia="仿宋" w:cs="仿宋"/>
          <w:sz w:val="30"/>
          <w:szCs w:val="30"/>
        </w:rPr>
        <w:t>辆；单位价值50万元以上通用设备</w:t>
      </w:r>
      <w:r>
        <w:rPr>
          <w:rFonts w:hint="eastAsia" w:ascii="仿宋" w:hAnsi="仿宋" w:eastAsia="仿宋" w:cs="仿宋"/>
          <w:sz w:val="30"/>
          <w:szCs w:val="30"/>
          <w:lang w:val="en-US" w:eastAsia="zh-CN"/>
        </w:rPr>
        <w:t>0</w:t>
      </w:r>
      <w:r>
        <w:rPr>
          <w:rFonts w:hint="eastAsia" w:ascii="仿宋" w:hAnsi="仿宋" w:eastAsia="仿宋" w:cs="仿宋"/>
          <w:sz w:val="30"/>
          <w:szCs w:val="30"/>
        </w:rPr>
        <w:t>台（套）；单位价值100万元以上专用设备</w:t>
      </w:r>
      <w:r>
        <w:rPr>
          <w:rFonts w:hint="eastAsia" w:ascii="仿宋" w:hAnsi="仿宋" w:eastAsia="仿宋" w:cs="仿宋"/>
          <w:sz w:val="30"/>
          <w:szCs w:val="30"/>
          <w:lang w:val="en-US" w:eastAsia="zh-CN"/>
        </w:rPr>
        <w:t>0</w:t>
      </w:r>
      <w:r>
        <w:rPr>
          <w:rFonts w:hint="eastAsia" w:ascii="仿宋" w:hAnsi="仿宋" w:eastAsia="仿宋" w:cs="仿宋"/>
          <w:sz w:val="30"/>
          <w:szCs w:val="30"/>
        </w:rPr>
        <w:t>台（套）。</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keepNext w:val="0"/>
        <w:keepLines w:val="0"/>
        <w:pageBreakBefore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根据预算绩效管理要求，</w:t>
      </w:r>
      <w:r>
        <w:rPr>
          <w:rFonts w:hint="eastAsia" w:ascii="仿宋" w:hAnsi="仿宋" w:eastAsia="仿宋" w:cs="仿宋"/>
          <w:color w:val="auto"/>
          <w:kern w:val="0"/>
          <w:sz w:val="30"/>
          <w:szCs w:val="30"/>
          <w:lang w:eastAsia="zh-CN"/>
        </w:rPr>
        <w:t>本</w:t>
      </w:r>
      <w:r>
        <w:rPr>
          <w:rFonts w:hint="eastAsia" w:ascii="仿宋" w:hAnsi="仿宋" w:eastAsia="仿宋" w:cs="仿宋"/>
          <w:color w:val="auto"/>
          <w:kern w:val="0"/>
          <w:sz w:val="30"/>
          <w:szCs w:val="30"/>
        </w:rPr>
        <w:t>部门组织对202</w:t>
      </w:r>
      <w:r>
        <w:rPr>
          <w:rFonts w:hint="eastAsia" w:ascii="仿宋" w:hAnsi="仿宋" w:eastAsia="仿宋" w:cs="仿宋"/>
          <w:color w:val="auto"/>
          <w:kern w:val="0"/>
          <w:sz w:val="30"/>
          <w:szCs w:val="30"/>
          <w:lang w:val="en-US" w:eastAsia="zh-CN"/>
        </w:rPr>
        <w:t>2</w:t>
      </w:r>
      <w:r>
        <w:rPr>
          <w:rFonts w:hint="eastAsia" w:ascii="仿宋" w:hAnsi="仿宋" w:eastAsia="仿宋" w:cs="仿宋"/>
          <w:color w:val="auto"/>
          <w:kern w:val="0"/>
          <w:sz w:val="30"/>
          <w:szCs w:val="30"/>
        </w:rPr>
        <w:t>年度一般公共预算项目支出全面开展绩效自评。</w:t>
      </w:r>
    </w:p>
    <w:p>
      <w:pPr>
        <w:pStyle w:val="16"/>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FF0000"/>
          <w:kern w:val="0"/>
          <w:sz w:val="30"/>
          <w:szCs w:val="30"/>
          <w:lang w:val="en-US" w:eastAsia="zh-CN" w:bidi="ar-SA"/>
        </w:rPr>
      </w:pPr>
      <w:r>
        <w:rPr>
          <w:rFonts w:hint="eastAsia" w:ascii="仿宋" w:hAnsi="仿宋" w:eastAsia="仿宋" w:cs="仿宋"/>
          <w:color w:val="auto"/>
          <w:kern w:val="0"/>
          <w:sz w:val="30"/>
          <w:szCs w:val="30"/>
          <w:lang w:val="en-US" w:eastAsia="zh-CN" w:bidi="ar-SA"/>
        </w:rPr>
        <w:t>2022年预算小型项目支出187万元开展了部门评价，其中基层司法业务46.93万元，普法宣传24.07万元，公共法律服务29.66万元，社区矫正73.05万元，法治建设13.29万元。</w:t>
      </w:r>
    </w:p>
    <w:p>
      <w:pPr>
        <w:keepNext w:val="0"/>
        <w:keepLines w:val="0"/>
        <w:pageBreakBefore w:val="0"/>
        <w:widowControl/>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auto"/>
          <w:kern w:val="0"/>
          <w:sz w:val="30"/>
          <w:szCs w:val="30"/>
          <w:lang w:val="en-US" w:eastAsia="zh-CN" w:bidi="ar-SA"/>
        </w:rPr>
        <w:t>赫山区司法局2022年所有支出全部为一般公共预算支出，</w:t>
      </w:r>
      <w:r>
        <w:rPr>
          <w:rFonts w:hint="eastAsia" w:ascii="仿宋" w:hAnsi="仿宋" w:eastAsia="仿宋" w:cs="仿宋"/>
          <w:color w:val="000000"/>
          <w:kern w:val="0"/>
          <w:sz w:val="30"/>
          <w:szCs w:val="30"/>
          <w:lang w:val="en-US" w:eastAsia="zh-CN" w:bidi="ar-SA"/>
        </w:rPr>
        <w:t>围绕部门职责、行业发展规划，以预算资金管理为主线，总结部门资产管理和开展业务情况，从运行成本、管理效率、履职效能、社会效应、可持续发展能力和服务对象满意度等方面，衡量部门整体及核心业务实施效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both"/>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一是认真执行年初部门预算和财政政策要求。赫山区司法局经费安排严格按照年初预算来执行，有效防止了超预算；在资金使用上，严格遵守各项财经法规、财经纪律和区局财务管理制度规定，资金拨付有完整的审批程序和手续，支出符合部门预算批复的用途，无截留、挤占、挪用、虚列支出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firstLineChars="200"/>
        <w:jc w:val="both"/>
        <w:textAlignment w:val="auto"/>
        <w:rPr>
          <w:rFonts w:hint="eastAsia" w:ascii="仿宋" w:hAnsi="仿宋" w:eastAsia="仿宋" w:cs="仿宋"/>
          <w:color w:val="000000"/>
          <w:kern w:val="0"/>
          <w:sz w:val="30"/>
          <w:szCs w:val="30"/>
          <w:lang w:val="en-US" w:eastAsia="zh-CN" w:bidi="ar-SA"/>
        </w:rPr>
      </w:pPr>
      <w:r>
        <w:rPr>
          <w:rFonts w:hint="eastAsia" w:ascii="仿宋" w:hAnsi="仿宋" w:eastAsia="仿宋" w:cs="仿宋"/>
          <w:color w:val="000000"/>
          <w:kern w:val="0"/>
          <w:sz w:val="30"/>
          <w:szCs w:val="30"/>
          <w:lang w:val="en-US" w:eastAsia="zh-CN" w:bidi="ar-SA"/>
        </w:rPr>
        <w:t>二是保障了机关有效运转。严格按照厉行节约的要求，精打细算，规范机关事务管理工作，进一步在机关财务、公务用车、公务接待、物业等方面加强集中管理，提高服务质量，降低运行成本，合理配置，提高保障能力。保障干部待遇按政策发放落实。</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both"/>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p>
    <w:p>
      <w:pPr>
        <w:pStyle w:val="10"/>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keepNext w:val="0"/>
        <w:keepLines w:val="0"/>
        <w:pageBreakBefore w:val="0"/>
        <w:widowControl w:val="0"/>
        <w:numPr>
          <w:ilvl w:val="0"/>
          <w:numId w:val="2"/>
        </w:numPr>
        <w:kinsoku/>
        <w:wordWrap/>
        <w:overflowPunct/>
        <w:topLinePunct w:val="0"/>
        <w:bidi w:val="0"/>
        <w:snapToGrid/>
        <w:spacing w:line="60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财政拨款收入：指本级财政当年拨付的资金。</w:t>
      </w:r>
    </w:p>
    <w:p>
      <w:pPr>
        <w:keepNext w:val="0"/>
        <w:keepLines w:val="0"/>
        <w:pageBreakBefore w:val="0"/>
        <w:widowControl w:val="0"/>
        <w:numPr>
          <w:ilvl w:val="0"/>
          <w:numId w:val="2"/>
        </w:numPr>
        <w:kinsoku/>
        <w:wordWrap/>
        <w:overflowPunct/>
        <w:topLinePunct w:val="0"/>
        <w:bidi w:val="0"/>
        <w:snapToGrid/>
        <w:spacing w:line="60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上年结转和结余：指以前年度尚未完成、结转到本年按有关规定继续使用的资金。</w:t>
      </w:r>
    </w:p>
    <w:p>
      <w:pPr>
        <w:keepNext w:val="0"/>
        <w:keepLines w:val="0"/>
        <w:pageBreakBefore w:val="0"/>
        <w:widowControl w:val="0"/>
        <w:numPr>
          <w:ilvl w:val="0"/>
          <w:numId w:val="2"/>
        </w:numPr>
        <w:kinsoku/>
        <w:wordWrap/>
        <w:overflowPunct/>
        <w:topLinePunct w:val="0"/>
        <w:bidi w:val="0"/>
        <w:snapToGrid/>
        <w:spacing w:line="60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年末结转和结余资金：指本年度或以前年度预算安排、因客观条件发生变化无法按原计划实施，需要延迟到以后年度按有关规定继续使用的资金。</w:t>
      </w:r>
    </w:p>
    <w:p>
      <w:pPr>
        <w:keepNext w:val="0"/>
        <w:keepLines w:val="0"/>
        <w:pageBreakBefore w:val="0"/>
        <w:widowControl w:val="0"/>
        <w:numPr>
          <w:ilvl w:val="0"/>
          <w:numId w:val="2"/>
        </w:numPr>
        <w:kinsoku/>
        <w:wordWrap/>
        <w:overflowPunct/>
        <w:topLinePunct w:val="0"/>
        <w:bidi w:val="0"/>
        <w:snapToGrid/>
        <w:spacing w:line="60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基本支出：指保障机构正常运转、完成支日常工作任务而发生的人员支出和公用支出。</w:t>
      </w:r>
    </w:p>
    <w:p>
      <w:pPr>
        <w:keepNext w:val="0"/>
        <w:keepLines w:val="0"/>
        <w:pageBreakBefore w:val="0"/>
        <w:widowControl w:val="0"/>
        <w:numPr>
          <w:ilvl w:val="0"/>
          <w:numId w:val="2"/>
        </w:numPr>
        <w:kinsoku/>
        <w:wordWrap/>
        <w:overflowPunct/>
        <w:topLinePunct w:val="0"/>
        <w:bidi w:val="0"/>
        <w:snapToGrid/>
        <w:spacing w:line="60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项目支出：指在基本支出之外为完成特定行政任务和事业发展目标所发生的支出。</w:t>
      </w:r>
    </w:p>
    <w:p>
      <w:pPr>
        <w:keepNext w:val="0"/>
        <w:keepLines w:val="0"/>
        <w:pageBreakBefore w:val="0"/>
        <w:widowControl w:val="0"/>
        <w:numPr>
          <w:ilvl w:val="0"/>
          <w:numId w:val="2"/>
        </w:numPr>
        <w:kinsoku/>
        <w:wordWrap/>
        <w:overflowPunct/>
        <w:topLinePunct w:val="0"/>
        <w:bidi w:val="0"/>
        <w:snapToGrid/>
        <w:spacing w:line="60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“三公”经费：指用财政拨款安排的因公出国（境）费、公务用车购置及运行费和公务接待费。</w:t>
      </w:r>
    </w:p>
    <w:p>
      <w:pPr>
        <w:keepNext w:val="0"/>
        <w:keepLines w:val="0"/>
        <w:pageBreakBefore w:val="0"/>
        <w:widowControl w:val="0"/>
        <w:numPr>
          <w:ilvl w:val="0"/>
          <w:numId w:val="2"/>
        </w:numPr>
        <w:kinsoku/>
        <w:wordWrap/>
        <w:overflowPunct/>
        <w:topLinePunct w:val="0"/>
        <w:bidi w:val="0"/>
        <w:snapToGrid/>
        <w:spacing w:line="60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政府采购 ：是指国家各级政府为从事日常的政务活动或为了满足公共服务的目的，利用国家财政性资金和政府借款购买货物、工程和服务的行为。</w:t>
      </w:r>
    </w:p>
    <w:p>
      <w:pPr>
        <w:keepNext w:val="0"/>
        <w:keepLines w:val="0"/>
        <w:pageBreakBefore w:val="0"/>
        <w:widowControl w:val="0"/>
        <w:numPr>
          <w:ilvl w:val="0"/>
          <w:numId w:val="2"/>
        </w:numPr>
        <w:kinsoku/>
        <w:wordWrap/>
        <w:overflowPunct/>
        <w:topLinePunct w:val="0"/>
        <w:bidi w:val="0"/>
        <w:snapToGrid/>
        <w:spacing w:line="60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jc w:val="left"/>
        <w:rPr>
          <w:rFonts w:cs="黑体" w:asciiTheme="minorEastAsia" w:hAnsiTheme="minorEastAsia"/>
          <w:color w:val="000000"/>
          <w:kern w:val="0"/>
          <w:sz w:val="32"/>
          <w:szCs w:val="32"/>
        </w:rPr>
      </w:pPr>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modern"/>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6D168"/>
    <w:multiLevelType w:val="singleLevel"/>
    <w:tmpl w:val="8326D168"/>
    <w:lvl w:ilvl="0" w:tentative="0">
      <w:start w:val="2"/>
      <w:numFmt w:val="chineseCounting"/>
      <w:suff w:val="nothing"/>
      <w:lvlText w:val="（%1）"/>
      <w:lvlJc w:val="left"/>
      <w:rPr>
        <w:rFonts w:hint="eastAsia"/>
      </w:rPr>
    </w:lvl>
  </w:abstractNum>
  <w:abstractNum w:abstractNumId="1">
    <w:nsid w:val="65D87160"/>
    <w:multiLevelType w:val="singleLevel"/>
    <w:tmpl w:val="65D87160"/>
    <w:lvl w:ilvl="0" w:tentative="0">
      <w:start w:val="1"/>
      <w:numFmt w:val="chineseCounting"/>
      <w:suff w:val="nothing"/>
      <w:lvlText w:val="%1、"/>
      <w:lvlJc w:val="left"/>
      <w:pPr>
        <w:ind w:left="0" w:firstLine="420"/>
      </w:pPr>
      <w:rPr>
        <w:rFonts w:hint="eastAsia" w:ascii="仿宋" w:hAnsi="仿宋" w:eastAsia="仿宋" w:cs="仿宋"/>
        <w:sz w:val="30"/>
        <w:szCs w:val="3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MjFmMWQyMWFkNDNhODQwMWJmM2Y4YzlhOTkyMzk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B718C"/>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1427BE"/>
    <w:rsid w:val="05C04047"/>
    <w:rsid w:val="0BE65989"/>
    <w:rsid w:val="193F0751"/>
    <w:rsid w:val="26AF59B2"/>
    <w:rsid w:val="285B3F3A"/>
    <w:rsid w:val="2D4F0FD5"/>
    <w:rsid w:val="2E1F1945"/>
    <w:rsid w:val="2F7A6D6E"/>
    <w:rsid w:val="3285584A"/>
    <w:rsid w:val="35C4147C"/>
    <w:rsid w:val="388045A7"/>
    <w:rsid w:val="3EBC24F1"/>
    <w:rsid w:val="461C7353"/>
    <w:rsid w:val="4CFC3661"/>
    <w:rsid w:val="4E7E24B7"/>
    <w:rsid w:val="530D1306"/>
    <w:rsid w:val="5777D4F5"/>
    <w:rsid w:val="58E91F08"/>
    <w:rsid w:val="5D4A3445"/>
    <w:rsid w:val="5FC6BB1E"/>
    <w:rsid w:val="5FF720F1"/>
    <w:rsid w:val="60433DF0"/>
    <w:rsid w:val="6C5D7894"/>
    <w:rsid w:val="70D65056"/>
    <w:rsid w:val="716F3C7B"/>
    <w:rsid w:val="737D59BA"/>
    <w:rsid w:val="77C37683"/>
    <w:rsid w:val="79FF515B"/>
    <w:rsid w:val="7C724227"/>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font01"/>
    <w:basedOn w:val="7"/>
    <w:qFormat/>
    <w:uiPriority w:val="0"/>
    <w:rPr>
      <w:rFonts w:hint="eastAsia" w:ascii="宋体" w:hAnsi="宋体" w:eastAsia="宋体" w:cs="宋体"/>
      <w:color w:val="000000"/>
      <w:sz w:val="22"/>
      <w:szCs w:val="22"/>
      <w:u w:val="none"/>
    </w:rPr>
  </w:style>
  <w:style w:type="character" w:customStyle="1" w:styleId="14">
    <w:name w:val="font21"/>
    <w:basedOn w:val="7"/>
    <w:qFormat/>
    <w:uiPriority w:val="0"/>
    <w:rPr>
      <w:rFonts w:hint="eastAsia" w:ascii="宋体" w:hAnsi="宋体" w:eastAsia="宋体" w:cs="宋体"/>
      <w:color w:val="000000"/>
      <w:sz w:val="24"/>
      <w:szCs w:val="24"/>
      <w:u w:val="none"/>
    </w:rPr>
  </w:style>
  <w:style w:type="character" w:customStyle="1" w:styleId="15">
    <w:name w:val="font11"/>
    <w:basedOn w:val="7"/>
    <w:qFormat/>
    <w:uiPriority w:val="0"/>
    <w:rPr>
      <w:rFonts w:hint="eastAsia" w:ascii="宋体" w:hAnsi="宋体" w:eastAsia="宋体" w:cs="宋体"/>
      <w:color w:val="000000"/>
      <w:sz w:val="24"/>
      <w:szCs w:val="24"/>
      <w:u w:val="none"/>
    </w:rPr>
  </w:style>
  <w:style w:type="paragraph" w:customStyle="1" w:styleId="16">
    <w:name w:val="列出段落2"/>
    <w:basedOn w:val="1"/>
    <w:qFormat/>
    <w:uiPriority w:val="99"/>
    <w:pPr>
      <w:ind w:firstLine="420" w:firstLineChars="200"/>
    </w:pPr>
    <w:rPr>
      <w:rFonts w:ascii="等线" w:hAnsi="等线" w:eastAsia="等线" w:cs="等线"/>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5589</Words>
  <Characters>6374</Characters>
  <Lines>63</Lines>
  <Paragraphs>18</Paragraphs>
  <TotalTime>14</TotalTime>
  <ScaleCrop>false</ScaleCrop>
  <LinksUpToDate>false</LinksUpToDate>
  <CharactersWithSpaces>7421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2023-09-18T07:04:20Z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A5C1E040E3AE4A388068B8AD3E6D3CB0_12</vt:lpwstr>
  </property>
</Properties>
</file>