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D71CA">
      <w:pPr>
        <w:jc w:val="center"/>
        <w:rPr>
          <w:rFonts w:hint="eastAsia" w:ascii="黑体" w:hAnsi="黑体" w:eastAsia="黑体" w:cs="黑体"/>
          <w:sz w:val="36"/>
          <w:szCs w:val="36"/>
        </w:rPr>
      </w:pPr>
    </w:p>
    <w:p w14:paraId="77CB01E4">
      <w:pPr>
        <w:jc w:val="center"/>
        <w:rPr>
          <w:rFonts w:hint="eastAsia" w:ascii="黑体" w:hAnsi="黑体" w:eastAsia="黑体" w:cs="黑体"/>
          <w:sz w:val="36"/>
          <w:szCs w:val="36"/>
        </w:rPr>
      </w:pPr>
      <w:r>
        <w:rPr>
          <w:rFonts w:hint="eastAsia" w:ascii="黑体" w:hAnsi="黑体" w:eastAsia="黑体" w:cs="黑体"/>
          <w:sz w:val="36"/>
          <w:szCs w:val="36"/>
        </w:rPr>
        <w:t>益阳市赫山区住房和城乡建设局2021年</w:t>
      </w:r>
      <w:r>
        <w:rPr>
          <w:rFonts w:hint="eastAsia" w:ascii="黑体" w:hAnsi="黑体" w:eastAsia="黑体" w:cs="黑体"/>
          <w:sz w:val="36"/>
          <w:szCs w:val="36"/>
          <w:lang w:val="en-US" w:eastAsia="zh-CN"/>
        </w:rPr>
        <w:t>度</w:t>
      </w:r>
      <w:r>
        <w:rPr>
          <w:rFonts w:hint="eastAsia" w:ascii="黑体" w:hAnsi="黑体" w:eastAsia="黑体" w:cs="黑体"/>
          <w:sz w:val="36"/>
          <w:szCs w:val="36"/>
        </w:rPr>
        <w:t>部门</w:t>
      </w:r>
    </w:p>
    <w:p w14:paraId="05B7BC2F">
      <w:pPr>
        <w:jc w:val="center"/>
        <w:rPr>
          <w:rFonts w:hint="eastAsia" w:ascii="黑体" w:hAnsi="黑体" w:eastAsia="黑体" w:cs="黑体"/>
          <w:sz w:val="36"/>
          <w:szCs w:val="36"/>
        </w:rPr>
      </w:pPr>
      <w:r>
        <w:rPr>
          <w:rFonts w:hint="eastAsia" w:ascii="黑体" w:hAnsi="黑体" w:eastAsia="黑体" w:cs="黑体"/>
          <w:sz w:val="36"/>
          <w:szCs w:val="36"/>
        </w:rPr>
        <w:t>整体支出绩效评价报告</w:t>
      </w:r>
    </w:p>
    <w:p w14:paraId="5C0BB4F8">
      <w:pPr>
        <w:jc w:val="center"/>
        <w:rPr>
          <w:rFonts w:ascii="方正小标宋简体" w:eastAsia="方正小标宋简体"/>
          <w:sz w:val="32"/>
          <w:szCs w:val="32"/>
        </w:rPr>
      </w:pPr>
    </w:p>
    <w:p w14:paraId="10671847">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根据《中共中央 国务院关于全面实施预算绩效管理的意见》（中发〔2018〕34号）、《财政部关于印发&lt;项目支出绩效评价管理办法&gt;的通知》（财预〔2020〕10号）和《中共湖南省委办公厅 湖南省人民政府办公厅关于全面实施预算绩效管理的实施意见》（湘政发〔2019〕10号），《益阳市赫山区财政局关于做好2021年度预算绩效自评工作的通知》（益赫财绩〔2022〕1号）等有关文件精神，我单位领导高度重视，认真组织，对2021年部门整体支出进行了绩效自评，现将我单位部门整体支出绩效自评情况报告如下：</w:t>
      </w:r>
    </w:p>
    <w:p w14:paraId="743AE51B">
      <w:pPr>
        <w:pStyle w:val="5"/>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lang w:val="en-US" w:eastAsia="zh-CN"/>
        </w:rPr>
        <w:t>一、</w:t>
      </w:r>
      <w:r>
        <w:rPr>
          <w:rFonts w:hint="eastAsia" w:ascii="Times New Roman" w:hAnsi="Times New Roman" w:eastAsia="黑体" w:cs="黑体"/>
          <w:sz w:val="32"/>
          <w:szCs w:val="32"/>
        </w:rPr>
        <w:t>单位基本情况</w:t>
      </w:r>
    </w:p>
    <w:p w14:paraId="576A59E9">
      <w:pPr>
        <w:pStyle w:val="5"/>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color w:val="333333"/>
          <w:sz w:val="30"/>
          <w:szCs w:val="30"/>
          <w:shd w:val="clear" w:color="auto" w:fill="FFFFFF"/>
        </w:rPr>
      </w:pPr>
      <w:r>
        <w:rPr>
          <w:rFonts w:hint="eastAsia" w:ascii="仿宋" w:hAnsi="仿宋" w:eastAsia="仿宋" w:cs="仿宋"/>
          <w:b/>
          <w:bCs/>
          <w:color w:val="333333"/>
          <w:sz w:val="30"/>
          <w:szCs w:val="30"/>
          <w:shd w:val="clear" w:color="auto" w:fill="FFFFFF"/>
          <w:lang w:val="en-US" w:eastAsia="zh-CN"/>
        </w:rPr>
        <w:t>（一）</w:t>
      </w:r>
      <w:r>
        <w:rPr>
          <w:rFonts w:hint="eastAsia" w:ascii="仿宋" w:hAnsi="仿宋" w:eastAsia="仿宋" w:cs="仿宋"/>
          <w:b/>
          <w:bCs/>
          <w:color w:val="333333"/>
          <w:sz w:val="30"/>
          <w:szCs w:val="30"/>
          <w:shd w:val="clear" w:color="auto" w:fill="FFFFFF"/>
        </w:rPr>
        <w:t>主要职责：</w:t>
      </w:r>
    </w:p>
    <w:p w14:paraId="6D630509">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贯彻执行国家、省、市、区有关住房和城乡建设管理的方针、政策和法律、法规、规章，组织拟订住房和城乡建设管理的规范性文件并监督实施。</w:t>
      </w:r>
    </w:p>
    <w:p w14:paraId="671427BC">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负责推进新型城镇化工作。拟订城乡建设相关发展战略、中长期发展规划和年度计划并组织实施；负责城乡建设重点项目的前期谋划和组织实施；指导小城镇建设和特色城镇建设，指导城乡基础设施建设。</w:t>
      </w:r>
    </w:p>
    <w:p w14:paraId="64371065">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指导和管理全区村镇建设工作。拟定村镇建设政策并指导实施；指导农村住房建设和安全及危房改造；指导城镇和村庄人居生态环境的改善工作。</w:t>
      </w:r>
    </w:p>
    <w:p w14:paraId="4B2987AB">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协助市城市规划区城市管理。协助城市市政公用事业和公用设施建设、运营安全和应急管理；协助城市供水、排水、燃气、热力、市政道路、城市桥梁、城市路灯（含社会灯饰）、绿化等工作；协助城市地下空间（含地下管线）建设的监督管理。</w:t>
      </w:r>
    </w:p>
    <w:p w14:paraId="63A14D44">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指导和管理全区建筑活动。拟订全区建筑业、勘察设计咨询业的行业发展战略、中长期规划、改革方案并组织实施；监督管理建筑市场各方面主体行为；指导监督建筑市场准入、劳保统筹、工程监理；组织协调建筑企业和勘察设计咨询企业跨地域工程承包、建筑劳务合作。</w:t>
      </w:r>
    </w:p>
    <w:p w14:paraId="36A44AE1">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负责建设项目的勘察设计监督管理工作。组织或主持全区建设项目（含民用建筑、工业建筑、市政（村镇）设施、公用建筑、园林绿化工程）初步设计的评审和报批工作；负责施工图审查；指导监督各类房屋建筑及其附属设施和城市市政（村镇）设施建设工程的抗震设防工作。</w:t>
      </w:r>
    </w:p>
    <w:p w14:paraId="0AE16D68">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承担建立科学规范的工程建设标准体系的责任。组织贯彻执行工程建设实施阶段的国家标准、全国统一定额和行业标准及相关的管理制度，执行省发布的工程建设地方标准、工程建设法规、地方定额；指导监督各类工程建设标准定额的实施和工程造价计价，组织发布工程造价信息，指导建设项目可行性评价办法、经济参数的实施。</w:t>
      </w:r>
    </w:p>
    <w:p w14:paraId="00C4EA81">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承担全区房屋建筑和市政（村镇）工程质量安全监管的责任。贯彻执行国家、省、市、区有关工程质量、安全生产和竣工验收备案的政策、法规、规章和制度；组织或参与工程重大质量、安全事故的调查处理；协助城市地下空间的勘察设计、工程质量安全及开发和利用。</w:t>
      </w:r>
    </w:p>
    <w:p w14:paraId="31A3AAFF">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承担推进全区建筑节能与建设科技进步的责任。实施建筑节能政策，组织实施重大建筑节能项目；指导建设行业科技项目的开发和新技术、新工艺、新产品、新材料的推广应用；负责指导管理行业重大技术改进和创新。</w:t>
      </w:r>
    </w:p>
    <w:p w14:paraId="04914F33">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承担推进全区城镇减排的责任。组织实施城镇污水、生活垃圾处理设施建设和重大减排项目实施，推进城镇减排。</w:t>
      </w:r>
    </w:p>
    <w:p w14:paraId="479AE07D">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11.</w:t>
      </w:r>
      <w:r>
        <w:rPr>
          <w:rFonts w:hint="eastAsia" w:ascii="仿宋" w:hAnsi="仿宋" w:eastAsia="仿宋" w:cs="仿宋"/>
          <w:sz w:val="30"/>
          <w:szCs w:val="30"/>
        </w:rPr>
        <w:t>会同有关部门筹措与管理城镇维护建设资金、行政事业性收费、预算外资金及其他专项资金；会同有关部门负责年度城镇维护建设项目资金计划的编制，指导与监督各专项经费的使用；对区本级维护建设工程进行预（决）算的审核和审计。</w:t>
      </w:r>
    </w:p>
    <w:p w14:paraId="144747D1">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12.</w:t>
      </w:r>
      <w:r>
        <w:rPr>
          <w:rFonts w:hint="eastAsia" w:ascii="仿宋" w:hAnsi="仿宋" w:eastAsia="仿宋" w:cs="仿宋"/>
          <w:sz w:val="30"/>
          <w:szCs w:val="30"/>
        </w:rPr>
        <w:t>贯彻执行住房保障、住房制度改革与房地产管理的方针、政策和法律、法规。指导房地产行业管理、综合管理城镇建设综合开发、房地产开发；指导和监督管理城镇房屋产权、产籍、租赁、交易、房屋商品化及土地使用权有偿转让和房地产开发经营工作。</w:t>
      </w:r>
    </w:p>
    <w:p w14:paraId="734C3B1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13.</w:t>
      </w:r>
      <w:r>
        <w:rPr>
          <w:rFonts w:hint="eastAsia" w:ascii="仿宋" w:hAnsi="仿宋" w:eastAsia="仿宋" w:cs="仿宋"/>
          <w:sz w:val="30"/>
          <w:szCs w:val="30"/>
        </w:rPr>
        <w:t>承担城镇低收入家庭住房保障的责任。建立完善多层次的住房保障体系；拟订住房保障相关政策并指导实施，组织拟订全区城镇保障性住房发展规划及年度计划并组织实施；会同有关部门做好政府有关保障性住房资金安排和资金监管；组织指导保障性住房建设，并对其使用或经营实施监督管理；指导实施棚户区改造。</w:t>
      </w:r>
    </w:p>
    <w:p w14:paraId="44A008F3">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14.</w:t>
      </w:r>
      <w:r>
        <w:rPr>
          <w:rFonts w:hint="eastAsia" w:ascii="仿宋" w:hAnsi="仿宋" w:eastAsia="仿宋" w:cs="仿宋"/>
          <w:sz w:val="30"/>
          <w:szCs w:val="30"/>
        </w:rPr>
        <w:t>拟订全区建设行业人才发展规划并督促实施，指导行业人才队伍建设，负责行业职工队伍的培训和继续教育；开展城乡建设方面的对外交流与合作；指导建筑领域的各行业学会、协会的工作。</w:t>
      </w:r>
    </w:p>
    <w:p w14:paraId="0CE605A7">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15.</w:t>
      </w:r>
      <w:r>
        <w:rPr>
          <w:rFonts w:hint="eastAsia" w:ascii="仿宋" w:hAnsi="仿宋" w:eastAsia="仿宋" w:cs="仿宋"/>
          <w:sz w:val="30"/>
          <w:szCs w:val="30"/>
        </w:rPr>
        <w:t>按照有关规定要求，承担对口事业服务机构业务工作的指导、协调和监督职责。</w:t>
      </w:r>
    </w:p>
    <w:p w14:paraId="4B42DBAE">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16.</w:t>
      </w:r>
      <w:r>
        <w:rPr>
          <w:rFonts w:hint="eastAsia" w:ascii="仿宋" w:hAnsi="仿宋" w:eastAsia="仿宋" w:cs="仿宋"/>
          <w:sz w:val="30"/>
          <w:szCs w:val="30"/>
        </w:rPr>
        <w:t>完成区委、区政府交办的其他任务。</w:t>
      </w:r>
    </w:p>
    <w:p w14:paraId="18DF4EEB">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17.</w:t>
      </w:r>
      <w:r>
        <w:rPr>
          <w:rFonts w:hint="eastAsia" w:ascii="仿宋" w:hAnsi="仿宋" w:eastAsia="仿宋" w:cs="仿宋"/>
          <w:sz w:val="30"/>
          <w:szCs w:val="30"/>
        </w:rPr>
        <w:t>职能转变：</w:t>
      </w:r>
    </w:p>
    <w:p w14:paraId="0CD0A6C3">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将城乡规划管理职责、山体水体保护管理职责划转至区自然资源局。</w:t>
      </w:r>
    </w:p>
    <w:p w14:paraId="18C31E00">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将风景名胜区、自然遗产管理职责划转至区林业局。</w:t>
      </w:r>
    </w:p>
    <w:p w14:paraId="29D7AD43">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color w:val="333333"/>
          <w:sz w:val="30"/>
          <w:szCs w:val="30"/>
          <w:shd w:val="clear" w:color="auto" w:fill="FFFFFF"/>
        </w:rPr>
      </w:pPr>
      <w:r>
        <w:rPr>
          <w:rFonts w:hint="eastAsia" w:ascii="仿宋" w:hAnsi="仿宋" w:eastAsia="仿宋" w:cs="仿宋"/>
          <w:b/>
          <w:bCs/>
          <w:color w:val="333333"/>
          <w:sz w:val="30"/>
          <w:szCs w:val="30"/>
          <w:shd w:val="clear" w:color="auto" w:fill="FFFFFF"/>
          <w:lang w:eastAsia="zh-CN"/>
        </w:rPr>
        <w:t>（</w:t>
      </w:r>
      <w:r>
        <w:rPr>
          <w:rFonts w:hint="eastAsia" w:ascii="仿宋" w:hAnsi="仿宋" w:eastAsia="仿宋" w:cs="仿宋"/>
          <w:b/>
          <w:bCs/>
          <w:color w:val="333333"/>
          <w:sz w:val="30"/>
          <w:szCs w:val="30"/>
          <w:shd w:val="clear" w:color="auto" w:fill="FFFFFF"/>
          <w:lang w:val="en-US" w:eastAsia="zh-CN"/>
        </w:rPr>
        <w:t>二）</w:t>
      </w:r>
      <w:r>
        <w:rPr>
          <w:rFonts w:hint="eastAsia" w:ascii="仿宋" w:hAnsi="仿宋" w:eastAsia="仿宋" w:cs="仿宋"/>
          <w:b/>
          <w:bCs/>
          <w:color w:val="333333"/>
          <w:sz w:val="30"/>
          <w:szCs w:val="30"/>
          <w:shd w:val="clear" w:color="auto" w:fill="FFFFFF"/>
        </w:rPr>
        <w:t>机构情况</w:t>
      </w:r>
    </w:p>
    <w:p w14:paraId="4124629F">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我单位内设机构7个：办公室（招商办）、财务人事股、住房保障股、建筑业和公用事业管理股、招投标管理股、房地产管理股、政务服务股（政策法规股）</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所属副科级事业单位3个：益阳市赫山区建设工程质量安全监督站、益阳市赫山区村镇建设事务中心、益阳市赫山区住房保障服务中心。 </w:t>
      </w:r>
    </w:p>
    <w:p w14:paraId="0A819C77">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000000"/>
          <w:sz w:val="30"/>
          <w:szCs w:val="30"/>
        </w:rPr>
      </w:pPr>
      <w:r>
        <w:rPr>
          <w:rFonts w:hint="eastAsia" w:ascii="仿宋" w:hAnsi="仿宋" w:eastAsia="仿宋" w:cs="仿宋"/>
          <w:b/>
          <w:bCs/>
          <w:color w:val="333333"/>
          <w:sz w:val="30"/>
          <w:szCs w:val="30"/>
          <w:shd w:val="clear" w:color="auto" w:fill="FFFFFF"/>
          <w:lang w:eastAsia="zh-CN"/>
        </w:rPr>
        <w:t>（</w:t>
      </w:r>
      <w:r>
        <w:rPr>
          <w:rFonts w:hint="eastAsia" w:ascii="仿宋" w:hAnsi="仿宋" w:eastAsia="仿宋" w:cs="仿宋"/>
          <w:b/>
          <w:bCs/>
          <w:color w:val="333333"/>
          <w:sz w:val="30"/>
          <w:szCs w:val="30"/>
          <w:shd w:val="clear" w:color="auto" w:fill="FFFFFF"/>
          <w:lang w:val="en-US" w:eastAsia="zh-CN"/>
        </w:rPr>
        <w:t>三）</w:t>
      </w:r>
      <w:r>
        <w:rPr>
          <w:rFonts w:hint="eastAsia" w:ascii="仿宋" w:hAnsi="仿宋" w:eastAsia="仿宋" w:cs="仿宋"/>
          <w:b/>
          <w:bCs/>
          <w:color w:val="333333"/>
          <w:sz w:val="30"/>
          <w:szCs w:val="30"/>
          <w:shd w:val="clear" w:color="auto" w:fill="FFFFFF"/>
        </w:rPr>
        <w:t>人员情况</w:t>
      </w:r>
    </w:p>
    <w:p w14:paraId="5D658B38">
      <w:pPr>
        <w:pStyle w:val="5"/>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color w:val="333333"/>
          <w:sz w:val="30"/>
          <w:szCs w:val="30"/>
          <w:shd w:val="clear" w:color="auto" w:fill="FFFFFF"/>
        </w:rPr>
        <w:t>我单位年末编制人数164人，其中：行政编制12个、财政全额拨款编制84个，自收自支编制68个。年末实有人数164人，退休人员107人。</w:t>
      </w:r>
    </w:p>
    <w:p w14:paraId="021D2C2E">
      <w:pPr>
        <w:pStyle w:val="5"/>
        <w:widowControl/>
        <w:ind w:left="640" w:firstLine="0" w:firstLineChars="0"/>
        <w:rPr>
          <w:rFonts w:ascii="Times New Roman" w:hAnsi="Times New Roman" w:eastAsia="黑体" w:cs="Times New Roman"/>
          <w:sz w:val="30"/>
          <w:szCs w:val="30"/>
        </w:rPr>
      </w:pPr>
      <w:r>
        <w:rPr>
          <w:rFonts w:hint="eastAsia" w:ascii="Times New Roman" w:hAnsi="Times New Roman" w:eastAsia="黑体" w:cs="黑体"/>
          <w:sz w:val="30"/>
          <w:szCs w:val="30"/>
        </w:rPr>
        <w:t>二、一般公共预算支出情况</w:t>
      </w:r>
    </w:p>
    <w:p w14:paraId="29B4E026">
      <w:pPr>
        <w:pStyle w:val="5"/>
        <w:keepNext w:val="0"/>
        <w:keepLines w:val="0"/>
        <w:pageBreakBefore w:val="0"/>
        <w:widowControl/>
        <w:kinsoku/>
        <w:wordWrap/>
        <w:overflowPunct/>
        <w:topLinePunct w:val="0"/>
        <w:autoSpaceDE/>
        <w:autoSpaceDN/>
        <w:bidi w:val="0"/>
        <w:adjustRightInd/>
        <w:spacing w:line="600" w:lineRule="exact"/>
        <w:ind w:left="640"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（一）基本支出情况</w:t>
      </w:r>
    </w:p>
    <w:p w14:paraId="3AE2D559">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2021年我单位一般公共预算财政拨款收入8326.39万元，其中：基本收入2796.57万元、项目收入5529.82万元；一般公共预算财政拨款支出16665.84万元，其中：基本支出2796.57万元</w:t>
      </w:r>
      <w:r>
        <w:rPr>
          <w:rFonts w:hint="eastAsia" w:ascii="仿宋" w:hAnsi="仿宋" w:eastAsia="仿宋" w:cs="仿宋"/>
          <w:sz w:val="30"/>
          <w:szCs w:val="30"/>
          <w:lang w:val="en-US" w:eastAsia="zh-CN"/>
        </w:rPr>
        <w:t>,较上年数减少93.64万元，减少3%，主要原因是厉行节约，严格控制公用经费支出。</w:t>
      </w:r>
    </w:p>
    <w:p w14:paraId="2AAB864A">
      <w:pPr>
        <w:keepNext w:val="0"/>
        <w:keepLines w:val="0"/>
        <w:pageBreakBefore w:val="0"/>
        <w:kinsoku/>
        <w:wordWrap/>
        <w:overflowPunct/>
        <w:topLinePunct w:val="0"/>
        <w:autoSpaceDE/>
        <w:autoSpaceDN/>
        <w:bidi w:val="0"/>
        <w:adjustRightInd/>
        <w:spacing w:line="600" w:lineRule="exact"/>
        <w:ind w:firstLine="1807" w:firstLineChars="600"/>
        <w:textAlignment w:val="auto"/>
        <w:rPr>
          <w:rFonts w:hint="eastAsia" w:ascii="仿宋" w:hAnsi="仿宋" w:eastAsia="仿宋" w:cs="仿宋"/>
          <w:b/>
          <w:sz w:val="30"/>
          <w:szCs w:val="30"/>
        </w:rPr>
      </w:pPr>
      <w:r>
        <w:rPr>
          <w:rFonts w:hint="eastAsia" w:ascii="仿宋" w:hAnsi="仿宋" w:eastAsia="仿宋" w:cs="仿宋"/>
          <w:b/>
          <w:sz w:val="30"/>
          <w:szCs w:val="30"/>
        </w:rPr>
        <w:t>2021年度部门基本支出明细表（万元）</w:t>
      </w:r>
    </w:p>
    <w:tbl>
      <w:tblPr>
        <w:tblStyle w:val="3"/>
        <w:tblW w:w="8516" w:type="dxa"/>
        <w:jc w:val="center"/>
        <w:tblLayout w:type="fixed"/>
        <w:tblCellMar>
          <w:top w:w="0" w:type="dxa"/>
          <w:left w:w="0" w:type="dxa"/>
          <w:bottom w:w="0" w:type="dxa"/>
          <w:right w:w="0" w:type="dxa"/>
        </w:tblCellMar>
      </w:tblPr>
      <w:tblGrid>
        <w:gridCol w:w="2087"/>
        <w:gridCol w:w="1276"/>
        <w:gridCol w:w="1275"/>
        <w:gridCol w:w="1276"/>
        <w:gridCol w:w="1276"/>
        <w:gridCol w:w="1326"/>
      </w:tblGrid>
      <w:tr w14:paraId="469C51E1">
        <w:tblPrEx>
          <w:tblCellMar>
            <w:top w:w="0" w:type="dxa"/>
            <w:left w:w="0" w:type="dxa"/>
            <w:bottom w:w="0" w:type="dxa"/>
            <w:right w:w="0" w:type="dxa"/>
          </w:tblCellMar>
        </w:tblPrEx>
        <w:trPr>
          <w:trHeight w:val="510" w:hRule="atLeast"/>
          <w:jc w:val="center"/>
        </w:trPr>
        <w:tc>
          <w:tcPr>
            <w:tcW w:w="208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2CB741">
            <w:pPr>
              <w:widowControl/>
              <w:ind w:firstLine="376"/>
              <w:jc w:val="center"/>
              <w:rPr>
                <w:rFonts w:hint="eastAsia" w:ascii="仿宋" w:hAnsi="仿宋" w:eastAsia="仿宋" w:cs="仿宋"/>
                <w:color w:val="222222"/>
                <w:kern w:val="0"/>
                <w:sz w:val="24"/>
                <w:szCs w:val="24"/>
              </w:rPr>
            </w:pPr>
            <w:r>
              <w:rPr>
                <w:rFonts w:hint="eastAsia" w:ascii="仿宋" w:hAnsi="仿宋" w:eastAsia="仿宋" w:cs="仿宋"/>
                <w:bCs/>
                <w:color w:val="222222"/>
                <w:kern w:val="0"/>
                <w:sz w:val="24"/>
                <w:szCs w:val="24"/>
              </w:rPr>
              <w:t>预算项目</w:t>
            </w:r>
          </w:p>
        </w:tc>
        <w:tc>
          <w:tcPr>
            <w:tcW w:w="127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6D913F41">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上年结转</w:t>
            </w:r>
          </w:p>
        </w:tc>
        <w:tc>
          <w:tcPr>
            <w:tcW w:w="127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600B8CE7">
            <w:pPr>
              <w:widowControl/>
              <w:jc w:val="center"/>
              <w:rPr>
                <w:rFonts w:hint="eastAsia" w:ascii="仿宋" w:hAnsi="仿宋" w:eastAsia="仿宋" w:cs="仿宋"/>
                <w:kern w:val="0"/>
                <w:sz w:val="24"/>
                <w:szCs w:val="24"/>
              </w:rPr>
            </w:pPr>
            <w:r>
              <w:rPr>
                <w:rFonts w:hint="eastAsia" w:ascii="仿宋" w:hAnsi="仿宋" w:eastAsia="仿宋" w:cs="仿宋"/>
                <w:bCs/>
                <w:kern w:val="0"/>
                <w:sz w:val="24"/>
                <w:szCs w:val="24"/>
              </w:rPr>
              <w:t>年初预算</w:t>
            </w:r>
          </w:p>
        </w:tc>
        <w:tc>
          <w:tcPr>
            <w:tcW w:w="127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5562B0EC">
            <w:pPr>
              <w:widowControl/>
              <w:jc w:val="center"/>
              <w:rPr>
                <w:rFonts w:hint="eastAsia" w:ascii="仿宋" w:hAnsi="仿宋" w:eastAsia="仿宋" w:cs="仿宋"/>
                <w:bCs/>
                <w:color w:val="222222"/>
                <w:kern w:val="0"/>
                <w:sz w:val="24"/>
                <w:szCs w:val="24"/>
              </w:rPr>
            </w:pPr>
            <w:r>
              <w:rPr>
                <w:rFonts w:hint="eastAsia" w:ascii="仿宋" w:hAnsi="仿宋" w:eastAsia="仿宋" w:cs="仿宋"/>
                <w:bCs/>
                <w:color w:val="222222"/>
                <w:kern w:val="0"/>
                <w:sz w:val="24"/>
                <w:szCs w:val="24"/>
              </w:rPr>
              <w:t>预算追加</w:t>
            </w:r>
          </w:p>
        </w:tc>
        <w:tc>
          <w:tcPr>
            <w:tcW w:w="127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2C72E248">
            <w:pPr>
              <w:widowControl/>
              <w:jc w:val="center"/>
              <w:rPr>
                <w:rFonts w:hint="eastAsia" w:ascii="仿宋" w:hAnsi="仿宋" w:eastAsia="仿宋" w:cs="仿宋"/>
                <w:color w:val="222222"/>
                <w:kern w:val="0"/>
                <w:sz w:val="24"/>
                <w:szCs w:val="24"/>
              </w:rPr>
            </w:pPr>
            <w:r>
              <w:rPr>
                <w:rFonts w:hint="eastAsia" w:ascii="仿宋" w:hAnsi="仿宋" w:eastAsia="仿宋" w:cs="仿宋"/>
                <w:bCs/>
                <w:color w:val="222222"/>
                <w:kern w:val="0"/>
                <w:sz w:val="24"/>
                <w:szCs w:val="24"/>
              </w:rPr>
              <w:t>本年决算</w:t>
            </w:r>
          </w:p>
        </w:tc>
        <w:tc>
          <w:tcPr>
            <w:tcW w:w="132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3AB3AD10">
            <w:pPr>
              <w:widowControl/>
              <w:jc w:val="center"/>
              <w:rPr>
                <w:rFonts w:hint="eastAsia" w:ascii="仿宋" w:hAnsi="仿宋" w:eastAsia="仿宋" w:cs="仿宋"/>
                <w:bCs/>
                <w:color w:val="222222"/>
                <w:kern w:val="0"/>
                <w:sz w:val="24"/>
                <w:szCs w:val="24"/>
              </w:rPr>
            </w:pPr>
            <w:r>
              <w:rPr>
                <w:rFonts w:hint="eastAsia" w:ascii="仿宋" w:hAnsi="仿宋" w:eastAsia="仿宋" w:cs="仿宋"/>
                <w:bCs/>
                <w:color w:val="222222"/>
                <w:kern w:val="0"/>
                <w:sz w:val="24"/>
                <w:szCs w:val="24"/>
              </w:rPr>
              <w:t>结转下年</w:t>
            </w:r>
          </w:p>
        </w:tc>
      </w:tr>
      <w:tr w14:paraId="19F0A855">
        <w:tblPrEx>
          <w:tblCellMar>
            <w:top w:w="0" w:type="dxa"/>
            <w:left w:w="0" w:type="dxa"/>
            <w:bottom w:w="0" w:type="dxa"/>
            <w:right w:w="0" w:type="dxa"/>
          </w:tblCellMar>
        </w:tblPrEx>
        <w:trPr>
          <w:trHeight w:val="510" w:hRule="atLeast"/>
          <w:jc w:val="center"/>
        </w:trPr>
        <w:tc>
          <w:tcPr>
            <w:tcW w:w="208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42497C">
            <w:pPr>
              <w:widowControl/>
              <w:rPr>
                <w:rFonts w:hint="eastAsia" w:ascii="仿宋" w:hAnsi="仿宋" w:eastAsia="仿宋" w:cs="仿宋"/>
                <w:b/>
                <w:bCs/>
                <w:color w:val="222222"/>
                <w:kern w:val="0"/>
                <w:sz w:val="24"/>
                <w:szCs w:val="24"/>
              </w:rPr>
            </w:pPr>
            <w:r>
              <w:rPr>
                <w:rFonts w:hint="eastAsia" w:ascii="仿宋" w:hAnsi="仿宋" w:eastAsia="仿宋" w:cs="仿宋"/>
                <w:b/>
                <w:bCs/>
                <w:sz w:val="24"/>
                <w:szCs w:val="24"/>
              </w:rPr>
              <w:t>基本支出：</w:t>
            </w:r>
          </w:p>
        </w:tc>
        <w:tc>
          <w:tcPr>
            <w:tcW w:w="127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44E097A6">
            <w:pPr>
              <w:widowControl/>
              <w:rPr>
                <w:rFonts w:hint="eastAsia" w:ascii="仿宋" w:hAnsi="仿宋" w:eastAsia="仿宋" w:cs="仿宋"/>
                <w:b/>
                <w:kern w:val="0"/>
                <w:sz w:val="24"/>
                <w:szCs w:val="24"/>
              </w:rPr>
            </w:pPr>
            <w:r>
              <w:rPr>
                <w:rFonts w:hint="eastAsia" w:ascii="仿宋" w:hAnsi="仿宋" w:eastAsia="仿宋" w:cs="仿宋"/>
                <w:b/>
                <w:kern w:val="0"/>
                <w:sz w:val="24"/>
                <w:szCs w:val="24"/>
              </w:rPr>
              <w:t xml:space="preserve">   0</w:t>
            </w:r>
          </w:p>
        </w:tc>
        <w:tc>
          <w:tcPr>
            <w:tcW w:w="127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00B84F69">
            <w:pPr>
              <w:widowControl/>
              <w:ind w:firstLine="241" w:firstLineChars="100"/>
              <w:rPr>
                <w:rFonts w:hint="eastAsia" w:ascii="仿宋" w:hAnsi="仿宋" w:eastAsia="仿宋" w:cs="仿宋"/>
                <w:b/>
                <w:kern w:val="0"/>
                <w:sz w:val="24"/>
                <w:szCs w:val="24"/>
              </w:rPr>
            </w:pPr>
            <w:r>
              <w:rPr>
                <w:rFonts w:hint="eastAsia" w:ascii="仿宋" w:hAnsi="仿宋" w:eastAsia="仿宋" w:cs="仿宋"/>
                <w:b/>
                <w:kern w:val="0"/>
                <w:sz w:val="24"/>
                <w:szCs w:val="24"/>
              </w:rPr>
              <w:t>534.77</w:t>
            </w:r>
          </w:p>
        </w:tc>
        <w:tc>
          <w:tcPr>
            <w:tcW w:w="127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4E32DAB8">
            <w:pPr>
              <w:widowControl/>
              <w:rPr>
                <w:rFonts w:hint="eastAsia" w:ascii="仿宋" w:hAnsi="仿宋" w:eastAsia="仿宋" w:cs="仿宋"/>
                <w:b/>
                <w:kern w:val="0"/>
                <w:sz w:val="24"/>
                <w:szCs w:val="24"/>
              </w:rPr>
            </w:pPr>
            <w:r>
              <w:rPr>
                <w:rFonts w:hint="eastAsia" w:ascii="仿宋" w:hAnsi="仿宋" w:eastAsia="仿宋" w:cs="仿宋"/>
                <w:b/>
                <w:kern w:val="0"/>
                <w:sz w:val="24"/>
                <w:szCs w:val="24"/>
              </w:rPr>
              <w:t>2261.80</w:t>
            </w:r>
          </w:p>
        </w:tc>
        <w:tc>
          <w:tcPr>
            <w:tcW w:w="127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5C80C0ED">
            <w:pPr>
              <w:widowControl/>
              <w:rPr>
                <w:rFonts w:hint="eastAsia" w:ascii="仿宋" w:hAnsi="仿宋" w:eastAsia="仿宋" w:cs="仿宋"/>
                <w:b/>
                <w:kern w:val="0"/>
                <w:sz w:val="24"/>
                <w:szCs w:val="24"/>
              </w:rPr>
            </w:pPr>
            <w:r>
              <w:rPr>
                <w:rFonts w:hint="eastAsia" w:ascii="仿宋" w:hAnsi="仿宋" w:eastAsia="仿宋" w:cs="仿宋"/>
                <w:b/>
                <w:kern w:val="0"/>
                <w:sz w:val="24"/>
                <w:szCs w:val="24"/>
              </w:rPr>
              <w:t>2796.57</w:t>
            </w:r>
          </w:p>
        </w:tc>
        <w:tc>
          <w:tcPr>
            <w:tcW w:w="132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0496A73B">
            <w:pPr>
              <w:widowControl/>
              <w:rPr>
                <w:rFonts w:hint="eastAsia" w:ascii="仿宋" w:hAnsi="仿宋" w:eastAsia="仿宋" w:cs="仿宋"/>
                <w:bCs/>
                <w:kern w:val="0"/>
                <w:sz w:val="24"/>
                <w:szCs w:val="24"/>
              </w:rPr>
            </w:pPr>
            <w:r>
              <w:rPr>
                <w:rFonts w:hint="eastAsia" w:ascii="仿宋" w:hAnsi="仿宋" w:eastAsia="仿宋" w:cs="仿宋"/>
                <w:bCs/>
                <w:kern w:val="0"/>
                <w:sz w:val="24"/>
                <w:szCs w:val="24"/>
              </w:rPr>
              <w:t xml:space="preserve">   0</w:t>
            </w:r>
          </w:p>
        </w:tc>
      </w:tr>
      <w:tr w14:paraId="397D8655">
        <w:tblPrEx>
          <w:tblCellMar>
            <w:top w:w="0" w:type="dxa"/>
            <w:left w:w="0" w:type="dxa"/>
            <w:bottom w:w="0" w:type="dxa"/>
            <w:right w:w="0" w:type="dxa"/>
          </w:tblCellMar>
        </w:tblPrEx>
        <w:trPr>
          <w:trHeight w:val="510" w:hRule="atLeast"/>
          <w:jc w:val="center"/>
        </w:trPr>
        <w:tc>
          <w:tcPr>
            <w:tcW w:w="208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4DC2D1">
            <w:pPr>
              <w:widowControl/>
              <w:rPr>
                <w:rFonts w:hint="eastAsia" w:ascii="仿宋" w:hAnsi="仿宋" w:eastAsia="仿宋" w:cs="仿宋"/>
                <w:color w:val="222222"/>
                <w:kern w:val="0"/>
                <w:sz w:val="24"/>
                <w:szCs w:val="24"/>
              </w:rPr>
            </w:pPr>
            <w:r>
              <w:rPr>
                <w:rFonts w:hint="eastAsia" w:ascii="仿宋" w:hAnsi="仿宋" w:eastAsia="仿宋" w:cs="仿宋"/>
                <w:bCs/>
                <w:color w:val="222222"/>
                <w:kern w:val="0"/>
                <w:sz w:val="24"/>
                <w:szCs w:val="24"/>
              </w:rPr>
              <w:t>工资福利支出</w:t>
            </w:r>
          </w:p>
        </w:tc>
        <w:tc>
          <w:tcPr>
            <w:tcW w:w="12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EA50F68">
            <w:pPr>
              <w:widowControl/>
              <w:ind w:firstLine="376"/>
              <w:rPr>
                <w:rFonts w:hint="eastAsia" w:ascii="仿宋" w:hAnsi="仿宋" w:eastAsia="仿宋" w:cs="仿宋"/>
                <w:bCs/>
                <w:kern w:val="0"/>
                <w:sz w:val="24"/>
                <w:szCs w:val="24"/>
              </w:rPr>
            </w:pPr>
            <w:r>
              <w:rPr>
                <w:rFonts w:hint="eastAsia" w:ascii="仿宋" w:hAnsi="仿宋" w:eastAsia="仿宋" w:cs="仿宋"/>
                <w:bCs/>
                <w:kern w:val="0"/>
                <w:sz w:val="24"/>
                <w:szCs w:val="24"/>
              </w:rPr>
              <w:t>0</w:t>
            </w:r>
          </w:p>
        </w:tc>
        <w:tc>
          <w:tcPr>
            <w:tcW w:w="127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29F348D">
            <w:pPr>
              <w:widowControl/>
              <w:ind w:firstLine="240" w:firstLineChars="100"/>
              <w:rPr>
                <w:rFonts w:hint="eastAsia" w:ascii="仿宋" w:hAnsi="仿宋" w:eastAsia="仿宋" w:cs="仿宋"/>
                <w:bCs/>
                <w:kern w:val="0"/>
                <w:sz w:val="24"/>
                <w:szCs w:val="24"/>
              </w:rPr>
            </w:pPr>
            <w:r>
              <w:rPr>
                <w:rFonts w:hint="eastAsia" w:ascii="仿宋" w:hAnsi="仿宋" w:eastAsia="仿宋" w:cs="仿宋"/>
                <w:bCs/>
                <w:kern w:val="0"/>
                <w:sz w:val="24"/>
                <w:szCs w:val="24"/>
              </w:rPr>
              <w:t>489.79</w:t>
            </w:r>
          </w:p>
        </w:tc>
        <w:tc>
          <w:tcPr>
            <w:tcW w:w="12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8034630">
            <w:pPr>
              <w:widowControl/>
              <w:ind w:firstLine="240" w:firstLineChars="100"/>
              <w:rPr>
                <w:rFonts w:hint="eastAsia" w:ascii="仿宋" w:hAnsi="仿宋" w:eastAsia="仿宋" w:cs="仿宋"/>
                <w:bCs/>
                <w:kern w:val="0"/>
                <w:sz w:val="24"/>
                <w:szCs w:val="24"/>
              </w:rPr>
            </w:pPr>
            <w:r>
              <w:rPr>
                <w:rFonts w:hint="eastAsia" w:ascii="仿宋" w:hAnsi="仿宋" w:eastAsia="仿宋" w:cs="仿宋"/>
                <w:bCs/>
                <w:kern w:val="0"/>
                <w:sz w:val="24"/>
                <w:szCs w:val="24"/>
              </w:rPr>
              <w:t>213.07</w:t>
            </w:r>
          </w:p>
        </w:tc>
        <w:tc>
          <w:tcPr>
            <w:tcW w:w="12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7C51E13">
            <w:pPr>
              <w:widowControl/>
              <w:rPr>
                <w:rFonts w:hint="eastAsia" w:ascii="仿宋" w:hAnsi="仿宋" w:eastAsia="仿宋" w:cs="仿宋"/>
                <w:bCs/>
                <w:kern w:val="0"/>
                <w:sz w:val="24"/>
                <w:szCs w:val="24"/>
              </w:rPr>
            </w:pPr>
            <w:r>
              <w:rPr>
                <w:rFonts w:hint="eastAsia" w:ascii="仿宋" w:hAnsi="仿宋" w:eastAsia="仿宋" w:cs="仿宋"/>
                <w:bCs/>
                <w:kern w:val="0"/>
                <w:sz w:val="24"/>
                <w:szCs w:val="24"/>
              </w:rPr>
              <w:t xml:space="preserve"> 702.86</w:t>
            </w:r>
          </w:p>
        </w:tc>
        <w:tc>
          <w:tcPr>
            <w:tcW w:w="132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7F8F117">
            <w:pPr>
              <w:widowControl/>
              <w:ind w:firstLine="376"/>
              <w:rPr>
                <w:rFonts w:hint="eastAsia" w:ascii="仿宋" w:hAnsi="仿宋" w:eastAsia="仿宋" w:cs="仿宋"/>
                <w:bCs/>
                <w:kern w:val="0"/>
                <w:sz w:val="24"/>
                <w:szCs w:val="24"/>
              </w:rPr>
            </w:pPr>
            <w:r>
              <w:rPr>
                <w:rFonts w:hint="eastAsia" w:ascii="仿宋" w:hAnsi="仿宋" w:eastAsia="仿宋" w:cs="仿宋"/>
                <w:bCs/>
                <w:kern w:val="0"/>
                <w:sz w:val="24"/>
                <w:szCs w:val="24"/>
              </w:rPr>
              <w:t>0</w:t>
            </w:r>
          </w:p>
        </w:tc>
      </w:tr>
      <w:tr w14:paraId="71097709">
        <w:tblPrEx>
          <w:tblCellMar>
            <w:top w:w="0" w:type="dxa"/>
            <w:left w:w="0" w:type="dxa"/>
            <w:bottom w:w="0" w:type="dxa"/>
            <w:right w:w="0" w:type="dxa"/>
          </w:tblCellMar>
        </w:tblPrEx>
        <w:trPr>
          <w:trHeight w:val="510" w:hRule="atLeast"/>
          <w:jc w:val="center"/>
        </w:trPr>
        <w:tc>
          <w:tcPr>
            <w:tcW w:w="2087" w:type="dxa"/>
            <w:tcBorders>
              <w:top w:val="nil"/>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14:paraId="1EB3B3F4">
            <w:pPr>
              <w:widowControl/>
              <w:rPr>
                <w:rFonts w:hint="eastAsia" w:ascii="仿宋" w:hAnsi="仿宋" w:eastAsia="仿宋" w:cs="仿宋"/>
                <w:color w:val="222222"/>
                <w:kern w:val="0"/>
                <w:sz w:val="24"/>
                <w:szCs w:val="24"/>
              </w:rPr>
            </w:pPr>
            <w:r>
              <w:rPr>
                <w:rFonts w:hint="eastAsia" w:ascii="仿宋" w:hAnsi="仿宋" w:eastAsia="仿宋" w:cs="仿宋"/>
                <w:bCs/>
                <w:color w:val="222222"/>
                <w:kern w:val="0"/>
                <w:sz w:val="24"/>
                <w:szCs w:val="24"/>
              </w:rPr>
              <w:t>商品和服务支出</w:t>
            </w:r>
          </w:p>
        </w:tc>
        <w:tc>
          <w:tcPr>
            <w:tcW w:w="1276" w:type="dxa"/>
            <w:tcBorders>
              <w:top w:val="nil"/>
              <w:left w:val="nil"/>
              <w:bottom w:val="single" w:color="auto" w:sz="4" w:space="0"/>
              <w:right w:val="single" w:color="000000" w:sz="8" w:space="0"/>
            </w:tcBorders>
            <w:noWrap w:val="0"/>
            <w:tcMar>
              <w:top w:w="0" w:type="dxa"/>
              <w:left w:w="108" w:type="dxa"/>
              <w:bottom w:w="0" w:type="dxa"/>
              <w:right w:w="108" w:type="dxa"/>
            </w:tcMar>
            <w:vAlign w:val="center"/>
          </w:tcPr>
          <w:p w14:paraId="46880C7B">
            <w:pPr>
              <w:widowControl/>
              <w:ind w:firstLine="376"/>
              <w:rPr>
                <w:rFonts w:hint="eastAsia" w:ascii="仿宋" w:hAnsi="仿宋" w:eastAsia="仿宋" w:cs="仿宋"/>
                <w:bCs/>
                <w:kern w:val="0"/>
                <w:sz w:val="24"/>
                <w:szCs w:val="24"/>
              </w:rPr>
            </w:pPr>
            <w:r>
              <w:rPr>
                <w:rFonts w:hint="eastAsia" w:ascii="仿宋" w:hAnsi="仿宋" w:eastAsia="仿宋" w:cs="仿宋"/>
                <w:bCs/>
                <w:kern w:val="0"/>
                <w:sz w:val="24"/>
                <w:szCs w:val="24"/>
              </w:rPr>
              <w:t>0</w:t>
            </w:r>
          </w:p>
        </w:tc>
        <w:tc>
          <w:tcPr>
            <w:tcW w:w="1275" w:type="dxa"/>
            <w:tcBorders>
              <w:top w:val="nil"/>
              <w:left w:val="nil"/>
              <w:bottom w:val="single" w:color="auto" w:sz="4" w:space="0"/>
              <w:right w:val="single" w:color="000000" w:sz="8" w:space="0"/>
            </w:tcBorders>
            <w:noWrap w:val="0"/>
            <w:tcMar>
              <w:top w:w="0" w:type="dxa"/>
              <w:left w:w="108" w:type="dxa"/>
              <w:bottom w:w="0" w:type="dxa"/>
              <w:right w:w="108" w:type="dxa"/>
            </w:tcMar>
            <w:vAlign w:val="center"/>
          </w:tcPr>
          <w:p w14:paraId="7F9E66F1">
            <w:pPr>
              <w:widowControl/>
              <w:ind w:firstLine="240" w:firstLineChars="100"/>
              <w:rPr>
                <w:rFonts w:hint="eastAsia" w:ascii="仿宋" w:hAnsi="仿宋" w:eastAsia="仿宋" w:cs="仿宋"/>
                <w:bCs/>
                <w:kern w:val="0"/>
                <w:sz w:val="24"/>
                <w:szCs w:val="24"/>
              </w:rPr>
            </w:pPr>
            <w:r>
              <w:rPr>
                <w:rFonts w:hint="eastAsia" w:ascii="仿宋" w:hAnsi="仿宋" w:eastAsia="仿宋" w:cs="仿宋"/>
                <w:bCs/>
                <w:kern w:val="0"/>
                <w:sz w:val="24"/>
                <w:szCs w:val="24"/>
              </w:rPr>
              <w:t>36.16</w:t>
            </w:r>
          </w:p>
        </w:tc>
        <w:tc>
          <w:tcPr>
            <w:tcW w:w="1276" w:type="dxa"/>
            <w:tcBorders>
              <w:top w:val="nil"/>
              <w:left w:val="nil"/>
              <w:bottom w:val="single" w:color="auto" w:sz="4" w:space="0"/>
              <w:right w:val="single" w:color="000000" w:sz="8" w:space="0"/>
            </w:tcBorders>
            <w:noWrap w:val="0"/>
            <w:tcMar>
              <w:top w:w="0" w:type="dxa"/>
              <w:left w:w="108" w:type="dxa"/>
              <w:bottom w:w="0" w:type="dxa"/>
              <w:right w:w="108" w:type="dxa"/>
            </w:tcMar>
            <w:vAlign w:val="center"/>
          </w:tcPr>
          <w:p w14:paraId="4EFD001B">
            <w:pPr>
              <w:widowControl/>
              <w:rPr>
                <w:rFonts w:hint="eastAsia" w:ascii="仿宋" w:hAnsi="仿宋" w:eastAsia="仿宋" w:cs="仿宋"/>
                <w:bCs/>
                <w:kern w:val="0"/>
                <w:sz w:val="24"/>
                <w:szCs w:val="24"/>
              </w:rPr>
            </w:pPr>
            <w:r>
              <w:rPr>
                <w:rFonts w:hint="eastAsia" w:ascii="仿宋" w:hAnsi="仿宋" w:eastAsia="仿宋" w:cs="仿宋"/>
                <w:bCs/>
                <w:kern w:val="0"/>
                <w:sz w:val="24"/>
                <w:szCs w:val="24"/>
              </w:rPr>
              <w:t>1950.91</w:t>
            </w:r>
          </w:p>
        </w:tc>
        <w:tc>
          <w:tcPr>
            <w:tcW w:w="1276" w:type="dxa"/>
            <w:tcBorders>
              <w:top w:val="nil"/>
              <w:left w:val="nil"/>
              <w:bottom w:val="single" w:color="auto" w:sz="4" w:space="0"/>
              <w:right w:val="single" w:color="000000" w:sz="8" w:space="0"/>
            </w:tcBorders>
            <w:noWrap w:val="0"/>
            <w:tcMar>
              <w:top w:w="0" w:type="dxa"/>
              <w:left w:w="108" w:type="dxa"/>
              <w:bottom w:w="0" w:type="dxa"/>
              <w:right w:w="108" w:type="dxa"/>
            </w:tcMar>
            <w:vAlign w:val="center"/>
          </w:tcPr>
          <w:p w14:paraId="791CF548">
            <w:pPr>
              <w:widowControl/>
              <w:rPr>
                <w:rFonts w:hint="eastAsia" w:ascii="仿宋" w:hAnsi="仿宋" w:eastAsia="仿宋" w:cs="仿宋"/>
                <w:bCs/>
                <w:kern w:val="0"/>
                <w:sz w:val="24"/>
                <w:szCs w:val="24"/>
              </w:rPr>
            </w:pPr>
            <w:r>
              <w:rPr>
                <w:rFonts w:hint="eastAsia" w:ascii="仿宋" w:hAnsi="仿宋" w:eastAsia="仿宋" w:cs="仿宋"/>
                <w:bCs/>
                <w:kern w:val="0"/>
                <w:sz w:val="24"/>
                <w:szCs w:val="24"/>
              </w:rPr>
              <w:t>1987.07</w:t>
            </w:r>
          </w:p>
        </w:tc>
        <w:tc>
          <w:tcPr>
            <w:tcW w:w="1326" w:type="dxa"/>
            <w:tcBorders>
              <w:top w:val="nil"/>
              <w:left w:val="nil"/>
              <w:bottom w:val="single" w:color="auto" w:sz="4" w:space="0"/>
              <w:right w:val="single" w:color="000000" w:sz="8" w:space="0"/>
            </w:tcBorders>
            <w:noWrap w:val="0"/>
            <w:tcMar>
              <w:top w:w="0" w:type="dxa"/>
              <w:left w:w="108" w:type="dxa"/>
              <w:bottom w:w="0" w:type="dxa"/>
              <w:right w:w="108" w:type="dxa"/>
            </w:tcMar>
            <w:vAlign w:val="center"/>
          </w:tcPr>
          <w:p w14:paraId="4A91195F">
            <w:pPr>
              <w:widowControl/>
              <w:ind w:firstLine="376"/>
              <w:rPr>
                <w:rFonts w:hint="eastAsia" w:ascii="仿宋" w:hAnsi="仿宋" w:eastAsia="仿宋" w:cs="仿宋"/>
                <w:bCs/>
                <w:kern w:val="0"/>
                <w:sz w:val="24"/>
                <w:szCs w:val="24"/>
              </w:rPr>
            </w:pPr>
            <w:r>
              <w:rPr>
                <w:rFonts w:hint="eastAsia" w:ascii="仿宋" w:hAnsi="仿宋" w:eastAsia="仿宋" w:cs="仿宋"/>
                <w:bCs/>
                <w:kern w:val="0"/>
                <w:sz w:val="24"/>
                <w:szCs w:val="24"/>
              </w:rPr>
              <w:t>0</w:t>
            </w:r>
          </w:p>
        </w:tc>
      </w:tr>
      <w:tr w14:paraId="0B3E33AA">
        <w:tblPrEx>
          <w:tblCellMar>
            <w:top w:w="0" w:type="dxa"/>
            <w:left w:w="0" w:type="dxa"/>
            <w:bottom w:w="0" w:type="dxa"/>
            <w:right w:w="0" w:type="dxa"/>
          </w:tblCellMar>
        </w:tblPrEx>
        <w:trPr>
          <w:trHeight w:val="440" w:hRule="atLeast"/>
          <w:jc w:val="center"/>
        </w:trPr>
        <w:tc>
          <w:tcPr>
            <w:tcW w:w="2087" w:type="dxa"/>
            <w:tcBorders>
              <w:top w:val="single" w:color="auto" w:sz="4" w:space="0"/>
              <w:left w:val="single" w:color="auto" w:sz="4" w:space="0"/>
              <w:bottom w:val="single" w:color="auto" w:sz="4" w:space="0"/>
              <w:right w:val="single" w:color="000000" w:sz="8" w:space="0"/>
            </w:tcBorders>
            <w:noWrap w:val="0"/>
            <w:tcMar>
              <w:top w:w="0" w:type="dxa"/>
              <w:left w:w="108" w:type="dxa"/>
              <w:bottom w:w="0" w:type="dxa"/>
              <w:right w:w="108" w:type="dxa"/>
            </w:tcMar>
            <w:vAlign w:val="center"/>
          </w:tcPr>
          <w:p w14:paraId="78F46FCA">
            <w:pPr>
              <w:widowControl/>
              <w:rPr>
                <w:rFonts w:hint="eastAsia" w:ascii="仿宋" w:hAnsi="仿宋" w:eastAsia="仿宋" w:cs="仿宋"/>
                <w:color w:val="222222"/>
                <w:kern w:val="0"/>
                <w:sz w:val="24"/>
                <w:szCs w:val="24"/>
              </w:rPr>
            </w:pPr>
            <w:r>
              <w:rPr>
                <w:rFonts w:hint="eastAsia" w:ascii="仿宋" w:hAnsi="仿宋" w:eastAsia="仿宋" w:cs="仿宋"/>
                <w:bCs/>
                <w:color w:val="222222"/>
                <w:kern w:val="0"/>
                <w:sz w:val="24"/>
                <w:szCs w:val="24"/>
              </w:rPr>
              <w:t>对个人和家庭补助</w:t>
            </w:r>
          </w:p>
        </w:tc>
        <w:tc>
          <w:tcPr>
            <w:tcW w:w="1276" w:type="dxa"/>
            <w:tcBorders>
              <w:top w:val="single" w:color="auto" w:sz="4" w:space="0"/>
              <w:left w:val="nil"/>
              <w:bottom w:val="single" w:color="auto" w:sz="4" w:space="0"/>
              <w:right w:val="single" w:color="000000" w:sz="8" w:space="0"/>
            </w:tcBorders>
            <w:noWrap w:val="0"/>
            <w:tcMar>
              <w:top w:w="0" w:type="dxa"/>
              <w:left w:w="108" w:type="dxa"/>
              <w:bottom w:w="0" w:type="dxa"/>
              <w:right w:w="108" w:type="dxa"/>
            </w:tcMar>
            <w:vAlign w:val="center"/>
          </w:tcPr>
          <w:p w14:paraId="7488B572">
            <w:pPr>
              <w:widowControl/>
              <w:ind w:firstLine="376"/>
              <w:rPr>
                <w:rFonts w:hint="eastAsia" w:ascii="仿宋" w:hAnsi="仿宋" w:eastAsia="仿宋" w:cs="仿宋"/>
                <w:bCs/>
                <w:kern w:val="0"/>
                <w:sz w:val="24"/>
                <w:szCs w:val="24"/>
              </w:rPr>
            </w:pPr>
            <w:r>
              <w:rPr>
                <w:rFonts w:hint="eastAsia" w:ascii="仿宋" w:hAnsi="仿宋" w:eastAsia="仿宋" w:cs="仿宋"/>
                <w:bCs/>
                <w:kern w:val="0"/>
                <w:sz w:val="24"/>
                <w:szCs w:val="24"/>
              </w:rPr>
              <w:t>0</w:t>
            </w:r>
          </w:p>
        </w:tc>
        <w:tc>
          <w:tcPr>
            <w:tcW w:w="1275" w:type="dxa"/>
            <w:tcBorders>
              <w:top w:val="single" w:color="auto" w:sz="4" w:space="0"/>
              <w:left w:val="nil"/>
              <w:bottom w:val="single" w:color="auto" w:sz="4" w:space="0"/>
              <w:right w:val="single" w:color="000000" w:sz="8" w:space="0"/>
            </w:tcBorders>
            <w:noWrap w:val="0"/>
            <w:tcMar>
              <w:top w:w="0" w:type="dxa"/>
              <w:left w:w="108" w:type="dxa"/>
              <w:bottom w:w="0" w:type="dxa"/>
              <w:right w:w="108" w:type="dxa"/>
            </w:tcMar>
            <w:vAlign w:val="center"/>
          </w:tcPr>
          <w:p w14:paraId="56DCA78D">
            <w:pPr>
              <w:widowControl/>
              <w:ind w:firstLine="240" w:firstLineChars="100"/>
              <w:rPr>
                <w:rFonts w:hint="eastAsia" w:ascii="仿宋" w:hAnsi="仿宋" w:eastAsia="仿宋" w:cs="仿宋"/>
                <w:bCs/>
                <w:kern w:val="0"/>
                <w:sz w:val="24"/>
                <w:szCs w:val="24"/>
              </w:rPr>
            </w:pPr>
            <w:r>
              <w:rPr>
                <w:rFonts w:hint="eastAsia" w:ascii="仿宋" w:hAnsi="仿宋" w:eastAsia="仿宋" w:cs="仿宋"/>
                <w:bCs/>
                <w:kern w:val="0"/>
                <w:sz w:val="24"/>
                <w:szCs w:val="24"/>
              </w:rPr>
              <w:t>8.82</w:t>
            </w:r>
          </w:p>
        </w:tc>
        <w:tc>
          <w:tcPr>
            <w:tcW w:w="1276" w:type="dxa"/>
            <w:tcBorders>
              <w:top w:val="single" w:color="auto" w:sz="4" w:space="0"/>
              <w:left w:val="nil"/>
              <w:bottom w:val="single" w:color="auto" w:sz="4" w:space="0"/>
              <w:right w:val="single" w:color="000000" w:sz="8" w:space="0"/>
            </w:tcBorders>
            <w:noWrap w:val="0"/>
            <w:tcMar>
              <w:top w:w="0" w:type="dxa"/>
              <w:left w:w="108" w:type="dxa"/>
              <w:bottom w:w="0" w:type="dxa"/>
              <w:right w:w="108" w:type="dxa"/>
            </w:tcMar>
            <w:vAlign w:val="center"/>
          </w:tcPr>
          <w:p w14:paraId="5EA0D7DA">
            <w:pPr>
              <w:widowControl/>
              <w:ind w:firstLine="240" w:firstLineChars="100"/>
              <w:rPr>
                <w:rFonts w:hint="eastAsia" w:ascii="仿宋" w:hAnsi="仿宋" w:eastAsia="仿宋" w:cs="仿宋"/>
                <w:bCs/>
                <w:kern w:val="0"/>
                <w:sz w:val="24"/>
                <w:szCs w:val="24"/>
              </w:rPr>
            </w:pPr>
            <w:r>
              <w:rPr>
                <w:rFonts w:hint="eastAsia" w:ascii="仿宋" w:hAnsi="仿宋" w:eastAsia="仿宋" w:cs="仿宋"/>
                <w:bCs/>
                <w:kern w:val="0"/>
                <w:sz w:val="24"/>
                <w:szCs w:val="24"/>
              </w:rPr>
              <w:t>48.36</w:t>
            </w:r>
          </w:p>
        </w:tc>
        <w:tc>
          <w:tcPr>
            <w:tcW w:w="127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C480208">
            <w:pPr>
              <w:widowControl/>
              <w:ind w:firstLine="240" w:firstLineChars="100"/>
              <w:rPr>
                <w:rFonts w:hint="eastAsia" w:ascii="仿宋" w:hAnsi="仿宋" w:eastAsia="仿宋" w:cs="仿宋"/>
                <w:bCs/>
                <w:kern w:val="0"/>
                <w:sz w:val="24"/>
                <w:szCs w:val="24"/>
              </w:rPr>
            </w:pPr>
            <w:r>
              <w:rPr>
                <w:rFonts w:hint="eastAsia" w:ascii="仿宋" w:hAnsi="仿宋" w:eastAsia="仿宋" w:cs="仿宋"/>
                <w:bCs/>
                <w:kern w:val="0"/>
                <w:sz w:val="24"/>
                <w:szCs w:val="24"/>
              </w:rPr>
              <w:t>57.18</w:t>
            </w:r>
          </w:p>
        </w:tc>
        <w:tc>
          <w:tcPr>
            <w:tcW w:w="132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FE47A3C">
            <w:pPr>
              <w:widowControl/>
              <w:ind w:firstLine="376"/>
              <w:rPr>
                <w:rFonts w:hint="eastAsia" w:ascii="仿宋" w:hAnsi="仿宋" w:eastAsia="仿宋" w:cs="仿宋"/>
                <w:bCs/>
                <w:kern w:val="0"/>
                <w:sz w:val="24"/>
                <w:szCs w:val="24"/>
              </w:rPr>
            </w:pPr>
            <w:r>
              <w:rPr>
                <w:rFonts w:hint="eastAsia" w:ascii="仿宋" w:hAnsi="仿宋" w:eastAsia="仿宋" w:cs="仿宋"/>
                <w:bCs/>
                <w:kern w:val="0"/>
                <w:sz w:val="24"/>
                <w:szCs w:val="24"/>
              </w:rPr>
              <w:t>0</w:t>
            </w:r>
          </w:p>
        </w:tc>
      </w:tr>
      <w:tr w14:paraId="0B7F0D0D">
        <w:tblPrEx>
          <w:tblCellMar>
            <w:top w:w="0" w:type="dxa"/>
            <w:left w:w="0" w:type="dxa"/>
            <w:bottom w:w="0" w:type="dxa"/>
            <w:right w:w="0" w:type="dxa"/>
          </w:tblCellMar>
        </w:tblPrEx>
        <w:trPr>
          <w:trHeight w:val="510" w:hRule="atLeast"/>
          <w:jc w:val="center"/>
        </w:trPr>
        <w:tc>
          <w:tcPr>
            <w:tcW w:w="2087" w:type="dxa"/>
            <w:tcBorders>
              <w:top w:val="single" w:color="auto" w:sz="4" w:space="0"/>
              <w:left w:val="single" w:color="auto" w:sz="4" w:space="0"/>
              <w:bottom w:val="single" w:color="auto" w:sz="4" w:space="0"/>
              <w:right w:val="single" w:color="000000" w:sz="8" w:space="0"/>
            </w:tcBorders>
            <w:noWrap w:val="0"/>
            <w:tcMar>
              <w:top w:w="0" w:type="dxa"/>
              <w:left w:w="108" w:type="dxa"/>
              <w:bottom w:w="0" w:type="dxa"/>
              <w:right w:w="108" w:type="dxa"/>
            </w:tcMar>
            <w:vAlign w:val="center"/>
          </w:tcPr>
          <w:p w14:paraId="0440E398">
            <w:pPr>
              <w:widowControl/>
              <w:rPr>
                <w:rFonts w:hint="eastAsia" w:ascii="仿宋" w:hAnsi="仿宋" w:eastAsia="仿宋" w:cs="仿宋"/>
                <w:bCs/>
                <w:color w:val="222222"/>
                <w:kern w:val="0"/>
                <w:sz w:val="24"/>
                <w:szCs w:val="24"/>
              </w:rPr>
            </w:pPr>
            <w:r>
              <w:rPr>
                <w:rFonts w:hint="eastAsia" w:ascii="仿宋" w:hAnsi="仿宋" w:eastAsia="仿宋" w:cs="仿宋"/>
                <w:bCs/>
                <w:color w:val="222222"/>
                <w:kern w:val="0"/>
                <w:sz w:val="24"/>
                <w:szCs w:val="24"/>
              </w:rPr>
              <w:t>资本性支出</w:t>
            </w:r>
          </w:p>
        </w:tc>
        <w:tc>
          <w:tcPr>
            <w:tcW w:w="1276" w:type="dxa"/>
            <w:tcBorders>
              <w:top w:val="single" w:color="auto" w:sz="4" w:space="0"/>
              <w:left w:val="nil"/>
              <w:bottom w:val="single" w:color="auto" w:sz="4" w:space="0"/>
              <w:right w:val="single" w:color="000000" w:sz="8" w:space="0"/>
            </w:tcBorders>
            <w:noWrap w:val="0"/>
            <w:tcMar>
              <w:top w:w="0" w:type="dxa"/>
              <w:left w:w="108" w:type="dxa"/>
              <w:bottom w:w="0" w:type="dxa"/>
              <w:right w:w="108" w:type="dxa"/>
            </w:tcMar>
            <w:vAlign w:val="center"/>
          </w:tcPr>
          <w:p w14:paraId="00A7812A">
            <w:pPr>
              <w:widowControl/>
              <w:ind w:firstLine="376"/>
              <w:rPr>
                <w:rFonts w:hint="eastAsia" w:ascii="仿宋" w:hAnsi="仿宋" w:eastAsia="仿宋" w:cs="仿宋"/>
                <w:bCs/>
                <w:kern w:val="0"/>
                <w:sz w:val="24"/>
                <w:szCs w:val="24"/>
              </w:rPr>
            </w:pPr>
            <w:r>
              <w:rPr>
                <w:rFonts w:hint="eastAsia" w:ascii="仿宋" w:hAnsi="仿宋" w:eastAsia="仿宋" w:cs="仿宋"/>
                <w:bCs/>
                <w:kern w:val="0"/>
                <w:sz w:val="24"/>
                <w:szCs w:val="24"/>
              </w:rPr>
              <w:t>0</w:t>
            </w:r>
          </w:p>
        </w:tc>
        <w:tc>
          <w:tcPr>
            <w:tcW w:w="1275" w:type="dxa"/>
            <w:tcBorders>
              <w:top w:val="single" w:color="auto" w:sz="4" w:space="0"/>
              <w:left w:val="nil"/>
              <w:bottom w:val="single" w:color="auto" w:sz="4" w:space="0"/>
              <w:right w:val="single" w:color="000000" w:sz="8" w:space="0"/>
            </w:tcBorders>
            <w:noWrap w:val="0"/>
            <w:tcMar>
              <w:top w:w="0" w:type="dxa"/>
              <w:left w:w="108" w:type="dxa"/>
              <w:bottom w:w="0" w:type="dxa"/>
              <w:right w:w="108" w:type="dxa"/>
            </w:tcMar>
            <w:vAlign w:val="center"/>
          </w:tcPr>
          <w:p w14:paraId="09C557B9">
            <w:pPr>
              <w:widowControl/>
              <w:ind w:firstLine="376"/>
              <w:rPr>
                <w:rFonts w:hint="eastAsia" w:ascii="仿宋" w:hAnsi="仿宋" w:eastAsia="仿宋" w:cs="仿宋"/>
                <w:bCs/>
                <w:kern w:val="0"/>
                <w:sz w:val="24"/>
                <w:szCs w:val="24"/>
              </w:rPr>
            </w:pPr>
            <w:r>
              <w:rPr>
                <w:rFonts w:hint="eastAsia" w:ascii="仿宋" w:hAnsi="仿宋" w:eastAsia="仿宋" w:cs="仿宋"/>
                <w:bCs/>
                <w:kern w:val="0"/>
                <w:sz w:val="24"/>
                <w:szCs w:val="24"/>
              </w:rPr>
              <w:fldChar w:fldCharType="begin"/>
            </w:r>
            <w:r>
              <w:rPr>
                <w:rFonts w:hint="eastAsia" w:ascii="仿宋" w:hAnsi="仿宋" w:eastAsia="仿宋" w:cs="仿宋"/>
                <w:bCs/>
                <w:kern w:val="0"/>
                <w:sz w:val="24"/>
                <w:szCs w:val="24"/>
              </w:rPr>
              <w:instrText xml:space="preserve"> = sum(C3:C5) \* MERGEFORMAT </w:instrText>
            </w:r>
            <w:r>
              <w:rPr>
                <w:rFonts w:hint="eastAsia" w:ascii="仿宋" w:hAnsi="仿宋" w:eastAsia="仿宋" w:cs="仿宋"/>
                <w:bCs/>
                <w:kern w:val="0"/>
                <w:sz w:val="24"/>
                <w:szCs w:val="24"/>
              </w:rPr>
              <w:fldChar w:fldCharType="separate"/>
            </w:r>
            <w:r>
              <w:rPr>
                <w:rFonts w:hint="eastAsia" w:ascii="仿宋" w:hAnsi="仿宋" w:eastAsia="仿宋" w:cs="仿宋"/>
                <w:bCs/>
                <w:kern w:val="0"/>
                <w:sz w:val="24"/>
                <w:szCs w:val="24"/>
              </w:rPr>
              <w:fldChar w:fldCharType="end"/>
            </w:r>
          </w:p>
        </w:tc>
        <w:tc>
          <w:tcPr>
            <w:tcW w:w="1276" w:type="dxa"/>
            <w:tcBorders>
              <w:top w:val="single" w:color="auto" w:sz="4" w:space="0"/>
              <w:left w:val="nil"/>
              <w:bottom w:val="single" w:color="auto" w:sz="4" w:space="0"/>
              <w:right w:val="single" w:color="000000" w:sz="8" w:space="0"/>
            </w:tcBorders>
            <w:noWrap w:val="0"/>
            <w:tcMar>
              <w:top w:w="0" w:type="dxa"/>
              <w:left w:w="108" w:type="dxa"/>
              <w:bottom w:w="0" w:type="dxa"/>
              <w:right w:w="108" w:type="dxa"/>
            </w:tcMar>
            <w:vAlign w:val="center"/>
          </w:tcPr>
          <w:p w14:paraId="0659183B">
            <w:pPr>
              <w:widowControl/>
              <w:ind w:firstLine="240" w:firstLineChars="100"/>
              <w:rPr>
                <w:rFonts w:hint="eastAsia" w:ascii="仿宋" w:hAnsi="仿宋" w:eastAsia="仿宋" w:cs="仿宋"/>
                <w:bCs/>
                <w:kern w:val="0"/>
                <w:sz w:val="24"/>
                <w:szCs w:val="24"/>
              </w:rPr>
            </w:pPr>
            <w:r>
              <w:rPr>
                <w:rFonts w:hint="eastAsia" w:ascii="仿宋" w:hAnsi="仿宋" w:eastAsia="仿宋" w:cs="仿宋"/>
                <w:bCs/>
                <w:kern w:val="0"/>
                <w:sz w:val="24"/>
                <w:szCs w:val="24"/>
              </w:rPr>
              <w:t>49.46</w:t>
            </w:r>
          </w:p>
        </w:tc>
        <w:tc>
          <w:tcPr>
            <w:tcW w:w="127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3C289A6">
            <w:pPr>
              <w:widowControl/>
              <w:ind w:firstLine="240" w:firstLineChars="100"/>
              <w:rPr>
                <w:rFonts w:hint="eastAsia" w:ascii="仿宋" w:hAnsi="仿宋" w:eastAsia="仿宋" w:cs="仿宋"/>
                <w:bCs/>
                <w:kern w:val="0"/>
                <w:sz w:val="24"/>
                <w:szCs w:val="24"/>
              </w:rPr>
            </w:pPr>
            <w:r>
              <w:rPr>
                <w:rFonts w:hint="eastAsia" w:ascii="仿宋" w:hAnsi="仿宋" w:eastAsia="仿宋" w:cs="仿宋"/>
                <w:bCs/>
                <w:kern w:val="0"/>
                <w:sz w:val="24"/>
                <w:szCs w:val="24"/>
              </w:rPr>
              <w:t>49.46</w:t>
            </w:r>
          </w:p>
        </w:tc>
        <w:tc>
          <w:tcPr>
            <w:tcW w:w="132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5DEE184">
            <w:pPr>
              <w:widowControl/>
              <w:ind w:firstLine="376"/>
              <w:rPr>
                <w:rFonts w:hint="eastAsia" w:ascii="仿宋" w:hAnsi="仿宋" w:eastAsia="仿宋" w:cs="仿宋"/>
                <w:bCs/>
                <w:kern w:val="0"/>
                <w:sz w:val="24"/>
                <w:szCs w:val="24"/>
              </w:rPr>
            </w:pPr>
            <w:r>
              <w:rPr>
                <w:rFonts w:hint="eastAsia" w:ascii="仿宋" w:hAnsi="仿宋" w:eastAsia="仿宋" w:cs="仿宋"/>
                <w:bCs/>
                <w:kern w:val="0"/>
                <w:sz w:val="24"/>
                <w:szCs w:val="24"/>
              </w:rPr>
              <w:t>0</w:t>
            </w:r>
          </w:p>
        </w:tc>
      </w:tr>
    </w:tbl>
    <w:p w14:paraId="337C2CBE">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0"/>
          <w:szCs w:val="30"/>
        </w:rPr>
      </w:pPr>
    </w:p>
    <w:p w14:paraId="16491E79">
      <w:pPr>
        <w:widowControl/>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（二）项目支出情况</w:t>
      </w:r>
    </w:p>
    <w:p w14:paraId="0B9DA140">
      <w:pPr>
        <w:ind w:firstLine="2108" w:firstLineChars="700"/>
        <w:rPr>
          <w:rFonts w:hint="eastAsia" w:ascii="仿宋" w:hAnsi="仿宋" w:eastAsia="仿宋" w:cs="仿宋"/>
          <w:sz w:val="30"/>
          <w:szCs w:val="30"/>
        </w:rPr>
      </w:pPr>
      <w:r>
        <w:rPr>
          <w:rFonts w:hint="eastAsia" w:ascii="仿宋" w:hAnsi="仿宋" w:eastAsia="仿宋" w:cs="仿宋"/>
          <w:b/>
          <w:sz w:val="30"/>
          <w:szCs w:val="30"/>
        </w:rPr>
        <w:t>2021年度项目支出明细表（万元）</w:t>
      </w:r>
    </w:p>
    <w:tbl>
      <w:tblPr>
        <w:tblStyle w:val="3"/>
        <w:tblW w:w="8637" w:type="dxa"/>
        <w:jc w:val="center"/>
        <w:tblLayout w:type="fixed"/>
        <w:tblCellMar>
          <w:top w:w="0" w:type="dxa"/>
          <w:left w:w="0" w:type="dxa"/>
          <w:bottom w:w="0" w:type="dxa"/>
          <w:right w:w="0" w:type="dxa"/>
        </w:tblCellMar>
      </w:tblPr>
      <w:tblGrid>
        <w:gridCol w:w="2715"/>
        <w:gridCol w:w="1184"/>
        <w:gridCol w:w="1184"/>
        <w:gridCol w:w="1185"/>
        <w:gridCol w:w="1184"/>
        <w:gridCol w:w="1185"/>
      </w:tblGrid>
      <w:tr w14:paraId="799F91A7">
        <w:tblPrEx>
          <w:tblCellMar>
            <w:top w:w="0" w:type="dxa"/>
            <w:left w:w="0" w:type="dxa"/>
            <w:bottom w:w="0" w:type="dxa"/>
            <w:right w:w="0" w:type="dxa"/>
          </w:tblCellMar>
        </w:tblPrEx>
        <w:trPr>
          <w:trHeight w:val="510" w:hRule="atLeast"/>
          <w:jc w:val="center"/>
        </w:trPr>
        <w:tc>
          <w:tcPr>
            <w:tcW w:w="271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584EAB">
            <w:pPr>
              <w:widowControl/>
              <w:ind w:firstLine="376"/>
              <w:jc w:val="center"/>
              <w:rPr>
                <w:rFonts w:hint="eastAsia" w:ascii="仿宋" w:hAnsi="仿宋" w:eastAsia="仿宋" w:cs="仿宋"/>
                <w:color w:val="222222"/>
                <w:kern w:val="0"/>
                <w:sz w:val="24"/>
                <w:szCs w:val="24"/>
              </w:rPr>
            </w:pPr>
            <w:r>
              <w:rPr>
                <w:rFonts w:hint="eastAsia" w:ascii="仿宋" w:hAnsi="仿宋" w:eastAsia="仿宋" w:cs="仿宋"/>
                <w:bCs/>
                <w:color w:val="222222"/>
                <w:kern w:val="0"/>
                <w:sz w:val="24"/>
                <w:szCs w:val="24"/>
              </w:rPr>
              <w:t>预算项目</w:t>
            </w:r>
          </w:p>
        </w:tc>
        <w:tc>
          <w:tcPr>
            <w:tcW w:w="118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45C19CDF">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年初结转</w:t>
            </w:r>
          </w:p>
        </w:tc>
        <w:tc>
          <w:tcPr>
            <w:tcW w:w="118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0409888D">
            <w:pPr>
              <w:widowControl/>
              <w:jc w:val="center"/>
              <w:rPr>
                <w:rFonts w:hint="eastAsia" w:ascii="仿宋" w:hAnsi="仿宋" w:eastAsia="仿宋" w:cs="仿宋"/>
                <w:kern w:val="0"/>
                <w:sz w:val="24"/>
                <w:szCs w:val="24"/>
              </w:rPr>
            </w:pPr>
            <w:r>
              <w:rPr>
                <w:rFonts w:hint="eastAsia" w:ascii="仿宋" w:hAnsi="仿宋" w:eastAsia="仿宋" w:cs="仿宋"/>
                <w:bCs/>
                <w:kern w:val="0"/>
                <w:sz w:val="24"/>
                <w:szCs w:val="24"/>
              </w:rPr>
              <w:t>年初预算</w:t>
            </w:r>
          </w:p>
        </w:tc>
        <w:tc>
          <w:tcPr>
            <w:tcW w:w="118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3CBB138A">
            <w:pPr>
              <w:widowControl/>
              <w:jc w:val="center"/>
              <w:rPr>
                <w:rFonts w:hint="eastAsia" w:ascii="仿宋" w:hAnsi="仿宋" w:eastAsia="仿宋" w:cs="仿宋"/>
                <w:bCs/>
                <w:color w:val="222222"/>
                <w:kern w:val="0"/>
                <w:sz w:val="24"/>
                <w:szCs w:val="24"/>
              </w:rPr>
            </w:pPr>
            <w:r>
              <w:rPr>
                <w:rFonts w:hint="eastAsia" w:ascii="仿宋" w:hAnsi="仿宋" w:eastAsia="仿宋" w:cs="仿宋"/>
                <w:bCs/>
                <w:color w:val="222222"/>
                <w:kern w:val="0"/>
                <w:sz w:val="24"/>
                <w:szCs w:val="24"/>
              </w:rPr>
              <w:t>预算调整</w:t>
            </w:r>
          </w:p>
        </w:tc>
        <w:tc>
          <w:tcPr>
            <w:tcW w:w="118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0A518F84">
            <w:pPr>
              <w:widowControl/>
              <w:jc w:val="center"/>
              <w:rPr>
                <w:rFonts w:hint="eastAsia" w:ascii="仿宋" w:hAnsi="仿宋" w:eastAsia="仿宋" w:cs="仿宋"/>
                <w:color w:val="222222"/>
                <w:kern w:val="0"/>
                <w:sz w:val="24"/>
                <w:szCs w:val="24"/>
              </w:rPr>
            </w:pPr>
            <w:r>
              <w:rPr>
                <w:rFonts w:hint="eastAsia" w:ascii="仿宋" w:hAnsi="仿宋" w:eastAsia="仿宋" w:cs="仿宋"/>
                <w:bCs/>
                <w:color w:val="222222"/>
                <w:kern w:val="0"/>
                <w:sz w:val="24"/>
                <w:szCs w:val="24"/>
              </w:rPr>
              <w:t>本年决算</w:t>
            </w:r>
          </w:p>
        </w:tc>
        <w:tc>
          <w:tcPr>
            <w:tcW w:w="118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67CEC4BD">
            <w:pPr>
              <w:widowControl/>
              <w:jc w:val="center"/>
              <w:rPr>
                <w:rFonts w:hint="eastAsia" w:ascii="仿宋" w:hAnsi="仿宋" w:eastAsia="仿宋" w:cs="仿宋"/>
                <w:bCs/>
                <w:color w:val="222222"/>
                <w:kern w:val="0"/>
                <w:sz w:val="24"/>
                <w:szCs w:val="24"/>
              </w:rPr>
            </w:pPr>
            <w:r>
              <w:rPr>
                <w:rFonts w:hint="eastAsia" w:ascii="仿宋" w:hAnsi="仿宋" w:eastAsia="仿宋" w:cs="仿宋"/>
                <w:bCs/>
                <w:color w:val="222222"/>
                <w:kern w:val="0"/>
                <w:sz w:val="24"/>
                <w:szCs w:val="24"/>
              </w:rPr>
              <w:t>年末结转</w:t>
            </w:r>
          </w:p>
        </w:tc>
      </w:tr>
      <w:tr w14:paraId="6570E00D">
        <w:tblPrEx>
          <w:tblCellMar>
            <w:top w:w="0" w:type="dxa"/>
            <w:left w:w="0" w:type="dxa"/>
            <w:bottom w:w="0" w:type="dxa"/>
            <w:right w:w="0" w:type="dxa"/>
          </w:tblCellMar>
        </w:tblPrEx>
        <w:trPr>
          <w:trHeight w:val="510" w:hRule="atLeast"/>
          <w:jc w:val="center"/>
        </w:trPr>
        <w:tc>
          <w:tcPr>
            <w:tcW w:w="2715" w:type="dxa"/>
            <w:tcBorders>
              <w:top w:val="single" w:color="auto" w:sz="4" w:space="0"/>
              <w:left w:val="single" w:color="auto" w:sz="4" w:space="0"/>
              <w:bottom w:val="single" w:color="auto" w:sz="4" w:space="0"/>
              <w:right w:val="single" w:color="000000" w:sz="8" w:space="0"/>
            </w:tcBorders>
            <w:noWrap w:val="0"/>
            <w:tcMar>
              <w:top w:w="0" w:type="dxa"/>
              <w:left w:w="108" w:type="dxa"/>
              <w:bottom w:w="0" w:type="dxa"/>
              <w:right w:w="108" w:type="dxa"/>
            </w:tcMar>
            <w:vAlign w:val="center"/>
          </w:tcPr>
          <w:p w14:paraId="6D974877">
            <w:pPr>
              <w:widowControl/>
              <w:rPr>
                <w:rFonts w:hint="eastAsia" w:ascii="仿宋" w:hAnsi="仿宋" w:eastAsia="仿宋" w:cs="仿宋"/>
                <w:b/>
                <w:color w:val="222222"/>
                <w:kern w:val="0"/>
                <w:sz w:val="24"/>
                <w:szCs w:val="24"/>
              </w:rPr>
            </w:pPr>
            <w:r>
              <w:rPr>
                <w:rFonts w:hint="eastAsia" w:ascii="仿宋" w:hAnsi="仿宋" w:eastAsia="仿宋" w:cs="仿宋"/>
                <w:b/>
                <w:color w:val="222222"/>
                <w:kern w:val="0"/>
                <w:sz w:val="24"/>
                <w:szCs w:val="24"/>
              </w:rPr>
              <w:t>项目支出</w:t>
            </w:r>
          </w:p>
        </w:tc>
        <w:tc>
          <w:tcPr>
            <w:tcW w:w="1184" w:type="dxa"/>
            <w:tcBorders>
              <w:top w:val="single" w:color="auto" w:sz="4" w:space="0"/>
              <w:left w:val="nil"/>
              <w:bottom w:val="single" w:color="auto" w:sz="4" w:space="0"/>
              <w:right w:val="single" w:color="000000" w:sz="8" w:space="0"/>
            </w:tcBorders>
            <w:noWrap w:val="0"/>
            <w:tcMar>
              <w:top w:w="0" w:type="dxa"/>
              <w:left w:w="108" w:type="dxa"/>
              <w:bottom w:w="0" w:type="dxa"/>
              <w:right w:w="108" w:type="dxa"/>
            </w:tcMar>
            <w:vAlign w:val="center"/>
          </w:tcPr>
          <w:p w14:paraId="02C215C7">
            <w:pPr>
              <w:widowControl/>
              <w:jc w:val="center"/>
              <w:textAlignment w:val="center"/>
              <w:rPr>
                <w:rFonts w:hint="eastAsia" w:ascii="仿宋" w:hAnsi="仿宋" w:eastAsia="仿宋" w:cs="仿宋"/>
                <w:b/>
                <w:color w:val="222222"/>
                <w:kern w:val="0"/>
                <w:sz w:val="24"/>
                <w:szCs w:val="24"/>
              </w:rPr>
            </w:pPr>
            <w:r>
              <w:rPr>
                <w:rFonts w:hint="eastAsia" w:ascii="仿宋" w:hAnsi="仿宋" w:eastAsia="仿宋" w:cs="仿宋"/>
                <w:b/>
                <w:color w:val="222222"/>
                <w:kern w:val="0"/>
                <w:sz w:val="24"/>
                <w:szCs w:val="24"/>
                <w:lang w:bidi="ar"/>
              </w:rPr>
              <w:t>8339.45</w:t>
            </w:r>
          </w:p>
        </w:tc>
        <w:tc>
          <w:tcPr>
            <w:tcW w:w="1184" w:type="dxa"/>
            <w:tcBorders>
              <w:top w:val="single" w:color="auto" w:sz="4" w:space="0"/>
              <w:left w:val="nil"/>
              <w:bottom w:val="single" w:color="auto" w:sz="4" w:space="0"/>
              <w:right w:val="single" w:color="000000" w:sz="8" w:space="0"/>
            </w:tcBorders>
            <w:noWrap w:val="0"/>
            <w:tcMar>
              <w:top w:w="0" w:type="dxa"/>
              <w:left w:w="108" w:type="dxa"/>
              <w:bottom w:w="0" w:type="dxa"/>
              <w:right w:w="108" w:type="dxa"/>
            </w:tcMar>
            <w:vAlign w:val="center"/>
          </w:tcPr>
          <w:p w14:paraId="3C97C4EA">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90.00</w:t>
            </w:r>
          </w:p>
        </w:tc>
        <w:tc>
          <w:tcPr>
            <w:tcW w:w="1185" w:type="dxa"/>
            <w:tcBorders>
              <w:top w:val="single" w:color="auto" w:sz="4" w:space="0"/>
              <w:left w:val="nil"/>
              <w:bottom w:val="single" w:color="auto" w:sz="4" w:space="0"/>
              <w:right w:val="single" w:color="000000" w:sz="8" w:space="0"/>
            </w:tcBorders>
            <w:noWrap w:val="0"/>
            <w:tcMar>
              <w:top w:w="0" w:type="dxa"/>
              <w:left w:w="108" w:type="dxa"/>
              <w:bottom w:w="0" w:type="dxa"/>
              <w:right w:w="108" w:type="dxa"/>
            </w:tcMar>
            <w:vAlign w:val="center"/>
          </w:tcPr>
          <w:p w14:paraId="05C6A5CE">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5439.82</w:t>
            </w:r>
          </w:p>
        </w:tc>
        <w:tc>
          <w:tcPr>
            <w:tcW w:w="118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EED874C">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13869.27</w:t>
            </w:r>
          </w:p>
        </w:tc>
        <w:tc>
          <w:tcPr>
            <w:tcW w:w="1185"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B18BA33">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0</w:t>
            </w:r>
          </w:p>
        </w:tc>
      </w:tr>
      <w:tr w14:paraId="6F2EDC83">
        <w:tblPrEx>
          <w:tblCellMar>
            <w:top w:w="0" w:type="dxa"/>
            <w:left w:w="0" w:type="dxa"/>
            <w:bottom w:w="0" w:type="dxa"/>
            <w:right w:w="0" w:type="dxa"/>
          </w:tblCellMar>
        </w:tblPrEx>
        <w:trPr>
          <w:trHeight w:val="510"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14:paraId="6DA57560">
            <w:pPr>
              <w:widowControl/>
              <w:ind w:firstLine="240" w:firstLineChars="100"/>
              <w:rPr>
                <w:rFonts w:hint="eastAsia" w:ascii="仿宋" w:hAnsi="仿宋" w:eastAsia="仿宋" w:cs="仿宋"/>
                <w:sz w:val="24"/>
                <w:szCs w:val="24"/>
              </w:rPr>
            </w:pPr>
            <w:r>
              <w:rPr>
                <w:rFonts w:hint="eastAsia" w:ascii="仿宋" w:hAnsi="仿宋" w:eastAsia="仿宋" w:cs="仿宋"/>
                <w:sz w:val="24"/>
                <w:szCs w:val="24"/>
              </w:rPr>
              <w:t>污水处理建设项目</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B28C71D">
            <w:pPr>
              <w:widowControl/>
              <w:jc w:val="center"/>
              <w:textAlignment w:val="center"/>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0</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882856A">
            <w:pPr>
              <w:widowControl/>
              <w:ind w:firstLine="376"/>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3438D09">
            <w:pPr>
              <w:widowControl/>
              <w:ind w:firstLine="240" w:firstLineChars="100"/>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3168.00</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0D8EF8D">
            <w:pPr>
              <w:widowControl/>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3168.00</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05062F3">
            <w:pPr>
              <w:widowControl/>
              <w:ind w:firstLine="376"/>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0</w:t>
            </w:r>
          </w:p>
        </w:tc>
      </w:tr>
      <w:tr w14:paraId="479C02D5">
        <w:tblPrEx>
          <w:tblCellMar>
            <w:top w:w="0" w:type="dxa"/>
            <w:left w:w="0" w:type="dxa"/>
            <w:bottom w:w="0" w:type="dxa"/>
            <w:right w:w="0" w:type="dxa"/>
          </w:tblCellMar>
        </w:tblPrEx>
        <w:trPr>
          <w:trHeight w:val="510"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14:paraId="333B6272">
            <w:pPr>
              <w:widowControl/>
              <w:ind w:firstLine="240" w:firstLineChars="100"/>
              <w:rPr>
                <w:rFonts w:hint="eastAsia" w:ascii="仿宋" w:hAnsi="仿宋" w:eastAsia="仿宋" w:cs="仿宋"/>
                <w:sz w:val="24"/>
                <w:szCs w:val="24"/>
              </w:rPr>
            </w:pPr>
            <w:r>
              <w:rPr>
                <w:rFonts w:hint="eastAsia" w:ascii="仿宋" w:hAnsi="仿宋" w:eastAsia="仿宋" w:cs="仿宋"/>
                <w:sz w:val="24"/>
                <w:szCs w:val="24"/>
              </w:rPr>
              <w:t>棚户区改造项目</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8DD33AA">
            <w:pPr>
              <w:widowControl/>
              <w:jc w:val="center"/>
              <w:textAlignment w:val="center"/>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8289.45</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DF620E4">
            <w:pPr>
              <w:widowControl/>
              <w:ind w:firstLine="376"/>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C5D5513">
            <w:pPr>
              <w:widowControl/>
              <w:ind w:firstLine="240" w:firstLineChars="100"/>
              <w:rPr>
                <w:rFonts w:hint="eastAsia" w:ascii="仿宋" w:hAnsi="仿宋" w:eastAsia="仿宋" w:cs="仿宋"/>
                <w:sz w:val="24"/>
                <w:szCs w:val="24"/>
              </w:rPr>
            </w:pPr>
            <w:r>
              <w:rPr>
                <w:rFonts w:hint="eastAsia" w:ascii="仿宋" w:hAnsi="仿宋" w:eastAsia="仿宋" w:cs="仿宋"/>
                <w:color w:val="222222"/>
                <w:kern w:val="0"/>
                <w:sz w:val="24"/>
                <w:szCs w:val="24"/>
              </w:rPr>
              <w:t>978.00</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E4D9220">
            <w:pPr>
              <w:widowControl/>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9267.45</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7EFECE5">
            <w:pPr>
              <w:widowControl/>
              <w:ind w:firstLine="376"/>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0</w:t>
            </w:r>
          </w:p>
        </w:tc>
      </w:tr>
      <w:tr w14:paraId="6F90F00E">
        <w:tblPrEx>
          <w:tblCellMar>
            <w:top w:w="0" w:type="dxa"/>
            <w:left w:w="0" w:type="dxa"/>
            <w:bottom w:w="0" w:type="dxa"/>
            <w:right w:w="0" w:type="dxa"/>
          </w:tblCellMar>
        </w:tblPrEx>
        <w:trPr>
          <w:trHeight w:val="510"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14:paraId="288C94E4">
            <w:pPr>
              <w:widowControl/>
              <w:ind w:firstLine="240" w:firstLineChars="100"/>
              <w:rPr>
                <w:rFonts w:hint="eastAsia" w:ascii="仿宋" w:hAnsi="仿宋" w:eastAsia="仿宋" w:cs="仿宋"/>
                <w:color w:val="222222"/>
                <w:kern w:val="0"/>
                <w:sz w:val="24"/>
                <w:szCs w:val="24"/>
              </w:rPr>
            </w:pPr>
            <w:r>
              <w:rPr>
                <w:rFonts w:hint="eastAsia" w:ascii="仿宋" w:hAnsi="仿宋" w:eastAsia="仿宋" w:cs="仿宋"/>
                <w:sz w:val="24"/>
                <w:szCs w:val="24"/>
              </w:rPr>
              <w:t>农村危房改造项目</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0AAF214">
            <w:pPr>
              <w:widowControl/>
              <w:jc w:val="center"/>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0</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FF51117">
            <w:pPr>
              <w:widowControl/>
              <w:ind w:firstLine="376"/>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75C0DD7">
            <w:pPr>
              <w:widowControl/>
              <w:jc w:val="center"/>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 xml:space="preserve"> 429.00</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B14564C">
            <w:pPr>
              <w:widowControl/>
              <w:ind w:firstLine="240" w:firstLineChars="100"/>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429.00</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38C8277">
            <w:pPr>
              <w:widowControl/>
              <w:ind w:firstLine="376"/>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0</w:t>
            </w:r>
          </w:p>
        </w:tc>
      </w:tr>
      <w:tr w14:paraId="5F645549">
        <w:tblPrEx>
          <w:tblCellMar>
            <w:top w:w="0" w:type="dxa"/>
            <w:left w:w="0" w:type="dxa"/>
            <w:bottom w:w="0" w:type="dxa"/>
            <w:right w:w="0" w:type="dxa"/>
          </w:tblCellMar>
        </w:tblPrEx>
        <w:trPr>
          <w:trHeight w:val="510"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14:paraId="4BC26BAA">
            <w:pPr>
              <w:widowControl/>
              <w:ind w:firstLine="240" w:firstLineChars="100"/>
              <w:rPr>
                <w:rFonts w:hint="eastAsia" w:ascii="仿宋" w:hAnsi="仿宋" w:eastAsia="仿宋" w:cs="仿宋"/>
                <w:color w:val="222222"/>
                <w:kern w:val="0"/>
                <w:sz w:val="24"/>
                <w:szCs w:val="24"/>
              </w:rPr>
            </w:pPr>
            <w:r>
              <w:rPr>
                <w:rFonts w:hint="eastAsia" w:ascii="仿宋" w:hAnsi="仿宋" w:eastAsia="仿宋" w:cs="仿宋"/>
                <w:sz w:val="24"/>
                <w:szCs w:val="24"/>
              </w:rPr>
              <w:t>保障性住房租金补贴项目</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C4D09F3">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68818C6">
            <w:pPr>
              <w:widowControl/>
              <w:ind w:firstLine="376"/>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F7E0F39">
            <w:pPr>
              <w:widowControl/>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207.77</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FA8FAA0">
            <w:pPr>
              <w:widowControl/>
              <w:ind w:firstLine="376"/>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207.77</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4CF971F">
            <w:pPr>
              <w:widowControl/>
              <w:ind w:firstLine="376"/>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0</w:t>
            </w:r>
          </w:p>
        </w:tc>
      </w:tr>
      <w:tr w14:paraId="3DE47D83">
        <w:tblPrEx>
          <w:tblCellMar>
            <w:top w:w="0" w:type="dxa"/>
            <w:left w:w="0" w:type="dxa"/>
            <w:bottom w:w="0" w:type="dxa"/>
            <w:right w:w="0" w:type="dxa"/>
          </w:tblCellMar>
        </w:tblPrEx>
        <w:trPr>
          <w:trHeight w:val="510"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14:paraId="554DEBCD">
            <w:pPr>
              <w:widowControl/>
              <w:ind w:firstLine="240" w:firstLineChars="100"/>
              <w:rPr>
                <w:rFonts w:hint="eastAsia" w:ascii="仿宋" w:hAnsi="仿宋" w:eastAsia="仿宋" w:cs="仿宋"/>
                <w:bCs/>
                <w:color w:val="222222"/>
                <w:kern w:val="0"/>
                <w:sz w:val="24"/>
                <w:szCs w:val="24"/>
              </w:rPr>
            </w:pPr>
            <w:r>
              <w:rPr>
                <w:rFonts w:hint="eastAsia" w:ascii="仿宋" w:hAnsi="仿宋" w:eastAsia="仿宋" w:cs="仿宋"/>
                <w:bCs/>
                <w:color w:val="222222"/>
                <w:kern w:val="0"/>
                <w:sz w:val="24"/>
                <w:szCs w:val="24"/>
              </w:rPr>
              <w:t>老旧小区改造项目</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20A9678">
            <w:pPr>
              <w:widowControl/>
              <w:jc w:val="center"/>
              <w:rPr>
                <w:rFonts w:hint="eastAsia" w:ascii="仿宋" w:hAnsi="仿宋" w:eastAsia="仿宋" w:cs="仿宋"/>
                <w:bCs/>
                <w:color w:val="222222"/>
                <w:kern w:val="0"/>
                <w:sz w:val="24"/>
                <w:szCs w:val="24"/>
              </w:rPr>
            </w:pPr>
            <w:r>
              <w:rPr>
                <w:rFonts w:hint="eastAsia" w:ascii="仿宋" w:hAnsi="仿宋" w:eastAsia="仿宋" w:cs="仿宋"/>
                <w:bCs/>
                <w:color w:val="222222"/>
                <w:kern w:val="0"/>
                <w:sz w:val="24"/>
                <w:szCs w:val="24"/>
              </w:rPr>
              <w:t>0</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221F094">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0</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B84FB48">
            <w:pPr>
              <w:widowControl/>
              <w:jc w:val="center"/>
              <w:rPr>
                <w:rFonts w:hint="eastAsia" w:ascii="仿宋" w:hAnsi="仿宋" w:eastAsia="仿宋" w:cs="仿宋"/>
                <w:bCs/>
                <w:color w:val="222222"/>
                <w:kern w:val="0"/>
                <w:sz w:val="24"/>
                <w:szCs w:val="24"/>
              </w:rPr>
            </w:pPr>
            <w:r>
              <w:rPr>
                <w:rFonts w:hint="eastAsia" w:ascii="仿宋" w:hAnsi="仿宋" w:eastAsia="仿宋" w:cs="仿宋"/>
                <w:bCs/>
                <w:color w:val="222222"/>
                <w:kern w:val="0"/>
                <w:sz w:val="24"/>
                <w:szCs w:val="24"/>
              </w:rPr>
              <w:t>578.50</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D3AA3DA">
            <w:pPr>
              <w:widowControl/>
              <w:jc w:val="center"/>
              <w:rPr>
                <w:rFonts w:hint="eastAsia" w:ascii="仿宋" w:hAnsi="仿宋" w:eastAsia="仿宋" w:cs="仿宋"/>
                <w:bCs/>
                <w:color w:val="222222"/>
                <w:kern w:val="0"/>
                <w:sz w:val="24"/>
                <w:szCs w:val="24"/>
              </w:rPr>
            </w:pPr>
            <w:r>
              <w:rPr>
                <w:rFonts w:hint="eastAsia" w:ascii="仿宋" w:hAnsi="仿宋" w:eastAsia="仿宋" w:cs="仿宋"/>
                <w:bCs/>
                <w:color w:val="222222"/>
                <w:kern w:val="0"/>
                <w:sz w:val="24"/>
                <w:szCs w:val="24"/>
              </w:rPr>
              <w:t>578.50</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1A2E04C">
            <w:pPr>
              <w:widowControl/>
              <w:jc w:val="center"/>
              <w:rPr>
                <w:rFonts w:hint="eastAsia" w:ascii="仿宋" w:hAnsi="仿宋" w:eastAsia="仿宋" w:cs="仿宋"/>
                <w:b/>
                <w:color w:val="222222"/>
                <w:kern w:val="0"/>
                <w:sz w:val="24"/>
                <w:szCs w:val="24"/>
              </w:rPr>
            </w:pPr>
            <w:r>
              <w:rPr>
                <w:rFonts w:hint="eastAsia" w:ascii="仿宋" w:hAnsi="仿宋" w:eastAsia="仿宋" w:cs="仿宋"/>
                <w:bCs/>
                <w:color w:val="222222"/>
                <w:kern w:val="0"/>
                <w:sz w:val="24"/>
                <w:szCs w:val="24"/>
              </w:rPr>
              <w:t>0</w:t>
            </w:r>
          </w:p>
        </w:tc>
      </w:tr>
      <w:tr w14:paraId="1997E6E3">
        <w:tblPrEx>
          <w:tblCellMar>
            <w:top w:w="0" w:type="dxa"/>
            <w:left w:w="0" w:type="dxa"/>
            <w:bottom w:w="0" w:type="dxa"/>
            <w:right w:w="0" w:type="dxa"/>
          </w:tblCellMar>
        </w:tblPrEx>
        <w:trPr>
          <w:trHeight w:val="510"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14:paraId="351A6BFD">
            <w:pPr>
              <w:widowControl/>
              <w:ind w:firstLine="240" w:firstLineChars="100"/>
              <w:rPr>
                <w:rFonts w:hint="eastAsia" w:ascii="仿宋" w:hAnsi="仿宋" w:eastAsia="仿宋" w:cs="仿宋"/>
                <w:bCs/>
                <w:color w:val="222222"/>
                <w:kern w:val="0"/>
                <w:sz w:val="24"/>
                <w:szCs w:val="24"/>
              </w:rPr>
            </w:pPr>
            <w:r>
              <w:rPr>
                <w:rFonts w:hint="eastAsia" w:ascii="仿宋" w:hAnsi="仿宋" w:eastAsia="仿宋" w:cs="仿宋"/>
                <w:bCs/>
                <w:color w:val="222222"/>
                <w:kern w:val="0"/>
                <w:sz w:val="24"/>
                <w:szCs w:val="24"/>
              </w:rPr>
              <w:t>其他专项</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0EA66A2">
            <w:pPr>
              <w:widowControl/>
              <w:jc w:val="center"/>
              <w:rPr>
                <w:rFonts w:hint="eastAsia" w:ascii="仿宋" w:hAnsi="仿宋" w:eastAsia="仿宋" w:cs="仿宋"/>
                <w:bCs/>
                <w:color w:val="222222"/>
                <w:kern w:val="0"/>
                <w:sz w:val="24"/>
                <w:szCs w:val="24"/>
              </w:rPr>
            </w:pPr>
            <w:r>
              <w:rPr>
                <w:rFonts w:hint="eastAsia" w:ascii="仿宋" w:hAnsi="仿宋" w:eastAsia="仿宋" w:cs="仿宋"/>
                <w:bCs/>
                <w:color w:val="222222"/>
                <w:kern w:val="0"/>
                <w:sz w:val="24"/>
                <w:szCs w:val="24"/>
              </w:rPr>
              <w:t>50.00</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B7734CD">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90.00</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75B80A3">
            <w:pPr>
              <w:widowControl/>
              <w:jc w:val="center"/>
              <w:rPr>
                <w:rFonts w:hint="eastAsia" w:ascii="仿宋" w:hAnsi="仿宋" w:eastAsia="仿宋" w:cs="仿宋"/>
                <w:bCs/>
                <w:color w:val="222222"/>
                <w:kern w:val="0"/>
                <w:sz w:val="24"/>
                <w:szCs w:val="24"/>
              </w:rPr>
            </w:pPr>
            <w:r>
              <w:rPr>
                <w:rFonts w:hint="eastAsia" w:ascii="仿宋" w:hAnsi="仿宋" w:eastAsia="仿宋" w:cs="仿宋"/>
                <w:bCs/>
                <w:color w:val="222222"/>
                <w:kern w:val="0"/>
                <w:sz w:val="24"/>
                <w:szCs w:val="24"/>
              </w:rPr>
              <w:t>78.55</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CE3E925">
            <w:pPr>
              <w:widowControl/>
              <w:jc w:val="center"/>
              <w:rPr>
                <w:rFonts w:hint="eastAsia" w:ascii="仿宋" w:hAnsi="仿宋" w:eastAsia="仿宋" w:cs="仿宋"/>
                <w:bCs/>
                <w:color w:val="222222"/>
                <w:kern w:val="0"/>
                <w:sz w:val="24"/>
                <w:szCs w:val="24"/>
              </w:rPr>
            </w:pPr>
            <w:r>
              <w:rPr>
                <w:rFonts w:hint="eastAsia" w:ascii="仿宋" w:hAnsi="仿宋" w:eastAsia="仿宋" w:cs="仿宋"/>
                <w:bCs/>
                <w:color w:val="222222"/>
                <w:kern w:val="0"/>
                <w:sz w:val="24"/>
                <w:szCs w:val="24"/>
              </w:rPr>
              <w:t>218.55</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9A2BAA4">
            <w:pPr>
              <w:widowControl/>
              <w:jc w:val="center"/>
              <w:rPr>
                <w:rFonts w:hint="eastAsia" w:ascii="仿宋" w:hAnsi="仿宋" w:eastAsia="仿宋" w:cs="仿宋"/>
                <w:bCs/>
                <w:color w:val="222222"/>
                <w:kern w:val="0"/>
                <w:sz w:val="24"/>
                <w:szCs w:val="24"/>
              </w:rPr>
            </w:pPr>
            <w:r>
              <w:rPr>
                <w:rFonts w:hint="eastAsia" w:ascii="仿宋" w:hAnsi="仿宋" w:eastAsia="仿宋" w:cs="仿宋"/>
                <w:bCs/>
                <w:color w:val="222222"/>
                <w:kern w:val="0"/>
                <w:sz w:val="24"/>
                <w:szCs w:val="24"/>
              </w:rPr>
              <w:t>0</w:t>
            </w:r>
          </w:p>
        </w:tc>
      </w:tr>
    </w:tbl>
    <w:p w14:paraId="28DF1FFA">
      <w:pPr>
        <w:widowControl/>
        <w:ind w:firstLine="645"/>
        <w:jc w:val="left"/>
        <w:rPr>
          <w:rFonts w:hint="eastAsia" w:ascii="仿宋" w:hAnsi="仿宋" w:eastAsia="仿宋" w:cs="仿宋"/>
          <w:sz w:val="30"/>
          <w:szCs w:val="30"/>
        </w:rPr>
      </w:pPr>
      <w:r>
        <w:rPr>
          <w:rFonts w:hint="eastAsia" w:ascii="仿宋" w:hAnsi="仿宋" w:eastAsia="仿宋" w:cs="仿宋"/>
          <w:sz w:val="30"/>
          <w:szCs w:val="30"/>
        </w:rPr>
        <w:t>项目支出预算安排13869.27万元（年初结转8339.45万元，当年预算调整后收入5529.82万元）。主要包括用于污水处理建设、棚户区改造、农村危房改造、老旧小区改造等。</w:t>
      </w:r>
    </w:p>
    <w:p w14:paraId="0B6BD77A">
      <w:pPr>
        <w:pStyle w:val="5"/>
        <w:widowControl/>
        <w:ind w:left="640" w:firstLine="0" w:firstLineChars="0"/>
        <w:jc w:val="left"/>
        <w:rPr>
          <w:rFonts w:ascii="Times New Roman" w:hAnsi="Times New Roman" w:eastAsia="黑体" w:cs="黑体"/>
          <w:sz w:val="30"/>
          <w:szCs w:val="30"/>
        </w:rPr>
      </w:pPr>
      <w:r>
        <w:rPr>
          <w:rFonts w:hint="eastAsia" w:ascii="Times New Roman" w:hAnsi="Times New Roman" w:eastAsia="黑体" w:cs="黑体"/>
          <w:sz w:val="30"/>
          <w:szCs w:val="30"/>
        </w:rPr>
        <w:t>三、政府性基金预算支出情况</w:t>
      </w:r>
    </w:p>
    <w:p w14:paraId="0E246D38">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eastAsia="仿宋_GB2312"/>
          <w:sz w:val="32"/>
          <w:szCs w:val="32"/>
        </w:rPr>
      </w:pPr>
      <w:r>
        <w:rPr>
          <w:rFonts w:hint="eastAsia" w:ascii="仿宋" w:hAnsi="仿宋" w:eastAsia="仿宋" w:cs="仿宋"/>
          <w:sz w:val="30"/>
          <w:szCs w:val="30"/>
        </w:rPr>
        <w:t>2021年我单位政府性基金预算财政拨款收入397.70万元，其中：基本收入48.29万元、项目收入349.41万元；政府性基金预算财政拨款支出397.70万元，其中：基本支出48.29万元、项目支出349.41万元。</w:t>
      </w:r>
    </w:p>
    <w:p w14:paraId="4559AD5C">
      <w:pPr>
        <w:pStyle w:val="5"/>
        <w:widowControl/>
        <w:ind w:left="640" w:firstLine="0" w:firstLineChars="0"/>
        <w:jc w:val="left"/>
        <w:rPr>
          <w:rFonts w:hint="eastAsia" w:ascii="Times New Roman" w:hAnsi="Times New Roman" w:eastAsia="黑体" w:cs="黑体"/>
          <w:sz w:val="30"/>
          <w:szCs w:val="30"/>
        </w:rPr>
      </w:pPr>
      <w:r>
        <w:rPr>
          <w:rFonts w:hint="eastAsia" w:ascii="Times New Roman" w:hAnsi="Times New Roman" w:eastAsia="黑体" w:cs="黑体"/>
          <w:sz w:val="30"/>
          <w:szCs w:val="30"/>
        </w:rPr>
        <w:t>四、国有资本经营预算支出情况</w:t>
      </w:r>
    </w:p>
    <w:p w14:paraId="6E2E0BDF">
      <w:pPr>
        <w:pStyle w:val="5"/>
        <w:widowControl/>
        <w:ind w:left="640" w:firstLine="0" w:firstLineChars="0"/>
        <w:jc w:val="left"/>
        <w:rPr>
          <w:rFonts w:hint="eastAsia" w:ascii="仿宋" w:hAnsi="仿宋" w:eastAsia="仿宋" w:cs="仿宋"/>
          <w:sz w:val="30"/>
          <w:szCs w:val="30"/>
        </w:rPr>
      </w:pPr>
      <w:r>
        <w:rPr>
          <w:rFonts w:hint="eastAsia" w:ascii="仿宋" w:hAnsi="仿宋" w:eastAsia="仿宋" w:cs="仿宋"/>
          <w:sz w:val="30"/>
          <w:szCs w:val="30"/>
        </w:rPr>
        <w:t>无国有资本经营预算支出。</w:t>
      </w:r>
    </w:p>
    <w:p w14:paraId="514A065F">
      <w:pPr>
        <w:pStyle w:val="5"/>
        <w:widowControl/>
        <w:ind w:left="640" w:firstLine="0" w:firstLineChars="0"/>
        <w:jc w:val="left"/>
        <w:rPr>
          <w:rFonts w:hint="eastAsia" w:ascii="Times New Roman" w:hAnsi="Times New Roman" w:eastAsia="黑体" w:cs="黑体"/>
          <w:sz w:val="30"/>
          <w:szCs w:val="30"/>
        </w:rPr>
      </w:pPr>
      <w:r>
        <w:rPr>
          <w:rFonts w:hint="eastAsia" w:ascii="Times New Roman" w:hAnsi="Times New Roman" w:eastAsia="黑体" w:cs="黑体"/>
          <w:sz w:val="30"/>
          <w:szCs w:val="30"/>
        </w:rPr>
        <w:t>五、社会保险基金预算支出情况</w:t>
      </w:r>
    </w:p>
    <w:p w14:paraId="3BCA55CA">
      <w:pPr>
        <w:pStyle w:val="5"/>
        <w:widowControl/>
        <w:ind w:left="640" w:firstLine="0" w:firstLineChars="0"/>
        <w:jc w:val="left"/>
        <w:rPr>
          <w:rFonts w:hint="eastAsia" w:ascii="仿宋" w:hAnsi="仿宋" w:eastAsia="仿宋" w:cs="仿宋"/>
          <w:sz w:val="30"/>
          <w:szCs w:val="30"/>
        </w:rPr>
      </w:pPr>
      <w:r>
        <w:rPr>
          <w:rFonts w:hint="eastAsia" w:ascii="仿宋" w:hAnsi="仿宋" w:eastAsia="仿宋" w:cs="仿宋"/>
          <w:sz w:val="30"/>
          <w:szCs w:val="30"/>
        </w:rPr>
        <w:t>无社会保险基金预算支出。</w:t>
      </w:r>
    </w:p>
    <w:p w14:paraId="55C94F9E">
      <w:pPr>
        <w:pStyle w:val="5"/>
        <w:widowControl/>
        <w:ind w:left="640" w:firstLine="0" w:firstLineChars="0"/>
        <w:jc w:val="left"/>
        <w:rPr>
          <w:rFonts w:hint="eastAsia" w:ascii="Times New Roman" w:hAnsi="Times New Roman" w:eastAsia="黑体" w:cs="黑体"/>
          <w:sz w:val="30"/>
          <w:szCs w:val="30"/>
        </w:rPr>
      </w:pPr>
      <w:r>
        <w:rPr>
          <w:rFonts w:hint="eastAsia" w:ascii="Times New Roman" w:hAnsi="Times New Roman" w:eastAsia="黑体" w:cs="黑体"/>
          <w:sz w:val="30"/>
          <w:szCs w:val="30"/>
        </w:rPr>
        <w:t>六、部门整体支出绩效情况</w:t>
      </w:r>
    </w:p>
    <w:p w14:paraId="38A9A941">
      <w:pPr>
        <w:widowControl/>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（一）绩效评价组织实施情况</w:t>
      </w:r>
    </w:p>
    <w:p w14:paraId="660A9EF9">
      <w:pPr>
        <w:pStyle w:val="5"/>
        <w:widowControl/>
        <w:ind w:left="640" w:firstLine="0" w:firstLine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1.绩效评价目的</w:t>
      </w:r>
    </w:p>
    <w:p w14:paraId="5AAA7538">
      <w:pPr>
        <w:pStyle w:val="5"/>
        <w:widowControl/>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本次绩效评价的目的是为了全面分析和综合评价我单位财政预算资金的使用管理情况，为切实提高财政资金使用效益，强化预算支出的责任和效率提供参考依据。</w:t>
      </w:r>
    </w:p>
    <w:p w14:paraId="1D08563D">
      <w:pPr>
        <w:pStyle w:val="5"/>
        <w:widowControl/>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2.绩效评价工作过程，主要包括前期准备、组织实施和分析评价等内容</w:t>
      </w:r>
    </w:p>
    <w:p w14:paraId="5BFEEDD9">
      <w:pPr>
        <w:pStyle w:val="5"/>
        <w:widowControl/>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们按照绩效评价规程要求，第一阶段为前期准备：由财务人员牵头，确定评价指标细则；第二阶段为自评：根据上一阶段任务布置，展开自评工作；第三阶段为定性终评，并出具评价报告：财务人员在自评的基础上，查阅相关文件资料和财务凭证，对收集资料进行定量定性分析， 综合评议后形成评价结论，出具绩效评价报告。</w:t>
      </w:r>
    </w:p>
    <w:p w14:paraId="728A7D4E">
      <w:pPr>
        <w:widowControl/>
        <w:ind w:firstLine="301" w:firstLineChars="1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（二）绩效评价指标情况</w:t>
      </w:r>
    </w:p>
    <w:p w14:paraId="6E2A50B7">
      <w:pPr>
        <w:keepNext w:val="0"/>
        <w:keepLines w:val="0"/>
        <w:pageBreakBefore w:val="0"/>
        <w:widowControl/>
        <w:kinsoku/>
        <w:wordWrap/>
        <w:overflowPunct/>
        <w:topLinePunct w:val="0"/>
        <w:autoSpaceDE/>
        <w:autoSpaceDN/>
        <w:bidi w:val="0"/>
        <w:adjustRightInd/>
        <w:spacing w:line="600" w:lineRule="exact"/>
        <w:ind w:firstLine="600" w:firstLineChars="200"/>
        <w:jc w:val="left"/>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投入指标20分</w:t>
      </w:r>
    </w:p>
    <w:p w14:paraId="7014A572">
      <w:pPr>
        <w:keepNext w:val="0"/>
        <w:keepLines w:val="0"/>
        <w:pageBreakBefore w:val="0"/>
        <w:widowControl/>
        <w:kinsoku/>
        <w:wordWrap/>
        <w:overflowPunct/>
        <w:topLinePunct w:val="0"/>
        <w:autoSpaceDE/>
        <w:autoSpaceDN/>
        <w:bidi w:val="0"/>
        <w:adjustRightInd/>
        <w:spacing w:line="600" w:lineRule="exact"/>
        <w:ind w:firstLine="600" w:firstLineChars="200"/>
        <w:jc w:val="left"/>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目标设定得5分，其中：绩效合理性得2分；绩效指标明确性3分。</w:t>
      </w:r>
    </w:p>
    <w:p w14:paraId="373A69C0">
      <w:pPr>
        <w:keepNext w:val="0"/>
        <w:keepLines w:val="0"/>
        <w:pageBreakBefore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预算配置得15分，其中：在职人员控制率：年未实有人数64人/年未编制人数164人=100%，得5分；“三公经费”变动率“三公”经费决算0.62万元，比上年1.38万元减少0.76万元，减少55.07%，得5分；重点支出安排率得5分。</w:t>
      </w:r>
    </w:p>
    <w:p w14:paraId="1A2DF8BE">
      <w:pPr>
        <w:keepNext w:val="0"/>
        <w:keepLines w:val="0"/>
        <w:pageBreakBefore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2</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过程指标30分</w:t>
      </w:r>
    </w:p>
    <w:p w14:paraId="4E798B9E">
      <w:pPr>
        <w:keepNext w:val="0"/>
        <w:keepLines w:val="0"/>
        <w:pageBreakBefore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预算执行得20分，其中：预算执行率得4分，预算调整率得2分，支付进度率得2分，结转结余率得2分，结转结余变动率得2分，公用经费控制率得2分，“三经费”控制率得2分。政度采购执行率得4分。</w:t>
      </w:r>
    </w:p>
    <w:p w14:paraId="67C63D29">
      <w:pPr>
        <w:keepNext w:val="0"/>
        <w:keepLines w:val="0"/>
        <w:pageBreakBefore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预算管理得5分，其中：管理制健全性得2分，资金使用合规性得1分，预决算信息公开性得1分，基础信息完善性得1分。</w:t>
      </w:r>
    </w:p>
    <w:p w14:paraId="0C0C4064">
      <w:pPr>
        <w:keepNext w:val="0"/>
        <w:keepLines w:val="0"/>
        <w:pageBreakBefore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资产管理得5分，其中：管理制度健全性得2分，资产管理安全性得2分，固定资产利用率得1分。</w:t>
      </w:r>
    </w:p>
    <w:p w14:paraId="3A5A9DF4">
      <w:pPr>
        <w:keepNext w:val="0"/>
        <w:keepLines w:val="0"/>
        <w:pageBreakBefore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3</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产出指标30分</w:t>
      </w:r>
    </w:p>
    <w:p w14:paraId="6F835BB7">
      <w:pPr>
        <w:keepNext w:val="0"/>
        <w:keepLines w:val="0"/>
        <w:pageBreakBefore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职责履行得27分，其中：实际完成率得6分，是因项目执行时未达到预定的数量；完成及时率得3分，是因个别项目未按预定的时间完工；质量达标率得8分；重点工作办结率得10分。</w:t>
      </w:r>
    </w:p>
    <w:p w14:paraId="213336D4">
      <w:pPr>
        <w:keepNext w:val="0"/>
        <w:keepLines w:val="0"/>
        <w:pageBreakBefore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4</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效果指标20分</w:t>
      </w:r>
    </w:p>
    <w:p w14:paraId="4C659DA1">
      <w:pPr>
        <w:keepNext w:val="0"/>
        <w:keepLines w:val="0"/>
        <w:pageBreakBefore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履职效益得20分，其中：经济效益得5分，社会效益得5分，生态效益得5人，社会公众或服务对象满意度得5分。</w:t>
      </w:r>
    </w:p>
    <w:p w14:paraId="487C4F00">
      <w:pPr>
        <w:keepNext w:val="0"/>
        <w:keepLines w:val="0"/>
        <w:pageBreakBefore w:val="0"/>
        <w:widowControl/>
        <w:kinsoku/>
        <w:wordWrap/>
        <w:overflowPunct/>
        <w:topLinePunct w:val="0"/>
        <w:autoSpaceDE/>
        <w:autoSpaceDN/>
        <w:bidi w:val="0"/>
        <w:adjustRightInd/>
        <w:spacing w:line="600" w:lineRule="exact"/>
        <w:ind w:firstLine="600" w:firstLineChars="200"/>
        <w:jc w:val="left"/>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2021年我单位积极履职，强化管理，较好的完成了年度工作目标。根据部门整体支出绩效评价指标体系，我单位2021年自评得分为97分。</w:t>
      </w:r>
    </w:p>
    <w:p w14:paraId="7B19AEB9">
      <w:pPr>
        <w:pStyle w:val="6"/>
        <w:keepNext w:val="0"/>
        <w:keepLines w:val="0"/>
        <w:pageBreakBefore w:val="0"/>
        <w:widowControl/>
        <w:numPr>
          <w:ilvl w:val="0"/>
          <w:numId w:val="0"/>
        </w:numPr>
        <w:kinsoku/>
        <w:wordWrap/>
        <w:overflowPunct/>
        <w:topLinePunct w:val="0"/>
        <w:autoSpaceDE/>
        <w:autoSpaceDN/>
        <w:bidi w:val="0"/>
        <w:adjustRightInd/>
        <w:spacing w:line="600" w:lineRule="exact"/>
        <w:ind w:leftChars="200"/>
        <w:jc w:val="left"/>
        <w:textAlignment w:val="auto"/>
        <w:rPr>
          <w:rFonts w:hint="eastAsia" w:ascii="黑体" w:hAnsi="黑体" w:eastAsia="黑体" w:cs="黑体"/>
          <w:color w:val="000000"/>
          <w:sz w:val="30"/>
          <w:szCs w:val="30"/>
        </w:rPr>
      </w:pPr>
      <w:r>
        <w:rPr>
          <w:rFonts w:hint="eastAsia" w:ascii="黑体" w:hAnsi="黑体" w:eastAsia="黑体" w:cs="黑体"/>
          <w:color w:val="000000"/>
          <w:sz w:val="30"/>
          <w:szCs w:val="30"/>
          <w:lang w:eastAsia="zh-CN"/>
        </w:rPr>
        <w:t>（</w:t>
      </w:r>
      <w:r>
        <w:rPr>
          <w:rFonts w:hint="eastAsia" w:ascii="黑体" w:hAnsi="黑体" w:eastAsia="黑体" w:cs="黑体"/>
          <w:color w:val="000000"/>
          <w:sz w:val="30"/>
          <w:szCs w:val="30"/>
          <w:lang w:val="en-US" w:eastAsia="zh-CN"/>
        </w:rPr>
        <w:t>三）</w:t>
      </w:r>
      <w:r>
        <w:rPr>
          <w:rFonts w:hint="eastAsia" w:ascii="黑体" w:hAnsi="黑体" w:eastAsia="黑体" w:cs="黑体"/>
          <w:color w:val="000000"/>
          <w:sz w:val="30"/>
          <w:szCs w:val="30"/>
        </w:rPr>
        <w:t>绩效情况</w:t>
      </w:r>
    </w:p>
    <w:p w14:paraId="183CA836">
      <w:pPr>
        <w:pStyle w:val="2"/>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1.实施乡村振兴战略，推动城乡协调发展</w:t>
      </w:r>
    </w:p>
    <w:p w14:paraId="2F335CC7">
      <w:pPr>
        <w:pStyle w:val="2"/>
        <w:keepNext w:val="0"/>
        <w:keepLines w:val="0"/>
        <w:pageBreakBefore w:val="0"/>
        <w:kinsoku/>
        <w:wordWrap/>
        <w:overflowPunct/>
        <w:topLinePunct w:val="0"/>
        <w:autoSpaceDE/>
        <w:autoSpaceDN/>
        <w:bidi w:val="0"/>
        <w:adjustRightInd/>
        <w:spacing w:line="600" w:lineRule="exact"/>
        <w:ind w:firstLine="600" w:firstLineChars="200"/>
        <w:jc w:val="both"/>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坚持将乡村振兴作为第一要务，大力推进新型城镇化建设，着力解决城乡发展不平衡不充分的问题。围绕“九镇一乡”定位，有序布局生态、农业、城镇等功能空间，加快推进以人为核心的新型城镇化，加大基础设施建设力度，拓展以大带小、布局合理、功能互补、特色鲜明的新型城镇化发展格局，强化以工补农、以城带乡，实施城市更新行动，分类打造一批影响力大、辐射力强的文化名镇、旅游旺镇、生态美镇、产业强镇。持续整治农村人居环境，全面推进垃圾户分类、村收集、镇清运、区无害化处理模式。</w:t>
      </w:r>
    </w:p>
    <w:p w14:paraId="25042869">
      <w:pPr>
        <w:pStyle w:val="2"/>
        <w:keepNext w:val="0"/>
        <w:keepLines w:val="0"/>
        <w:pageBreakBefore w:val="0"/>
        <w:kinsoku/>
        <w:wordWrap/>
        <w:overflowPunct/>
        <w:topLinePunct w:val="0"/>
        <w:autoSpaceDE/>
        <w:autoSpaceDN/>
        <w:bidi w:val="0"/>
        <w:adjustRightInd/>
        <w:spacing w:line="600" w:lineRule="exact"/>
        <w:ind w:firstLine="600" w:firstLineChars="200"/>
        <w:jc w:val="both"/>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2.建立健全监管体制机制，维护房地产业平稳发展</w:t>
      </w:r>
    </w:p>
    <w:p w14:paraId="7D9B471B">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坚持“房住不炒”调控理念，全面落实房地产长效监管机制，完善政策协同、调控联动、监测预警、舆情引导、市场监管等机制，促进房地产市场平稳健康发展。成立房地产业联合监督检查小组，采取不定期检查方式，对“一房一价”“证书上墙”、预售许可、合同备案等加强监督管理，做好全区乡镇房地产项目预售资金监管，规范开发企业销售行为，防范化解区域房地产市场风险；严控问题楼盘发生，按照时间节点、“一楼一策”，积极配合区房地产办证信访突出问题化解专项行动领导小组做好问题楼盘化解工作；大力支持工业园区建设，借鉴江浙地区创新做法，推广我市首例工业地产（益阳万洋众创科技示范基地）开发试点项目成熟经验，确保工业地产项目顺利进入市场；强化物业小区合法组建业主委员会宣传引导，指导碧波豪苑二期等中心城区物业小区成立业主委员会；加大沧水铺、欧江岔、兰溪和衡龙桥等乡镇房地产开发力度，严格监督、热情服务，确保兰溪中心、盛益花庭、幸福家园和云龙名邸等项目平衡发展，为我区经济社会发展注入新动能。</w:t>
      </w:r>
    </w:p>
    <w:p w14:paraId="074836E0">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lang w:eastAsia="zh-CN"/>
        </w:rPr>
        <w:t>解决住房突出矛盾，筑牢住房安全保障</w:t>
      </w:r>
    </w:p>
    <w:p w14:paraId="0A1DD2F1">
      <w:pPr>
        <w:pStyle w:val="2"/>
        <w:keepNext w:val="0"/>
        <w:keepLines w:val="0"/>
        <w:pageBreakBefore w:val="0"/>
        <w:widowControl w:val="0"/>
        <w:kinsoku/>
        <w:wordWrap/>
        <w:overflowPunct/>
        <w:topLinePunct w:val="0"/>
        <w:autoSpaceDE/>
        <w:autoSpaceDN/>
        <w:bidi w:val="0"/>
        <w:adjustRightInd/>
        <w:spacing w:line="600" w:lineRule="exact"/>
        <w:ind w:firstLine="600" w:firstLineChars="200"/>
        <w:jc w:val="both"/>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抢抓中央投资和省级投资，稳步推进600户棚户区和28个老旧小区改造，突出抓好了益阳大道东片区、原益阳茶厂、区农科所等棚改项目。加快补齐租赁住房短板，构建以保障性租赁住房和共有产权住房为主体的住房保障体系，扩大保障性租赁住房供给，重点发展政策性租赁住房，积极稳妥做好惠民四期264套和清查清退公租房分配，发放租赁住房补贴390万元，保障户数2400户5100人，解决好特殊困难群体住房问题。整顿公共租赁市场秩序，加大对转租、转借、转卖、恶意欠租等违法违规行为的精准监管和查处力度，规范市场行为。</w:t>
      </w:r>
    </w:p>
    <w:p w14:paraId="2347D04E">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000000"/>
          <w:kern w:val="2"/>
          <w:sz w:val="30"/>
          <w:szCs w:val="30"/>
          <w:lang w:eastAsia="zh-CN"/>
        </w:rPr>
      </w:pPr>
      <w:r>
        <w:rPr>
          <w:rFonts w:hint="eastAsia" w:ascii="仿宋" w:hAnsi="仿宋" w:eastAsia="仿宋" w:cs="仿宋"/>
          <w:color w:val="000000"/>
          <w:kern w:val="2"/>
          <w:sz w:val="30"/>
          <w:szCs w:val="30"/>
          <w:lang w:val="en-US" w:eastAsia="zh-CN"/>
        </w:rPr>
        <w:t>4.</w:t>
      </w:r>
      <w:r>
        <w:rPr>
          <w:rFonts w:hint="eastAsia" w:ascii="仿宋" w:hAnsi="仿宋" w:eastAsia="仿宋" w:cs="仿宋"/>
          <w:color w:val="000000"/>
          <w:kern w:val="2"/>
          <w:sz w:val="30"/>
          <w:szCs w:val="30"/>
          <w:lang w:eastAsia="zh-CN"/>
        </w:rPr>
        <w:t>强力推进污染防治，加强生态环境治理</w:t>
      </w:r>
    </w:p>
    <w:p w14:paraId="19157E2A">
      <w:pPr>
        <w:pStyle w:val="7"/>
        <w:keepNext w:val="0"/>
        <w:keepLines w:val="0"/>
        <w:pageBreakBefore w:val="0"/>
        <w:widowControl w:val="0"/>
        <w:kinsoku/>
        <w:wordWrap/>
        <w:overflowPunct/>
        <w:topLinePunct w:val="0"/>
        <w:autoSpaceDE/>
        <w:autoSpaceDN/>
        <w:bidi w:val="0"/>
        <w:adjustRightInd/>
        <w:spacing w:line="600" w:lineRule="exact"/>
        <w:ind w:firstLine="600" w:firstLineChars="200"/>
        <w:jc w:val="both"/>
        <w:textAlignment w:val="auto"/>
        <w:rPr>
          <w:rFonts w:hint="eastAsia" w:ascii="仿宋" w:hAnsi="仿宋" w:eastAsia="仿宋" w:cs="仿宋"/>
          <w:color w:val="000000"/>
          <w:kern w:val="2"/>
          <w:sz w:val="30"/>
          <w:szCs w:val="30"/>
          <w:lang w:eastAsia="zh-CN"/>
        </w:rPr>
      </w:pPr>
      <w:r>
        <w:rPr>
          <w:rFonts w:hint="eastAsia" w:ascii="仿宋" w:hAnsi="仿宋" w:eastAsia="仿宋" w:cs="仿宋"/>
          <w:color w:val="000000"/>
          <w:kern w:val="2"/>
          <w:sz w:val="30"/>
          <w:szCs w:val="30"/>
          <w:lang w:eastAsia="zh-CN"/>
        </w:rPr>
        <w:t>深入贯彻落实习近平生态文明建设思想，完成10个乡镇污水处理厂配套管网及入户管网铺设，进一步提高全区乡镇污水处理率；因地制宜，制定乡镇污水处理费征收细则，确保建成的污水处理厂充分发挥处理效益，进一步提升污水处理负荷率，杜绝污水厂“晒太阳”。巩固南干渠、牛蛟港渠黑臭水体整治成果，协助市住建局做好中心城区雨污分流和拦污截污工作，加强沿线居民生活污水和生产废水整治，确保南干渠、牛蛟港渠水体生态稳定向好。健全完善村庄黑臭水体整治长效机制，明确管护主体，强化日常维护，杜绝污水直排偷排导致水体返黑返臭，改善镇村人居环境。继续加强建筑工地扬尘污染治理，守住大气污染防治红线。</w:t>
      </w:r>
    </w:p>
    <w:p w14:paraId="1476012C">
      <w:pPr>
        <w:pStyle w:val="7"/>
        <w:keepNext w:val="0"/>
        <w:keepLines w:val="0"/>
        <w:pageBreakBefore w:val="0"/>
        <w:widowControl w:val="0"/>
        <w:kinsoku/>
        <w:wordWrap/>
        <w:overflowPunct/>
        <w:topLinePunct w:val="0"/>
        <w:autoSpaceDE/>
        <w:autoSpaceDN/>
        <w:bidi w:val="0"/>
        <w:adjustRightInd/>
        <w:spacing w:line="600" w:lineRule="exact"/>
        <w:ind w:firstLine="600" w:firstLineChars="200"/>
        <w:jc w:val="both"/>
        <w:textAlignment w:val="auto"/>
        <w:rPr>
          <w:rFonts w:hint="eastAsia" w:ascii="仿宋" w:hAnsi="仿宋" w:eastAsia="仿宋" w:cs="仿宋"/>
          <w:color w:val="000000"/>
          <w:kern w:val="2"/>
          <w:sz w:val="30"/>
          <w:szCs w:val="30"/>
          <w:lang w:val="en-US" w:eastAsia="zh-CN"/>
        </w:rPr>
      </w:pPr>
      <w:r>
        <w:rPr>
          <w:rFonts w:hint="eastAsia" w:ascii="仿宋" w:hAnsi="仿宋" w:eastAsia="仿宋" w:cs="仿宋"/>
          <w:color w:val="000000"/>
          <w:kern w:val="2"/>
          <w:sz w:val="30"/>
          <w:szCs w:val="30"/>
          <w:lang w:val="en-US" w:eastAsia="zh-CN"/>
        </w:rPr>
        <w:t>5.实施乡村建设行动，提升村民建房水平</w:t>
      </w:r>
    </w:p>
    <w:p w14:paraId="3D070EB5">
      <w:pPr>
        <w:pStyle w:val="7"/>
        <w:keepNext w:val="0"/>
        <w:keepLines w:val="0"/>
        <w:pageBreakBefore w:val="0"/>
        <w:widowControl w:val="0"/>
        <w:kinsoku/>
        <w:wordWrap/>
        <w:overflowPunct/>
        <w:topLinePunct w:val="0"/>
        <w:autoSpaceDE/>
        <w:autoSpaceDN/>
        <w:bidi w:val="0"/>
        <w:adjustRightInd/>
        <w:spacing w:line="600" w:lineRule="exact"/>
        <w:ind w:firstLine="600" w:firstLineChars="200"/>
        <w:jc w:val="both"/>
        <w:textAlignment w:val="auto"/>
        <w:rPr>
          <w:rFonts w:hint="eastAsia" w:ascii="仿宋" w:hAnsi="仿宋" w:eastAsia="仿宋" w:cs="仿宋"/>
          <w:color w:val="000000"/>
          <w:kern w:val="2"/>
          <w:sz w:val="30"/>
          <w:szCs w:val="30"/>
          <w:lang w:eastAsia="zh-CN"/>
        </w:rPr>
      </w:pPr>
      <w:r>
        <w:rPr>
          <w:rFonts w:hint="eastAsia" w:ascii="仿宋" w:hAnsi="仿宋" w:eastAsia="仿宋" w:cs="仿宋"/>
          <w:color w:val="000000"/>
          <w:kern w:val="2"/>
          <w:sz w:val="30"/>
          <w:szCs w:val="30"/>
          <w:lang w:eastAsia="zh-CN"/>
        </w:rPr>
        <w:t>贯彻落实《益阳市农村村民住房建设管理条例》，加强对农村村民建房行为的规范管理，出台村镇建设政策并指导实施到位，引导村民向集中居住区集中。全面开展乡村建设评价工作，推广装配式钢结构新型农房建设方式，提升农房现代化水平。继续实施农村危房改造，改造380户。加大空心房整治力度，探索建立农村低收入家庭基本住房安全保障机制。持续推进农村房屋安全隐患排查和整治行动，建立健全农房建设标准和建设管理制度，全面消除房屋安全隐患。</w:t>
      </w:r>
    </w:p>
    <w:p w14:paraId="5FECE88E">
      <w:pPr>
        <w:pStyle w:val="2"/>
        <w:keepNext w:val="0"/>
        <w:keepLines w:val="0"/>
        <w:pageBreakBefore w:val="0"/>
        <w:kinsoku/>
        <w:wordWrap/>
        <w:overflowPunct/>
        <w:topLinePunct w:val="0"/>
        <w:autoSpaceDE/>
        <w:autoSpaceDN/>
        <w:bidi w:val="0"/>
        <w:adjustRightInd/>
        <w:spacing w:line="600" w:lineRule="exact"/>
        <w:ind w:firstLine="600" w:firstLineChars="200"/>
        <w:jc w:val="both"/>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6.狠抓行业领域管理，夯实安全生产责任</w:t>
      </w:r>
    </w:p>
    <w:p w14:paraId="75DF6977">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健全完善招投标监管体制机制，大力推广电子招投标和远程异地评标，维护招投标领域公平公正公开。坚决贯彻落实区委、区政府关于安全生产工作的决策部署，落实安全生产责任制，把建设工程质量安全摆在更加重要的位置，守住工程质量安全生产底线。打破“重建轻管”的藩篱，坚持“多措并举、建管并重”，形成以工程质量安全为核心的建设项目市场监管长效机制。深入实施绿色建筑创建行动，稳步推进建筑工程标准化设计、工厂化生产、装配化施工、一体化装修、信息化管理，不断提高装配式建筑、绿色建筑在新建建筑中的比重。</w:t>
      </w:r>
    </w:p>
    <w:p w14:paraId="25FF781F">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7</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稳步发展公用事业，提高居民生活质量</w:t>
      </w:r>
    </w:p>
    <w:p w14:paraId="75CA7FB4">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落实省委省政府“气化湖南”战略，对标“十四五</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规划居民用气率达到98％以上要求，促进全区乡镇管道燃气行业健康、</w:t>
      </w:r>
      <w:bookmarkStart w:id="0" w:name="_GoBack"/>
      <w:bookmarkEnd w:id="0"/>
      <w:r>
        <w:rPr>
          <w:rFonts w:hint="eastAsia" w:ascii="仿宋" w:hAnsi="仿宋" w:eastAsia="仿宋" w:cs="仿宋"/>
          <w:color w:val="000000"/>
          <w:sz w:val="30"/>
          <w:szCs w:val="30"/>
        </w:rPr>
        <w:t>有序、快速发展。指导泉交河镇、八字哨镇、岳家桥镇瓶装液化气站和泉交河镇分输阀室等气站室建设，做好诚信站、普济站搬迁和提质改造工作。扎实做好中心城区背街小巷和街头绿地等城市公共基础设施的维护维修，及时消除人民群众心坎上的烦心事。</w:t>
      </w:r>
    </w:p>
    <w:p w14:paraId="3F87DB1F">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8</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持续推进改革创新，提质提效审批服务</w:t>
      </w:r>
    </w:p>
    <w:p w14:paraId="757BA150">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扎实开展营商环境优化年活动，全面推进工程建设项目审批制度改革，持续深化建筑业“放管服”改革，进一步健全完善住房和城乡建设领域法规标准体系，激发市场主体活力。全面推行行政审批“三集中三到位”，提高行政服务效能，打造优质高效政务服务环境、宽松有序经营发展环境、公平公正市场竞争环境。坚持把项目建设、立项争资和招商引资作为推动发展的第一动力，全力引项目、增投资、提效能，立项争资超4亿元，招商引资超5000万元。积极跟进监管项目工程进度，开展“一企一策”精准帮扶，指导企业完善报建、施工许可办理和竣工验收等资料，只服务、不索取，“一路绿灯”为企业，做实做优惠企减负工作，提升营商环境指数，助力企业“轻装上阵”。</w:t>
      </w:r>
    </w:p>
    <w:p w14:paraId="5DFD0617">
      <w:pPr>
        <w:pStyle w:val="5"/>
        <w:keepNext w:val="0"/>
        <w:keepLines w:val="0"/>
        <w:pageBreakBefore w:val="0"/>
        <w:widowControl/>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七、存在的问题及原因分析</w:t>
      </w:r>
    </w:p>
    <w:p w14:paraId="39406CE2">
      <w:pPr>
        <w:keepNext w:val="0"/>
        <w:keepLines w:val="0"/>
        <w:pageBreakBefore w:val="0"/>
        <w:widowControl/>
        <w:kinsoku/>
        <w:wordWrap/>
        <w:overflowPunct/>
        <w:topLinePunct w:val="0"/>
        <w:autoSpaceDE/>
        <w:autoSpaceDN/>
        <w:bidi w:val="0"/>
        <w:adjustRightIn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主要存在项目完成率及及时完成率成在不足，是因施工过程存在各种问题，需要时间进行处理。</w:t>
      </w:r>
    </w:p>
    <w:p w14:paraId="5FDB5027">
      <w:pPr>
        <w:keepNext w:val="0"/>
        <w:keepLines w:val="0"/>
        <w:pageBreakBefore w:val="0"/>
        <w:widowControl/>
        <w:kinsoku/>
        <w:wordWrap/>
        <w:overflowPunct/>
        <w:topLinePunct w:val="0"/>
        <w:autoSpaceDE/>
        <w:autoSpaceDN/>
        <w:bidi w:val="0"/>
        <w:adjustRightIn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人员严重缺编与工作任务繁重的矛盾日益突出。</w:t>
      </w:r>
    </w:p>
    <w:p w14:paraId="1AD65F43">
      <w:pPr>
        <w:pStyle w:val="5"/>
        <w:keepNext w:val="0"/>
        <w:keepLines w:val="0"/>
        <w:pageBreakBefore w:val="0"/>
        <w:widowControl/>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八、下一步改进措施</w:t>
      </w:r>
    </w:p>
    <w:p w14:paraId="05003549">
      <w:pPr>
        <w:keepNext w:val="0"/>
        <w:keepLines w:val="0"/>
        <w:pageBreakBefore w:val="0"/>
        <w:widowControl/>
        <w:kinsoku/>
        <w:wordWrap/>
        <w:overflowPunct/>
        <w:topLinePunct w:val="0"/>
        <w:autoSpaceDE/>
        <w:autoSpaceDN/>
        <w:bidi w:val="0"/>
        <w:adjustRightIn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加强项目的管理及时沟通减少施工过程中发生问题。</w:t>
      </w:r>
    </w:p>
    <w:p w14:paraId="6B4899E5">
      <w:pPr>
        <w:pStyle w:val="5"/>
        <w:keepNext w:val="0"/>
        <w:keepLines w:val="0"/>
        <w:pageBreakBefore w:val="0"/>
        <w:widowControl/>
        <w:kinsoku/>
        <w:wordWrap/>
        <w:overflowPunct/>
        <w:topLinePunct w:val="0"/>
        <w:autoSpaceDE/>
        <w:autoSpaceDN/>
        <w:bidi w:val="0"/>
        <w:adjustRightInd/>
        <w:snapToGrid/>
        <w:spacing w:line="600" w:lineRule="exact"/>
        <w:ind w:left="0" w:lef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九、其他需要说明的情况</w:t>
      </w:r>
    </w:p>
    <w:p w14:paraId="4F82C074">
      <w:pPr>
        <w:keepNext w:val="0"/>
        <w:keepLines w:val="0"/>
        <w:pageBreakBefore w:val="0"/>
        <w:widowControl/>
        <w:kinsoku/>
        <w:wordWrap/>
        <w:overflowPunct/>
        <w:topLinePunct w:val="0"/>
        <w:autoSpaceDE/>
        <w:autoSpaceDN/>
        <w:bidi w:val="0"/>
        <w:adjustRightIn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无其他需要说明的情况。</w:t>
      </w:r>
    </w:p>
    <w:p w14:paraId="4C4D49BA">
      <w:pPr>
        <w:keepNext w:val="0"/>
        <w:keepLines w:val="0"/>
        <w:pageBreakBefore w:val="0"/>
        <w:widowControl/>
        <w:kinsoku/>
        <w:wordWrap/>
        <w:overflowPunct/>
        <w:topLinePunct w:val="0"/>
        <w:autoSpaceDE/>
        <w:autoSpaceDN/>
        <w:bidi w:val="0"/>
        <w:adjustRightIn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附件：</w:t>
      </w:r>
      <w:r>
        <w:rPr>
          <w:rFonts w:hint="eastAsia" w:ascii="仿宋" w:hAnsi="仿宋" w:eastAsia="仿宋" w:cs="仿宋"/>
          <w:sz w:val="30"/>
          <w:szCs w:val="30"/>
        </w:rPr>
        <w:t>2021年度部门整体支出绩效自评指标计分表</w:t>
      </w:r>
    </w:p>
    <w:p w14:paraId="53E0C788">
      <w:pPr>
        <w:keepNext w:val="0"/>
        <w:keepLines w:val="0"/>
        <w:pageBreakBefore w:val="0"/>
        <w:widowControl/>
        <w:kinsoku/>
        <w:wordWrap/>
        <w:overflowPunct/>
        <w:topLinePunct w:val="0"/>
        <w:autoSpaceDE/>
        <w:autoSpaceDN/>
        <w:bidi w:val="0"/>
        <w:adjustRightInd/>
        <w:spacing w:line="600" w:lineRule="exact"/>
        <w:ind w:firstLine="600" w:firstLineChars="200"/>
        <w:jc w:val="left"/>
        <w:textAlignment w:val="auto"/>
        <w:rPr>
          <w:rFonts w:hint="eastAsia" w:ascii="仿宋" w:hAnsi="仿宋" w:eastAsia="仿宋" w:cs="仿宋"/>
          <w:sz w:val="30"/>
          <w:szCs w:val="30"/>
        </w:rPr>
      </w:pPr>
    </w:p>
    <w:p w14:paraId="5A95741C">
      <w:pPr>
        <w:keepNext w:val="0"/>
        <w:keepLines w:val="0"/>
        <w:pageBreakBefore w:val="0"/>
        <w:widowControl/>
        <w:kinsoku/>
        <w:wordWrap/>
        <w:overflowPunct/>
        <w:topLinePunct w:val="0"/>
        <w:autoSpaceDE/>
        <w:autoSpaceDN/>
        <w:bidi w:val="0"/>
        <w:adjustRightInd/>
        <w:spacing w:line="600" w:lineRule="exact"/>
        <w:ind w:firstLine="600" w:firstLineChars="200"/>
        <w:jc w:val="left"/>
        <w:textAlignment w:val="auto"/>
        <w:rPr>
          <w:rFonts w:hint="eastAsia" w:ascii="仿宋" w:hAnsi="仿宋" w:eastAsia="仿宋" w:cs="仿宋"/>
          <w:sz w:val="30"/>
          <w:szCs w:val="30"/>
        </w:rPr>
      </w:pPr>
    </w:p>
    <w:p w14:paraId="67C6E89D">
      <w:pPr>
        <w:keepNext w:val="0"/>
        <w:keepLines w:val="0"/>
        <w:pageBreakBefore w:val="0"/>
        <w:widowControl/>
        <w:kinsoku/>
        <w:wordWrap/>
        <w:overflowPunct/>
        <w:topLinePunct w:val="0"/>
        <w:autoSpaceDE/>
        <w:autoSpaceDN/>
        <w:bidi w:val="0"/>
        <w:adjustRightInd/>
        <w:spacing w:line="600" w:lineRule="exact"/>
        <w:ind w:right="640"/>
        <w:jc w:val="both"/>
        <w:textAlignment w:val="auto"/>
        <w:rPr>
          <w:rFonts w:hint="eastAsia" w:ascii="仿宋" w:hAnsi="仿宋" w:eastAsia="仿宋" w:cs="仿宋"/>
          <w:sz w:val="30"/>
          <w:szCs w:val="30"/>
        </w:rPr>
      </w:pPr>
    </w:p>
    <w:p w14:paraId="505F014C">
      <w:pPr>
        <w:keepNext w:val="0"/>
        <w:keepLines w:val="0"/>
        <w:pageBreakBefore w:val="0"/>
        <w:widowControl/>
        <w:kinsoku/>
        <w:wordWrap/>
        <w:overflowPunct/>
        <w:topLinePunct w:val="0"/>
        <w:autoSpaceDE/>
        <w:autoSpaceDN/>
        <w:bidi w:val="0"/>
        <w:adjustRightInd/>
        <w:spacing w:line="600" w:lineRule="exact"/>
        <w:ind w:right="640" w:firstLine="600" w:firstLineChars="200"/>
        <w:jc w:val="right"/>
        <w:textAlignment w:val="auto"/>
        <w:rPr>
          <w:rFonts w:hint="eastAsia" w:ascii="仿宋" w:hAnsi="仿宋" w:eastAsia="仿宋" w:cs="仿宋"/>
          <w:sz w:val="30"/>
          <w:szCs w:val="30"/>
        </w:rPr>
      </w:pPr>
    </w:p>
    <w:p w14:paraId="665CD133">
      <w:pPr>
        <w:spacing w:before="156" w:beforeLines="50" w:after="156" w:afterLines="50"/>
        <w:jc w:val="center"/>
        <w:rPr>
          <w:rFonts w:ascii="方正小标宋简体" w:eastAsia="方正小标宋简体" w:cs="方正小标宋_GBK"/>
          <w:sz w:val="36"/>
          <w:szCs w:val="36"/>
        </w:rPr>
      </w:pPr>
      <w:r>
        <w:rPr>
          <w:rFonts w:hint="eastAsia" w:ascii="方正小标宋简体" w:eastAsia="方正小标宋简体" w:cs="方正小标宋_GBK"/>
          <w:sz w:val="36"/>
          <w:szCs w:val="36"/>
        </w:rPr>
        <w:t>2021年度部门整体支出绩效自评指标计分表</w:t>
      </w:r>
    </w:p>
    <w:tbl>
      <w:tblPr>
        <w:tblStyle w:val="3"/>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0"/>
        <w:gridCol w:w="684"/>
        <w:gridCol w:w="913"/>
        <w:gridCol w:w="684"/>
        <w:gridCol w:w="2877"/>
        <w:gridCol w:w="3408"/>
      </w:tblGrid>
      <w:tr w14:paraId="6930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7" w:type="pct"/>
            <w:noWrap w:val="0"/>
            <w:tcMar>
              <w:top w:w="10" w:type="dxa"/>
              <w:left w:w="10" w:type="dxa"/>
              <w:bottom w:w="0" w:type="dxa"/>
              <w:right w:w="10" w:type="dxa"/>
            </w:tcMar>
            <w:vAlign w:val="center"/>
          </w:tcPr>
          <w:p w14:paraId="65F7515C">
            <w:pPr>
              <w:jc w:val="center"/>
              <w:rPr>
                <w:rFonts w:ascii="宋体" w:cs="宋体"/>
                <w:b/>
                <w:bCs/>
              </w:rPr>
            </w:pPr>
            <w:r>
              <w:rPr>
                <w:rFonts w:hint="eastAsia" w:ascii="宋体" w:hAnsi="宋体" w:cs="宋体"/>
                <w:b/>
                <w:bCs/>
              </w:rPr>
              <w:t>一级</w:t>
            </w:r>
            <w:r>
              <w:rPr>
                <w:rFonts w:ascii="宋体" w:cs="宋体"/>
                <w:b/>
                <w:bCs/>
              </w:rPr>
              <w:br w:type="textWrapping"/>
            </w:r>
            <w:r>
              <w:rPr>
                <w:rFonts w:hint="eastAsia" w:ascii="宋体" w:hAnsi="宋体" w:cs="宋体"/>
                <w:b/>
                <w:bCs/>
              </w:rPr>
              <w:t>指标</w:t>
            </w:r>
          </w:p>
        </w:tc>
        <w:tc>
          <w:tcPr>
            <w:tcW w:w="375" w:type="pct"/>
            <w:noWrap w:val="0"/>
            <w:tcMar>
              <w:top w:w="10" w:type="dxa"/>
              <w:left w:w="10" w:type="dxa"/>
              <w:bottom w:w="0" w:type="dxa"/>
              <w:right w:w="10" w:type="dxa"/>
            </w:tcMar>
            <w:vAlign w:val="center"/>
          </w:tcPr>
          <w:p w14:paraId="40A0D64F">
            <w:pPr>
              <w:ind w:right="-174" w:rightChars="-83"/>
              <w:jc w:val="center"/>
              <w:rPr>
                <w:rFonts w:ascii="宋体" w:cs="宋体"/>
                <w:b/>
                <w:bCs/>
              </w:rPr>
            </w:pPr>
            <w:r>
              <w:rPr>
                <w:rFonts w:hint="eastAsia" w:ascii="宋体" w:hAnsi="宋体" w:cs="宋体"/>
                <w:b/>
                <w:bCs/>
              </w:rPr>
              <w:t>二级</w:t>
            </w:r>
          </w:p>
          <w:p w14:paraId="2F965E26">
            <w:pPr>
              <w:ind w:right="-174" w:rightChars="-83"/>
              <w:jc w:val="center"/>
              <w:rPr>
                <w:rFonts w:ascii="宋体" w:cs="宋体"/>
                <w:b/>
                <w:bCs/>
              </w:rPr>
            </w:pPr>
            <w:r>
              <w:rPr>
                <w:rFonts w:hint="eastAsia" w:ascii="宋体" w:hAnsi="宋体" w:cs="宋体"/>
                <w:b/>
                <w:bCs/>
              </w:rPr>
              <w:t>指标</w:t>
            </w:r>
          </w:p>
        </w:tc>
        <w:tc>
          <w:tcPr>
            <w:tcW w:w="500" w:type="pct"/>
            <w:noWrap w:val="0"/>
            <w:tcMar>
              <w:top w:w="10" w:type="dxa"/>
              <w:left w:w="10" w:type="dxa"/>
              <w:bottom w:w="0" w:type="dxa"/>
              <w:right w:w="10" w:type="dxa"/>
            </w:tcMar>
            <w:vAlign w:val="center"/>
          </w:tcPr>
          <w:p w14:paraId="23EB76DE">
            <w:pPr>
              <w:jc w:val="center"/>
              <w:rPr>
                <w:rFonts w:ascii="宋体" w:cs="宋体"/>
                <w:b/>
                <w:bCs/>
              </w:rPr>
            </w:pPr>
            <w:r>
              <w:rPr>
                <w:rFonts w:hint="eastAsia" w:ascii="宋体" w:hAnsi="宋体" w:cs="宋体"/>
                <w:b/>
                <w:bCs/>
              </w:rPr>
              <w:t>三级</w:t>
            </w:r>
          </w:p>
          <w:p w14:paraId="0D965265">
            <w:pPr>
              <w:jc w:val="center"/>
              <w:rPr>
                <w:rFonts w:ascii="宋体" w:cs="宋体"/>
                <w:b/>
                <w:bCs/>
              </w:rPr>
            </w:pPr>
            <w:r>
              <w:rPr>
                <w:rFonts w:hint="eastAsia" w:ascii="宋体" w:hAnsi="宋体" w:cs="宋体"/>
                <w:b/>
                <w:bCs/>
              </w:rPr>
              <w:t>指标</w:t>
            </w:r>
          </w:p>
        </w:tc>
        <w:tc>
          <w:tcPr>
            <w:tcW w:w="375" w:type="pct"/>
            <w:noWrap w:val="0"/>
            <w:vAlign w:val="center"/>
          </w:tcPr>
          <w:p w14:paraId="44423624">
            <w:pPr>
              <w:ind w:left="105" w:leftChars="50" w:right="105" w:rightChars="50"/>
              <w:jc w:val="center"/>
              <w:rPr>
                <w:rFonts w:ascii="宋体" w:cs="宋体"/>
                <w:b/>
                <w:bCs/>
              </w:rPr>
            </w:pPr>
            <w:r>
              <w:rPr>
                <w:rFonts w:hint="eastAsia" w:ascii="宋体" w:hAnsi="宋体" w:cs="宋体"/>
                <w:b/>
                <w:bCs/>
              </w:rPr>
              <w:t>自评分</w:t>
            </w:r>
          </w:p>
        </w:tc>
        <w:tc>
          <w:tcPr>
            <w:tcW w:w="1576" w:type="pct"/>
            <w:noWrap w:val="0"/>
            <w:tcMar>
              <w:top w:w="10" w:type="dxa"/>
              <w:left w:w="10" w:type="dxa"/>
              <w:bottom w:w="0" w:type="dxa"/>
              <w:right w:w="10" w:type="dxa"/>
            </w:tcMar>
            <w:vAlign w:val="center"/>
          </w:tcPr>
          <w:p w14:paraId="4F5C7C54">
            <w:pPr>
              <w:ind w:left="105" w:leftChars="50" w:right="105" w:rightChars="50"/>
              <w:jc w:val="center"/>
              <w:rPr>
                <w:rFonts w:ascii="宋体" w:cs="宋体"/>
                <w:b/>
                <w:bCs/>
              </w:rPr>
            </w:pPr>
            <w:r>
              <w:rPr>
                <w:rFonts w:hint="eastAsia" w:ascii="宋体" w:hAnsi="宋体" w:cs="宋体"/>
                <w:b/>
                <w:bCs/>
              </w:rPr>
              <w:t>指标解释</w:t>
            </w:r>
          </w:p>
        </w:tc>
        <w:tc>
          <w:tcPr>
            <w:tcW w:w="1867" w:type="pct"/>
            <w:noWrap w:val="0"/>
            <w:tcMar>
              <w:top w:w="10" w:type="dxa"/>
              <w:left w:w="10" w:type="dxa"/>
              <w:bottom w:w="0" w:type="dxa"/>
              <w:right w:w="10" w:type="dxa"/>
            </w:tcMar>
            <w:vAlign w:val="center"/>
          </w:tcPr>
          <w:p w14:paraId="24B8E54D">
            <w:pPr>
              <w:ind w:left="105" w:leftChars="50" w:right="105" w:rightChars="50"/>
              <w:jc w:val="center"/>
              <w:rPr>
                <w:rFonts w:ascii="宋体" w:cs="宋体"/>
                <w:b/>
                <w:bCs/>
              </w:rPr>
            </w:pPr>
            <w:r>
              <w:rPr>
                <w:rFonts w:hint="eastAsia" w:ascii="宋体" w:hAnsi="宋体" w:cs="宋体"/>
                <w:b/>
                <w:bCs/>
              </w:rPr>
              <w:t>指标说明</w:t>
            </w:r>
          </w:p>
        </w:tc>
      </w:tr>
      <w:tr w14:paraId="7C1A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307" w:type="pct"/>
            <w:vMerge w:val="restart"/>
            <w:noWrap/>
            <w:tcMar>
              <w:top w:w="10" w:type="dxa"/>
              <w:left w:w="10" w:type="dxa"/>
              <w:bottom w:w="0" w:type="dxa"/>
              <w:right w:w="10" w:type="dxa"/>
            </w:tcMar>
            <w:textDirection w:val="tbRlV"/>
            <w:vAlign w:val="center"/>
          </w:tcPr>
          <w:p w14:paraId="0D50A4CE">
            <w:pPr>
              <w:jc w:val="center"/>
              <w:rPr>
                <w:rFonts w:ascii="宋体" w:cs="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14:paraId="65EE6BE4">
            <w:pPr>
              <w:jc w:val="center"/>
              <w:rPr>
                <w:rFonts w:ascii="宋体" w:cs="宋体"/>
              </w:rPr>
            </w:pPr>
            <w:r>
              <w:rPr>
                <w:rFonts w:hint="eastAsia" w:ascii="宋体" w:hAnsi="宋体" w:cs="宋体"/>
              </w:rPr>
              <w:t>目标</w:t>
            </w:r>
            <w:r>
              <w:rPr>
                <w:rFonts w:ascii="宋体" w:cs="宋体"/>
              </w:rPr>
              <w:br w:type="textWrapping"/>
            </w:r>
            <w:r>
              <w:rPr>
                <w:rFonts w:hint="eastAsia" w:ascii="宋体" w:hAnsi="宋体" w:cs="宋体"/>
              </w:rPr>
              <w:t>设定（</w:t>
            </w:r>
            <w:r>
              <w:rPr>
                <w:rFonts w:ascii="宋体" w:hAnsi="宋体" w:cs="宋体"/>
              </w:rPr>
              <w:t>5</w:t>
            </w:r>
            <w:r>
              <w:rPr>
                <w:rFonts w:hint="eastAsia" w:ascii="宋体" w:hAnsi="宋体" w:cs="宋体"/>
              </w:rPr>
              <w:t>分）</w:t>
            </w:r>
          </w:p>
        </w:tc>
        <w:tc>
          <w:tcPr>
            <w:tcW w:w="500" w:type="pct"/>
            <w:noWrap w:val="0"/>
            <w:tcMar>
              <w:top w:w="10" w:type="dxa"/>
              <w:left w:w="10" w:type="dxa"/>
              <w:bottom w:w="0" w:type="dxa"/>
              <w:right w:w="10" w:type="dxa"/>
            </w:tcMar>
            <w:vAlign w:val="center"/>
          </w:tcPr>
          <w:p w14:paraId="6A15DABF">
            <w:pPr>
              <w:jc w:val="center"/>
              <w:rPr>
                <w:rFonts w:ascii="宋体" w:cs="宋体"/>
              </w:rPr>
            </w:pPr>
            <w:r>
              <w:rPr>
                <w:rFonts w:hint="eastAsia" w:ascii="宋体" w:hAnsi="宋体" w:cs="宋体"/>
              </w:rPr>
              <w:t>绩效目标</w:t>
            </w:r>
          </w:p>
          <w:p w14:paraId="02485558">
            <w:pPr>
              <w:jc w:val="center"/>
              <w:rPr>
                <w:rFonts w:ascii="宋体" w:cs="宋体"/>
              </w:rPr>
            </w:pPr>
            <w:r>
              <w:rPr>
                <w:rFonts w:hint="eastAsia" w:ascii="宋体" w:hAnsi="宋体" w:cs="宋体"/>
              </w:rPr>
              <w:t>合理性（</w:t>
            </w:r>
            <w:r>
              <w:rPr>
                <w:rFonts w:ascii="宋体" w:hAnsi="宋体" w:cs="宋体"/>
              </w:rPr>
              <w:t>2</w:t>
            </w:r>
            <w:r>
              <w:rPr>
                <w:rFonts w:hint="eastAsia" w:ascii="宋体" w:hAnsi="宋体" w:cs="宋体"/>
              </w:rPr>
              <w:t>分）</w:t>
            </w:r>
          </w:p>
        </w:tc>
        <w:tc>
          <w:tcPr>
            <w:tcW w:w="375" w:type="pct"/>
            <w:noWrap w:val="0"/>
            <w:vAlign w:val="top"/>
          </w:tcPr>
          <w:p w14:paraId="64DD2949">
            <w:pPr>
              <w:tabs>
                <w:tab w:val="left" w:pos="2604"/>
              </w:tabs>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14:paraId="1899D006">
            <w:pPr>
              <w:tabs>
                <w:tab w:val="left" w:pos="2604"/>
              </w:tabs>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1867" w:type="pct"/>
            <w:noWrap w:val="0"/>
            <w:tcMar>
              <w:top w:w="10" w:type="dxa"/>
              <w:left w:w="10" w:type="dxa"/>
              <w:bottom w:w="0" w:type="dxa"/>
              <w:right w:w="10" w:type="dxa"/>
            </w:tcMar>
            <w:vAlign w:val="center"/>
          </w:tcPr>
          <w:p w14:paraId="40E8D721">
            <w:pPr>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①是否符合国家法律法规、国民经济和社会发展总体规划；</w:t>
            </w:r>
            <w:r>
              <w:rPr>
                <w:rFonts w:ascii="宋体" w:cs="宋体"/>
              </w:rPr>
              <w:br w:type="textWrapping"/>
            </w:r>
            <w:r>
              <w:rPr>
                <w:rFonts w:hint="eastAsia" w:ascii="宋体" w:hAnsi="宋体" w:cs="宋体"/>
              </w:rPr>
              <w:t>②是否符合部门“三定”方案确定的职责；</w:t>
            </w:r>
            <w:r>
              <w:rPr>
                <w:rFonts w:ascii="宋体" w:cs="宋体"/>
              </w:rPr>
              <w:br w:type="textWrapping"/>
            </w:r>
            <w:r>
              <w:rPr>
                <w:rFonts w:hint="eastAsia" w:ascii="宋体" w:hAnsi="宋体" w:cs="宋体"/>
              </w:rPr>
              <w:t>③是否符合部门制定的中长期实施规划。</w:t>
            </w:r>
          </w:p>
        </w:tc>
      </w:tr>
      <w:tr w14:paraId="5070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307" w:type="pct"/>
            <w:vMerge w:val="continue"/>
            <w:noWrap w:val="0"/>
            <w:vAlign w:val="center"/>
          </w:tcPr>
          <w:p w14:paraId="44217662">
            <w:pPr>
              <w:rPr>
                <w:rFonts w:ascii="宋体" w:cs="宋体"/>
              </w:rPr>
            </w:pPr>
          </w:p>
        </w:tc>
        <w:tc>
          <w:tcPr>
            <w:tcW w:w="375" w:type="pct"/>
            <w:vMerge w:val="continue"/>
            <w:noWrap w:val="0"/>
            <w:vAlign w:val="center"/>
          </w:tcPr>
          <w:p w14:paraId="7392F8BA">
            <w:pPr>
              <w:rPr>
                <w:rFonts w:ascii="宋体" w:cs="宋体"/>
              </w:rPr>
            </w:pPr>
          </w:p>
        </w:tc>
        <w:tc>
          <w:tcPr>
            <w:tcW w:w="500" w:type="pct"/>
            <w:noWrap w:val="0"/>
            <w:tcMar>
              <w:top w:w="10" w:type="dxa"/>
              <w:left w:w="10" w:type="dxa"/>
              <w:bottom w:w="0" w:type="dxa"/>
              <w:right w:w="10" w:type="dxa"/>
            </w:tcMar>
            <w:vAlign w:val="center"/>
          </w:tcPr>
          <w:p w14:paraId="06E05298">
            <w:pPr>
              <w:jc w:val="center"/>
              <w:rPr>
                <w:rFonts w:ascii="宋体" w:cs="宋体"/>
              </w:rPr>
            </w:pPr>
            <w:r>
              <w:rPr>
                <w:rFonts w:hint="eastAsia" w:ascii="宋体" w:hAnsi="宋体" w:cs="宋体"/>
              </w:rPr>
              <w:t>绩效指标</w:t>
            </w:r>
          </w:p>
          <w:p w14:paraId="39D0EB29">
            <w:pPr>
              <w:jc w:val="center"/>
              <w:rPr>
                <w:rFonts w:ascii="宋体" w:cs="宋体"/>
              </w:rPr>
            </w:pPr>
            <w:r>
              <w:rPr>
                <w:rFonts w:hint="eastAsia" w:ascii="宋体" w:hAnsi="宋体" w:cs="宋体"/>
              </w:rPr>
              <w:t>明确性（</w:t>
            </w:r>
            <w:r>
              <w:rPr>
                <w:rFonts w:ascii="宋体" w:hAnsi="宋体" w:cs="宋体"/>
              </w:rPr>
              <w:t>3</w:t>
            </w:r>
            <w:r>
              <w:rPr>
                <w:rFonts w:hint="eastAsia" w:ascii="宋体" w:hAnsi="宋体" w:cs="宋体"/>
              </w:rPr>
              <w:t>分）</w:t>
            </w:r>
          </w:p>
        </w:tc>
        <w:tc>
          <w:tcPr>
            <w:tcW w:w="375" w:type="pct"/>
            <w:noWrap w:val="0"/>
            <w:vAlign w:val="top"/>
          </w:tcPr>
          <w:p w14:paraId="1820BBCA">
            <w:pPr>
              <w:tabs>
                <w:tab w:val="left" w:pos="2604"/>
              </w:tabs>
              <w:ind w:left="105" w:leftChars="50" w:right="105" w:rightChars="50" w:firstLine="96" w:firstLineChars="46"/>
              <w:rPr>
                <w:rFonts w:ascii="宋体" w:cs="宋体"/>
              </w:rPr>
            </w:pPr>
            <w:r>
              <w:rPr>
                <w:rFonts w:hint="eastAsia" w:ascii="宋体" w:cs="宋体"/>
              </w:rPr>
              <w:t>3</w:t>
            </w:r>
          </w:p>
        </w:tc>
        <w:tc>
          <w:tcPr>
            <w:tcW w:w="1576" w:type="pct"/>
            <w:noWrap w:val="0"/>
            <w:tcMar>
              <w:top w:w="10" w:type="dxa"/>
              <w:left w:w="10" w:type="dxa"/>
              <w:bottom w:w="0" w:type="dxa"/>
              <w:right w:w="10" w:type="dxa"/>
            </w:tcMar>
            <w:vAlign w:val="center"/>
          </w:tcPr>
          <w:p w14:paraId="11E34E2A">
            <w:pPr>
              <w:tabs>
                <w:tab w:val="left" w:pos="2604"/>
              </w:tabs>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1867" w:type="pct"/>
            <w:noWrap w:val="0"/>
            <w:tcMar>
              <w:top w:w="10" w:type="dxa"/>
              <w:left w:w="10" w:type="dxa"/>
              <w:bottom w:w="0" w:type="dxa"/>
              <w:right w:w="10" w:type="dxa"/>
            </w:tcMar>
            <w:vAlign w:val="center"/>
          </w:tcPr>
          <w:p w14:paraId="79B1DD29">
            <w:pPr>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①是否将部门整体的绩效目标细化分解为具体的工作任务；</w:t>
            </w:r>
            <w:r>
              <w:rPr>
                <w:rFonts w:ascii="宋体" w:cs="宋体"/>
              </w:rPr>
              <w:br w:type="textWrapping"/>
            </w:r>
            <w:r>
              <w:rPr>
                <w:rFonts w:hint="eastAsia" w:ascii="宋体" w:hAnsi="宋体" w:cs="宋体"/>
              </w:rPr>
              <w:t>②是否通过清晰、可衡量的指标值予以体现。</w:t>
            </w:r>
            <w:r>
              <w:rPr>
                <w:rFonts w:ascii="宋体" w:hAnsi="宋体" w:cs="宋体"/>
              </w:rPr>
              <w:t xml:space="preserve">    </w:t>
            </w:r>
            <w:r>
              <w:rPr>
                <w:rFonts w:hint="eastAsia" w:ascii="宋体" w:hAnsi="宋体" w:cs="宋体"/>
              </w:rPr>
              <w:t>③是否与部门年度的任务数或计划数相对应；</w:t>
            </w:r>
            <w:r>
              <w:rPr>
                <w:rFonts w:ascii="宋体" w:cs="宋体"/>
              </w:rPr>
              <w:br w:type="textWrapping"/>
            </w:r>
            <w:r>
              <w:rPr>
                <w:rFonts w:hint="eastAsia" w:ascii="宋体" w:hAnsi="宋体" w:cs="宋体"/>
              </w:rPr>
              <w:t>④是否与本年度部门预算资金相匹配。</w:t>
            </w:r>
          </w:p>
        </w:tc>
      </w:tr>
      <w:tr w14:paraId="38CC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307" w:type="pct"/>
            <w:vMerge w:val="continue"/>
            <w:noWrap w:val="0"/>
            <w:vAlign w:val="center"/>
          </w:tcPr>
          <w:p w14:paraId="6E824339">
            <w:pPr>
              <w:rPr>
                <w:rFonts w:ascii="宋体" w:cs="宋体"/>
              </w:rPr>
            </w:pPr>
          </w:p>
        </w:tc>
        <w:tc>
          <w:tcPr>
            <w:tcW w:w="375" w:type="pct"/>
            <w:vMerge w:val="restart"/>
            <w:noWrap w:val="0"/>
            <w:tcMar>
              <w:top w:w="10" w:type="dxa"/>
              <w:left w:w="10" w:type="dxa"/>
              <w:bottom w:w="0" w:type="dxa"/>
              <w:right w:w="10" w:type="dxa"/>
            </w:tcMar>
            <w:vAlign w:val="center"/>
          </w:tcPr>
          <w:p w14:paraId="5D3164B1">
            <w:pPr>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配置（</w:t>
            </w:r>
            <w:r>
              <w:rPr>
                <w:rFonts w:ascii="宋体" w:hAnsi="宋体" w:cs="宋体"/>
              </w:rPr>
              <w:t>15</w:t>
            </w:r>
            <w:r>
              <w:rPr>
                <w:rFonts w:hint="eastAsia" w:ascii="宋体" w:hAnsi="宋体" w:cs="宋体"/>
              </w:rPr>
              <w:t>分）</w:t>
            </w:r>
          </w:p>
        </w:tc>
        <w:tc>
          <w:tcPr>
            <w:tcW w:w="500" w:type="pct"/>
            <w:noWrap w:val="0"/>
            <w:tcMar>
              <w:top w:w="10" w:type="dxa"/>
              <w:left w:w="10" w:type="dxa"/>
              <w:bottom w:w="0" w:type="dxa"/>
              <w:right w:w="10" w:type="dxa"/>
            </w:tcMar>
            <w:vAlign w:val="center"/>
          </w:tcPr>
          <w:p w14:paraId="6D031463">
            <w:pPr>
              <w:jc w:val="center"/>
              <w:rPr>
                <w:rFonts w:ascii="宋体" w:cs="宋体"/>
              </w:rPr>
            </w:pPr>
            <w:r>
              <w:rPr>
                <w:rFonts w:hint="eastAsia" w:ascii="宋体" w:hAnsi="宋体" w:cs="宋体"/>
              </w:rPr>
              <w:t>在职人员</w:t>
            </w:r>
          </w:p>
          <w:p w14:paraId="624C2EB4">
            <w:pPr>
              <w:jc w:val="center"/>
              <w:rPr>
                <w:rFonts w:ascii="宋体" w:cs="宋体"/>
              </w:rPr>
            </w:pPr>
            <w:r>
              <w:rPr>
                <w:rFonts w:hint="eastAsia" w:ascii="宋体" w:hAnsi="宋体" w:cs="宋体"/>
              </w:rPr>
              <w:t>控制率（</w:t>
            </w:r>
            <w:r>
              <w:rPr>
                <w:rFonts w:ascii="宋体" w:hAnsi="宋体" w:cs="宋体"/>
              </w:rPr>
              <w:t>5</w:t>
            </w:r>
            <w:r>
              <w:rPr>
                <w:rFonts w:hint="eastAsia" w:ascii="宋体" w:hAnsi="宋体" w:cs="宋体"/>
              </w:rPr>
              <w:t>分）</w:t>
            </w:r>
          </w:p>
        </w:tc>
        <w:tc>
          <w:tcPr>
            <w:tcW w:w="375" w:type="pct"/>
            <w:noWrap w:val="0"/>
            <w:vAlign w:val="top"/>
          </w:tcPr>
          <w:p w14:paraId="4E70278F">
            <w:pPr>
              <w:tabs>
                <w:tab w:val="left" w:pos="2604"/>
              </w:tabs>
              <w:ind w:left="105" w:leftChars="50" w:right="105" w:rightChars="50" w:firstLine="96" w:firstLineChars="46"/>
              <w:rPr>
                <w:rFonts w:ascii="宋体" w:cs="宋体"/>
              </w:rPr>
            </w:pPr>
            <w:r>
              <w:rPr>
                <w:rFonts w:hint="eastAsia" w:ascii="宋体" w:cs="宋体"/>
              </w:rPr>
              <w:t>5</w:t>
            </w:r>
          </w:p>
        </w:tc>
        <w:tc>
          <w:tcPr>
            <w:tcW w:w="1576" w:type="pct"/>
            <w:noWrap w:val="0"/>
            <w:tcMar>
              <w:top w:w="10" w:type="dxa"/>
              <w:left w:w="10" w:type="dxa"/>
              <w:bottom w:w="0" w:type="dxa"/>
              <w:right w:w="10" w:type="dxa"/>
            </w:tcMar>
            <w:vAlign w:val="center"/>
          </w:tcPr>
          <w:p w14:paraId="0BFA19E8">
            <w:pPr>
              <w:tabs>
                <w:tab w:val="left" w:pos="2604"/>
              </w:tabs>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1867" w:type="pct"/>
            <w:noWrap w:val="0"/>
            <w:tcMar>
              <w:top w:w="10" w:type="dxa"/>
              <w:left w:w="10" w:type="dxa"/>
              <w:bottom w:w="0" w:type="dxa"/>
              <w:right w:w="10" w:type="dxa"/>
            </w:tcMar>
            <w:vAlign w:val="center"/>
          </w:tcPr>
          <w:p w14:paraId="3FAAFD0A">
            <w:pPr>
              <w:ind w:left="105" w:leftChars="50" w:right="105" w:rightChars="50"/>
              <w:rPr>
                <w:rFonts w:ascii="宋体" w:cs="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在职人员数：部门实际在职人数，以财政部确定的部门决算编制口径为准。</w:t>
            </w:r>
            <w:r>
              <w:rPr>
                <w:rFonts w:ascii="宋体" w:cs="宋体"/>
              </w:rPr>
              <w:br w:type="textWrapping"/>
            </w:r>
            <w:r>
              <w:rPr>
                <w:rFonts w:hint="eastAsia" w:ascii="宋体" w:hAnsi="宋体" w:cs="宋体"/>
              </w:rPr>
              <w:t>编制数：机构编制部门核定批复的部门的人员编制数。</w:t>
            </w:r>
          </w:p>
        </w:tc>
      </w:tr>
      <w:tr w14:paraId="2BCB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7" w:type="pct"/>
            <w:vMerge w:val="continue"/>
            <w:noWrap w:val="0"/>
            <w:vAlign w:val="center"/>
          </w:tcPr>
          <w:p w14:paraId="332F54BF">
            <w:pPr>
              <w:rPr>
                <w:rFonts w:ascii="宋体" w:cs="宋体"/>
              </w:rPr>
            </w:pPr>
          </w:p>
        </w:tc>
        <w:tc>
          <w:tcPr>
            <w:tcW w:w="375" w:type="pct"/>
            <w:vMerge w:val="continue"/>
            <w:noWrap w:val="0"/>
            <w:vAlign w:val="center"/>
          </w:tcPr>
          <w:p w14:paraId="6223D262">
            <w:pPr>
              <w:rPr>
                <w:rFonts w:ascii="宋体" w:cs="宋体"/>
              </w:rPr>
            </w:pPr>
          </w:p>
        </w:tc>
        <w:tc>
          <w:tcPr>
            <w:tcW w:w="500" w:type="pct"/>
            <w:noWrap w:val="0"/>
            <w:tcMar>
              <w:top w:w="10" w:type="dxa"/>
              <w:left w:w="10" w:type="dxa"/>
              <w:bottom w:w="0" w:type="dxa"/>
              <w:right w:w="10" w:type="dxa"/>
            </w:tcMar>
            <w:vAlign w:val="center"/>
          </w:tcPr>
          <w:p w14:paraId="738889CD">
            <w:pPr>
              <w:jc w:val="center"/>
              <w:rPr>
                <w:rFonts w:ascii="宋体" w:cs="宋体"/>
              </w:rPr>
            </w:pPr>
            <w:r>
              <w:rPr>
                <w:rFonts w:hint="eastAsia" w:ascii="宋体" w:hAnsi="宋体" w:cs="宋体"/>
              </w:rPr>
              <w:t>“三公经费”</w:t>
            </w:r>
          </w:p>
          <w:p w14:paraId="0ED7C3C6">
            <w:pPr>
              <w:jc w:val="center"/>
              <w:rPr>
                <w:rFonts w:ascii="宋体" w:cs="宋体"/>
              </w:rPr>
            </w:pPr>
            <w:r>
              <w:rPr>
                <w:rFonts w:hint="eastAsia" w:ascii="宋体" w:hAnsi="宋体" w:cs="宋体"/>
              </w:rPr>
              <w:t>变动率（</w:t>
            </w:r>
            <w:r>
              <w:rPr>
                <w:rFonts w:ascii="宋体" w:hAnsi="宋体" w:cs="宋体"/>
              </w:rPr>
              <w:t>5</w:t>
            </w:r>
            <w:r>
              <w:rPr>
                <w:rFonts w:hint="eastAsia" w:ascii="宋体" w:hAnsi="宋体" w:cs="宋体"/>
              </w:rPr>
              <w:t>分）</w:t>
            </w:r>
          </w:p>
        </w:tc>
        <w:tc>
          <w:tcPr>
            <w:tcW w:w="375" w:type="pct"/>
            <w:noWrap w:val="0"/>
            <w:vAlign w:val="top"/>
          </w:tcPr>
          <w:p w14:paraId="3269A258">
            <w:pPr>
              <w:tabs>
                <w:tab w:val="left" w:pos="2604"/>
              </w:tabs>
              <w:ind w:left="105" w:leftChars="50" w:right="105" w:rightChars="50" w:firstLine="96" w:firstLineChars="46"/>
              <w:rPr>
                <w:rFonts w:ascii="宋体" w:cs="宋体"/>
              </w:rPr>
            </w:pPr>
            <w:r>
              <w:rPr>
                <w:rFonts w:hint="eastAsia" w:ascii="宋体" w:cs="宋体"/>
              </w:rPr>
              <w:t>5</w:t>
            </w:r>
          </w:p>
        </w:tc>
        <w:tc>
          <w:tcPr>
            <w:tcW w:w="1576" w:type="pct"/>
            <w:noWrap w:val="0"/>
            <w:tcMar>
              <w:top w:w="10" w:type="dxa"/>
              <w:left w:w="10" w:type="dxa"/>
              <w:bottom w:w="0" w:type="dxa"/>
              <w:right w:w="10" w:type="dxa"/>
            </w:tcMar>
            <w:vAlign w:val="center"/>
          </w:tcPr>
          <w:p w14:paraId="005530EF">
            <w:pPr>
              <w:tabs>
                <w:tab w:val="left" w:pos="2604"/>
              </w:tabs>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1867" w:type="pct"/>
            <w:noWrap w:val="0"/>
            <w:tcMar>
              <w:top w:w="10" w:type="dxa"/>
              <w:left w:w="10" w:type="dxa"/>
              <w:bottom w:w="0" w:type="dxa"/>
              <w:right w:w="10" w:type="dxa"/>
            </w:tcMar>
            <w:vAlign w:val="center"/>
          </w:tcPr>
          <w:p w14:paraId="3A9EFB3B">
            <w:pPr>
              <w:ind w:left="105" w:leftChars="50" w:right="105" w:rightChars="50"/>
              <w:rPr>
                <w:rFonts w:ascii="宋体" w:cs="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“三公经费”：年度预算安排的因公出国（境）费、公务车辆购置及运行费和公务招待费。</w:t>
            </w:r>
          </w:p>
        </w:tc>
      </w:tr>
      <w:tr w14:paraId="27E3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307" w:type="pct"/>
            <w:vMerge w:val="continue"/>
            <w:noWrap w:val="0"/>
            <w:vAlign w:val="center"/>
          </w:tcPr>
          <w:p w14:paraId="6D492138">
            <w:pPr>
              <w:rPr>
                <w:rFonts w:ascii="宋体" w:cs="宋体"/>
              </w:rPr>
            </w:pPr>
          </w:p>
        </w:tc>
        <w:tc>
          <w:tcPr>
            <w:tcW w:w="375" w:type="pct"/>
            <w:vMerge w:val="continue"/>
            <w:noWrap w:val="0"/>
            <w:vAlign w:val="center"/>
          </w:tcPr>
          <w:p w14:paraId="6E76202D">
            <w:pPr>
              <w:rPr>
                <w:rFonts w:ascii="宋体" w:cs="宋体"/>
              </w:rPr>
            </w:pPr>
          </w:p>
        </w:tc>
        <w:tc>
          <w:tcPr>
            <w:tcW w:w="500" w:type="pct"/>
            <w:noWrap w:val="0"/>
            <w:tcMar>
              <w:top w:w="10" w:type="dxa"/>
              <w:left w:w="10" w:type="dxa"/>
              <w:bottom w:w="0" w:type="dxa"/>
              <w:right w:w="10" w:type="dxa"/>
            </w:tcMar>
            <w:vAlign w:val="center"/>
          </w:tcPr>
          <w:p w14:paraId="5E44B9AD">
            <w:pPr>
              <w:jc w:val="center"/>
              <w:rPr>
                <w:rFonts w:ascii="宋体" w:cs="宋体"/>
              </w:rPr>
            </w:pPr>
            <w:r>
              <w:rPr>
                <w:rFonts w:hint="eastAsia" w:ascii="宋体" w:hAnsi="宋体" w:cs="宋体"/>
              </w:rPr>
              <w:t>重点支出</w:t>
            </w:r>
          </w:p>
          <w:p w14:paraId="15DFCBE8">
            <w:pPr>
              <w:jc w:val="center"/>
              <w:rPr>
                <w:rFonts w:ascii="宋体" w:cs="宋体"/>
              </w:rPr>
            </w:pPr>
            <w:r>
              <w:rPr>
                <w:rFonts w:hint="eastAsia" w:ascii="宋体" w:hAnsi="宋体" w:cs="宋体"/>
              </w:rPr>
              <w:t>安排率（</w:t>
            </w:r>
            <w:r>
              <w:rPr>
                <w:rFonts w:ascii="宋体" w:hAnsi="宋体" w:cs="宋体"/>
              </w:rPr>
              <w:t>5</w:t>
            </w:r>
            <w:r>
              <w:rPr>
                <w:rFonts w:hint="eastAsia" w:ascii="宋体" w:hAnsi="宋体" w:cs="宋体"/>
              </w:rPr>
              <w:t>分）</w:t>
            </w:r>
          </w:p>
        </w:tc>
        <w:tc>
          <w:tcPr>
            <w:tcW w:w="375" w:type="pct"/>
            <w:noWrap w:val="0"/>
            <w:vAlign w:val="top"/>
          </w:tcPr>
          <w:p w14:paraId="2072CA4E">
            <w:pPr>
              <w:tabs>
                <w:tab w:val="left" w:pos="2604"/>
              </w:tabs>
              <w:ind w:left="105" w:leftChars="50" w:right="105" w:rightChars="50" w:firstLine="96" w:firstLineChars="46"/>
              <w:rPr>
                <w:rFonts w:ascii="宋体" w:cs="宋体"/>
              </w:rPr>
            </w:pPr>
            <w:r>
              <w:rPr>
                <w:rFonts w:hint="eastAsia" w:ascii="宋体" w:cs="宋体"/>
              </w:rPr>
              <w:t>5</w:t>
            </w:r>
          </w:p>
        </w:tc>
        <w:tc>
          <w:tcPr>
            <w:tcW w:w="1576" w:type="pct"/>
            <w:noWrap w:val="0"/>
            <w:tcMar>
              <w:top w:w="10" w:type="dxa"/>
              <w:left w:w="10" w:type="dxa"/>
              <w:bottom w:w="0" w:type="dxa"/>
              <w:right w:w="10" w:type="dxa"/>
            </w:tcMar>
            <w:vAlign w:val="center"/>
          </w:tcPr>
          <w:p w14:paraId="4B5BE4CE">
            <w:pPr>
              <w:tabs>
                <w:tab w:val="left" w:pos="2604"/>
              </w:tabs>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1867" w:type="pct"/>
            <w:noWrap w:val="0"/>
            <w:tcMar>
              <w:top w:w="10" w:type="dxa"/>
              <w:left w:w="10" w:type="dxa"/>
              <w:bottom w:w="0" w:type="dxa"/>
              <w:right w:w="10" w:type="dxa"/>
            </w:tcMar>
            <w:vAlign w:val="center"/>
          </w:tcPr>
          <w:p w14:paraId="528BD594">
            <w:pPr>
              <w:ind w:left="105" w:leftChars="50" w:right="105" w:rightChars="50"/>
              <w:rPr>
                <w:rFonts w:ascii="宋体" w:cs="宋体"/>
              </w:rPr>
            </w:pPr>
            <w:r>
              <w:rPr>
                <w:rFonts w:hint="eastAsia" w:ascii="宋体" w:hAnsi="宋体" w:cs="宋体"/>
              </w:rPr>
              <w:t>重点支出安排率</w:t>
            </w:r>
            <w:r>
              <w:rPr>
                <w:rFonts w:ascii="宋体" w:hAnsi="宋体" w:cs="宋体"/>
              </w:rPr>
              <w:t>=</w:t>
            </w:r>
            <w:r>
              <w:rPr>
                <w:rFonts w:hint="eastAsia" w:ascii="宋体" w:hAnsi="宋体" w:cs="宋体"/>
              </w:rPr>
              <w:t>（重点预算支出</w:t>
            </w:r>
            <w:r>
              <w:rPr>
                <w:rFonts w:ascii="宋体" w:hAnsi="宋体" w:cs="宋体"/>
              </w:rPr>
              <w:t>/</w:t>
            </w:r>
            <w:r>
              <w:rPr>
                <w:rFonts w:hint="eastAsia" w:ascii="宋体" w:hAnsi="宋体" w:cs="宋体"/>
              </w:rPr>
              <w:t>预算总支出）×</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重点预算支出：部门年度预算安排的，与本部门履职和发展密切相关、具有明显社会和经济影响、党委政府关心或社会比较关注的预算支出支出总额。</w:t>
            </w:r>
            <w:r>
              <w:rPr>
                <w:rFonts w:ascii="宋体" w:cs="宋体"/>
              </w:rPr>
              <w:br w:type="textWrapping"/>
            </w:r>
            <w:r>
              <w:rPr>
                <w:rFonts w:hint="eastAsia" w:ascii="宋体" w:hAnsi="宋体" w:cs="宋体"/>
              </w:rPr>
              <w:t>预算总支出：部门年度预算安排的预算支出支出总额。</w:t>
            </w:r>
          </w:p>
        </w:tc>
      </w:tr>
      <w:tr w14:paraId="76AC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7" w:type="pct"/>
            <w:vMerge w:val="restart"/>
            <w:noWrap/>
            <w:tcMar>
              <w:top w:w="10" w:type="dxa"/>
              <w:left w:w="10" w:type="dxa"/>
              <w:bottom w:w="0" w:type="dxa"/>
              <w:right w:w="10" w:type="dxa"/>
            </w:tcMar>
            <w:textDirection w:val="tbRlV"/>
            <w:vAlign w:val="center"/>
          </w:tcPr>
          <w:p w14:paraId="12EF2BC6">
            <w:pPr>
              <w:jc w:val="center"/>
              <w:rPr>
                <w:rFonts w:ascii="宋体" w:cs="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14:paraId="1E34B784">
            <w:pPr>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执行（</w:t>
            </w:r>
            <w:r>
              <w:rPr>
                <w:rFonts w:ascii="宋体" w:hAnsi="宋体" w:cs="宋体"/>
              </w:rPr>
              <w:t>20</w:t>
            </w:r>
            <w:r>
              <w:rPr>
                <w:rFonts w:hint="eastAsia" w:ascii="宋体" w:hAnsi="宋体" w:cs="宋体"/>
              </w:rPr>
              <w:t>分）</w:t>
            </w:r>
          </w:p>
        </w:tc>
        <w:tc>
          <w:tcPr>
            <w:tcW w:w="500" w:type="pct"/>
            <w:noWrap w:val="0"/>
            <w:tcMar>
              <w:top w:w="10" w:type="dxa"/>
              <w:left w:w="10" w:type="dxa"/>
              <w:bottom w:w="0" w:type="dxa"/>
              <w:right w:w="10" w:type="dxa"/>
            </w:tcMar>
            <w:vAlign w:val="center"/>
          </w:tcPr>
          <w:p w14:paraId="77D397BA">
            <w:pPr>
              <w:jc w:val="center"/>
              <w:rPr>
                <w:rFonts w:ascii="宋体" w:cs="宋体"/>
              </w:rPr>
            </w:pPr>
            <w:r>
              <w:rPr>
                <w:rFonts w:hint="eastAsia" w:ascii="宋体" w:hAnsi="宋体" w:cs="宋体"/>
              </w:rPr>
              <w:t>预算</w:t>
            </w:r>
          </w:p>
          <w:p w14:paraId="07204C27">
            <w:pPr>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noWrap w:val="0"/>
            <w:vAlign w:val="top"/>
          </w:tcPr>
          <w:p w14:paraId="42B71C25">
            <w:pPr>
              <w:tabs>
                <w:tab w:val="left" w:pos="2604"/>
              </w:tabs>
              <w:ind w:left="105" w:leftChars="50" w:right="105" w:rightChars="50" w:firstLine="96" w:firstLineChars="46"/>
              <w:rPr>
                <w:rFonts w:ascii="宋体" w:cs="宋体"/>
              </w:rPr>
            </w:pPr>
            <w:r>
              <w:rPr>
                <w:rFonts w:hint="eastAsia" w:ascii="宋体" w:cs="宋体"/>
              </w:rPr>
              <w:t>4</w:t>
            </w:r>
          </w:p>
        </w:tc>
        <w:tc>
          <w:tcPr>
            <w:tcW w:w="1576" w:type="pct"/>
            <w:noWrap w:val="0"/>
            <w:tcMar>
              <w:top w:w="10" w:type="dxa"/>
              <w:left w:w="10" w:type="dxa"/>
              <w:bottom w:w="0" w:type="dxa"/>
              <w:right w:w="10" w:type="dxa"/>
            </w:tcMar>
            <w:vAlign w:val="center"/>
          </w:tcPr>
          <w:p w14:paraId="395DD7B5">
            <w:pPr>
              <w:tabs>
                <w:tab w:val="left" w:pos="2604"/>
              </w:tabs>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1867" w:type="pct"/>
            <w:noWrap w:val="0"/>
            <w:tcMar>
              <w:top w:w="10" w:type="dxa"/>
              <w:left w:w="10" w:type="dxa"/>
              <w:bottom w:w="0" w:type="dxa"/>
              <w:right w:w="10" w:type="dxa"/>
            </w:tcMar>
            <w:vAlign w:val="center"/>
          </w:tcPr>
          <w:p w14:paraId="13679CDF">
            <w:pPr>
              <w:ind w:left="105" w:leftChars="50" w:right="105" w:rightChars="50"/>
              <w:rPr>
                <w:rFonts w:ascii="宋体" w:cs="宋体"/>
              </w:rPr>
            </w:pPr>
            <w:r>
              <w:rPr>
                <w:rFonts w:hint="eastAsia" w:ascii="宋体" w:hAnsi="宋体" w:cs="宋体"/>
              </w:rPr>
              <w:t>预算执行率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预算执行数：部门本年度实际完成的预算数。</w:t>
            </w:r>
            <w:r>
              <w:rPr>
                <w:rFonts w:ascii="宋体" w:cs="宋体"/>
              </w:rPr>
              <w:br w:type="textWrapping"/>
            </w:r>
            <w:r>
              <w:rPr>
                <w:rFonts w:hint="eastAsia" w:ascii="宋体" w:hAnsi="宋体" w:cs="宋体"/>
              </w:rPr>
              <w:t>预算数：财政部门批复的本年度部门预算数。</w:t>
            </w:r>
          </w:p>
        </w:tc>
      </w:tr>
      <w:tr w14:paraId="431C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7" w:type="pct"/>
            <w:vMerge w:val="continue"/>
            <w:noWrap w:val="0"/>
            <w:vAlign w:val="center"/>
          </w:tcPr>
          <w:p w14:paraId="182512F4">
            <w:pPr>
              <w:jc w:val="center"/>
              <w:rPr>
                <w:rFonts w:ascii="宋体" w:cs="宋体"/>
              </w:rPr>
            </w:pPr>
          </w:p>
        </w:tc>
        <w:tc>
          <w:tcPr>
            <w:tcW w:w="375" w:type="pct"/>
            <w:vMerge w:val="continue"/>
            <w:noWrap w:val="0"/>
            <w:vAlign w:val="center"/>
          </w:tcPr>
          <w:p w14:paraId="612092A9">
            <w:pPr>
              <w:jc w:val="center"/>
              <w:rPr>
                <w:rFonts w:ascii="宋体" w:cs="宋体"/>
              </w:rPr>
            </w:pPr>
          </w:p>
        </w:tc>
        <w:tc>
          <w:tcPr>
            <w:tcW w:w="500" w:type="pct"/>
            <w:noWrap w:val="0"/>
            <w:tcMar>
              <w:top w:w="10" w:type="dxa"/>
              <w:left w:w="10" w:type="dxa"/>
              <w:bottom w:w="0" w:type="dxa"/>
              <w:right w:w="10" w:type="dxa"/>
            </w:tcMar>
            <w:vAlign w:val="center"/>
          </w:tcPr>
          <w:p w14:paraId="2E19C394">
            <w:pPr>
              <w:jc w:val="center"/>
              <w:rPr>
                <w:rFonts w:ascii="宋体" w:cs="宋体"/>
              </w:rPr>
            </w:pPr>
            <w:r>
              <w:rPr>
                <w:rFonts w:hint="eastAsia" w:ascii="宋体" w:hAnsi="宋体" w:cs="宋体"/>
              </w:rPr>
              <w:t>预算</w:t>
            </w:r>
          </w:p>
          <w:p w14:paraId="5BD61B14">
            <w:pPr>
              <w:jc w:val="center"/>
              <w:rPr>
                <w:rFonts w:ascii="宋体" w:cs="宋体"/>
              </w:rPr>
            </w:pPr>
            <w:r>
              <w:rPr>
                <w:rFonts w:hint="eastAsia" w:ascii="宋体" w:hAnsi="宋体" w:cs="宋体"/>
              </w:rPr>
              <w:t>调整率（</w:t>
            </w:r>
            <w:r>
              <w:rPr>
                <w:rFonts w:ascii="宋体" w:hAnsi="宋体" w:cs="宋体"/>
              </w:rPr>
              <w:t>2</w:t>
            </w:r>
            <w:r>
              <w:rPr>
                <w:rFonts w:hint="eastAsia" w:ascii="宋体" w:hAnsi="宋体" w:cs="宋体"/>
              </w:rPr>
              <w:t>分）</w:t>
            </w:r>
          </w:p>
        </w:tc>
        <w:tc>
          <w:tcPr>
            <w:tcW w:w="375" w:type="pct"/>
            <w:noWrap w:val="0"/>
            <w:vAlign w:val="top"/>
          </w:tcPr>
          <w:p w14:paraId="64C87993">
            <w:pPr>
              <w:tabs>
                <w:tab w:val="left" w:pos="2604"/>
              </w:tabs>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14:paraId="1987E675">
            <w:pPr>
              <w:tabs>
                <w:tab w:val="left" w:pos="2604"/>
              </w:tabs>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1867" w:type="pct"/>
            <w:noWrap w:val="0"/>
            <w:tcMar>
              <w:top w:w="10" w:type="dxa"/>
              <w:left w:w="10" w:type="dxa"/>
              <w:bottom w:w="0" w:type="dxa"/>
              <w:right w:w="10" w:type="dxa"/>
            </w:tcMar>
            <w:vAlign w:val="center"/>
          </w:tcPr>
          <w:p w14:paraId="209B2684">
            <w:pPr>
              <w:ind w:left="105" w:leftChars="50" w:right="105" w:rightChars="50"/>
              <w:rPr>
                <w:rFonts w:ascii="宋体" w:cs="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14:paraId="4D64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307" w:type="pct"/>
            <w:vMerge w:val="continue"/>
            <w:noWrap w:val="0"/>
            <w:vAlign w:val="center"/>
          </w:tcPr>
          <w:p w14:paraId="441922E6">
            <w:pPr>
              <w:jc w:val="center"/>
              <w:rPr>
                <w:rFonts w:ascii="宋体" w:cs="宋体"/>
              </w:rPr>
            </w:pPr>
          </w:p>
        </w:tc>
        <w:tc>
          <w:tcPr>
            <w:tcW w:w="375" w:type="pct"/>
            <w:vMerge w:val="continue"/>
            <w:noWrap w:val="0"/>
            <w:vAlign w:val="center"/>
          </w:tcPr>
          <w:p w14:paraId="1750E617">
            <w:pPr>
              <w:jc w:val="center"/>
              <w:rPr>
                <w:rFonts w:ascii="宋体" w:cs="宋体"/>
              </w:rPr>
            </w:pPr>
          </w:p>
        </w:tc>
        <w:tc>
          <w:tcPr>
            <w:tcW w:w="500" w:type="pct"/>
            <w:noWrap w:val="0"/>
            <w:tcMar>
              <w:top w:w="10" w:type="dxa"/>
              <w:left w:w="10" w:type="dxa"/>
              <w:bottom w:w="0" w:type="dxa"/>
              <w:right w:w="10" w:type="dxa"/>
            </w:tcMar>
            <w:vAlign w:val="center"/>
          </w:tcPr>
          <w:p w14:paraId="120C4835">
            <w:pPr>
              <w:jc w:val="center"/>
              <w:rPr>
                <w:rFonts w:ascii="宋体" w:cs="宋体"/>
              </w:rPr>
            </w:pPr>
            <w:r>
              <w:rPr>
                <w:rFonts w:hint="eastAsia" w:ascii="宋体" w:hAnsi="宋体" w:cs="宋体"/>
              </w:rPr>
              <w:t>支付</w:t>
            </w:r>
          </w:p>
          <w:p w14:paraId="23F57EB1">
            <w:pPr>
              <w:jc w:val="center"/>
              <w:rPr>
                <w:rFonts w:ascii="宋体" w:cs="宋体"/>
              </w:rPr>
            </w:pPr>
            <w:r>
              <w:rPr>
                <w:rFonts w:hint="eastAsia" w:ascii="宋体" w:hAnsi="宋体" w:cs="宋体"/>
              </w:rPr>
              <w:t>进度率（</w:t>
            </w:r>
            <w:r>
              <w:rPr>
                <w:rFonts w:ascii="宋体" w:hAnsi="宋体" w:cs="宋体"/>
              </w:rPr>
              <w:t>2</w:t>
            </w:r>
            <w:r>
              <w:rPr>
                <w:rFonts w:hint="eastAsia" w:ascii="宋体" w:hAnsi="宋体" w:cs="宋体"/>
              </w:rPr>
              <w:t>分）</w:t>
            </w:r>
          </w:p>
        </w:tc>
        <w:tc>
          <w:tcPr>
            <w:tcW w:w="375" w:type="pct"/>
            <w:noWrap w:val="0"/>
            <w:vAlign w:val="top"/>
          </w:tcPr>
          <w:p w14:paraId="4C0FD8C4">
            <w:pPr>
              <w:tabs>
                <w:tab w:val="left" w:pos="2604"/>
              </w:tabs>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14:paraId="2A790EED">
            <w:pPr>
              <w:tabs>
                <w:tab w:val="left" w:pos="2604"/>
              </w:tabs>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1867" w:type="pct"/>
            <w:noWrap w:val="0"/>
            <w:tcMar>
              <w:top w:w="10" w:type="dxa"/>
              <w:left w:w="10" w:type="dxa"/>
              <w:bottom w:w="0" w:type="dxa"/>
              <w:right w:w="10" w:type="dxa"/>
            </w:tcMar>
            <w:vAlign w:val="center"/>
          </w:tcPr>
          <w:p w14:paraId="5853D152">
            <w:pPr>
              <w:ind w:left="105" w:leftChars="50" w:right="105" w:rightChars="50"/>
              <w:rPr>
                <w:rFonts w:ascii="宋体" w:cs="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实际支付进度：部门在某一时点的支出预算执行总数与年度支出预算数的比率。</w:t>
            </w:r>
            <w:r>
              <w:rPr>
                <w:rFonts w:ascii="宋体" w:cs="宋体"/>
              </w:rPr>
              <w:br w:type="textWrapping"/>
            </w: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14:paraId="615E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307" w:type="pct"/>
            <w:vMerge w:val="continue"/>
            <w:noWrap/>
            <w:tcMar>
              <w:top w:w="10" w:type="dxa"/>
              <w:left w:w="10" w:type="dxa"/>
              <w:bottom w:w="0" w:type="dxa"/>
              <w:right w:w="10" w:type="dxa"/>
            </w:tcMar>
            <w:textDirection w:val="tbRlV"/>
            <w:vAlign w:val="center"/>
          </w:tcPr>
          <w:p w14:paraId="258760A1">
            <w:pPr>
              <w:jc w:val="center"/>
              <w:rPr>
                <w:rFonts w:ascii="宋体" w:cs="宋体"/>
              </w:rPr>
            </w:pPr>
          </w:p>
        </w:tc>
        <w:tc>
          <w:tcPr>
            <w:tcW w:w="375" w:type="pct"/>
            <w:vMerge w:val="continue"/>
            <w:noWrap w:val="0"/>
            <w:tcMar>
              <w:top w:w="10" w:type="dxa"/>
              <w:left w:w="10" w:type="dxa"/>
              <w:bottom w:w="0" w:type="dxa"/>
              <w:right w:w="10" w:type="dxa"/>
            </w:tcMar>
            <w:vAlign w:val="center"/>
          </w:tcPr>
          <w:p w14:paraId="04D941B7">
            <w:pPr>
              <w:jc w:val="center"/>
              <w:rPr>
                <w:rFonts w:ascii="宋体" w:cs="宋体"/>
              </w:rPr>
            </w:pPr>
          </w:p>
        </w:tc>
        <w:tc>
          <w:tcPr>
            <w:tcW w:w="500" w:type="pct"/>
            <w:noWrap w:val="0"/>
            <w:tcMar>
              <w:top w:w="10" w:type="dxa"/>
              <w:left w:w="10" w:type="dxa"/>
              <w:bottom w:w="0" w:type="dxa"/>
              <w:right w:w="10" w:type="dxa"/>
            </w:tcMar>
            <w:vAlign w:val="center"/>
          </w:tcPr>
          <w:p w14:paraId="2B573E30">
            <w:pPr>
              <w:jc w:val="center"/>
              <w:rPr>
                <w:rFonts w:ascii="宋体" w:cs="宋体"/>
              </w:rPr>
            </w:pPr>
            <w:r>
              <w:rPr>
                <w:rFonts w:hint="eastAsia" w:ascii="宋体" w:hAnsi="宋体" w:cs="宋体"/>
              </w:rPr>
              <w:t>结转</w:t>
            </w:r>
          </w:p>
          <w:p w14:paraId="651FAE47">
            <w:pPr>
              <w:jc w:val="center"/>
              <w:rPr>
                <w:rFonts w:ascii="宋体" w:cs="宋体"/>
              </w:rPr>
            </w:pPr>
            <w:r>
              <w:rPr>
                <w:rFonts w:hint="eastAsia" w:ascii="宋体" w:hAnsi="宋体" w:cs="宋体"/>
              </w:rPr>
              <w:t>结余率（</w:t>
            </w:r>
            <w:r>
              <w:rPr>
                <w:rFonts w:ascii="宋体" w:hAnsi="宋体" w:cs="宋体"/>
              </w:rPr>
              <w:t>2</w:t>
            </w:r>
            <w:r>
              <w:rPr>
                <w:rFonts w:hint="eastAsia" w:ascii="宋体" w:hAnsi="宋体" w:cs="宋体"/>
              </w:rPr>
              <w:t>分）</w:t>
            </w:r>
          </w:p>
        </w:tc>
        <w:tc>
          <w:tcPr>
            <w:tcW w:w="375" w:type="pct"/>
            <w:noWrap w:val="0"/>
            <w:vAlign w:val="top"/>
          </w:tcPr>
          <w:p w14:paraId="4E37C2D8">
            <w:pPr>
              <w:tabs>
                <w:tab w:val="left" w:pos="2604"/>
              </w:tabs>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14:paraId="11314E55">
            <w:pPr>
              <w:tabs>
                <w:tab w:val="left" w:pos="2604"/>
              </w:tabs>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1867" w:type="pct"/>
            <w:noWrap w:val="0"/>
            <w:tcMar>
              <w:top w:w="10" w:type="dxa"/>
              <w:left w:w="10" w:type="dxa"/>
              <w:bottom w:w="0" w:type="dxa"/>
              <w:right w:w="10" w:type="dxa"/>
            </w:tcMar>
            <w:vAlign w:val="center"/>
          </w:tcPr>
          <w:p w14:paraId="556D44AB">
            <w:pPr>
              <w:ind w:left="105" w:leftChars="50" w:right="105" w:rightChars="50"/>
              <w:rPr>
                <w:rFonts w:ascii="宋体" w:cs="宋体"/>
              </w:rPr>
            </w:pPr>
            <w:r>
              <w:rPr>
                <w:rFonts w:hint="eastAsia" w:ascii="宋体" w:hAnsi="宋体" w:cs="宋体"/>
              </w:rPr>
              <w:t>结转结余率</w:t>
            </w:r>
            <w:r>
              <w:rPr>
                <w:rFonts w:ascii="宋体" w:hAnsi="宋体" w:cs="宋体"/>
              </w:rPr>
              <w:t>=</w:t>
            </w:r>
            <w:r>
              <w:rPr>
                <w:rFonts w:hint="eastAsia" w:ascii="宋体" w:hAnsi="宋体" w:cs="宋体"/>
              </w:rPr>
              <w:t>结转结余总额</w:t>
            </w:r>
            <w:r>
              <w:rPr>
                <w:rFonts w:ascii="宋体" w:hAnsi="宋体" w:cs="宋体"/>
              </w:rPr>
              <w:t>/</w:t>
            </w:r>
            <w:r>
              <w:rPr>
                <w:rFonts w:hint="eastAsia" w:ascii="宋体" w:hAnsi="宋体" w:cs="宋体"/>
              </w:rPr>
              <w:t>支出预算数×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结转结余总额：部门本年度的结转资金与结余资金之和（以决算数为准）。</w:t>
            </w:r>
          </w:p>
        </w:tc>
      </w:tr>
      <w:tr w14:paraId="1CEA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307" w:type="pct"/>
            <w:vMerge w:val="continue"/>
            <w:noWrap w:val="0"/>
            <w:vAlign w:val="center"/>
          </w:tcPr>
          <w:p w14:paraId="7B05A39E">
            <w:pPr>
              <w:jc w:val="center"/>
              <w:rPr>
                <w:rFonts w:ascii="宋体" w:cs="宋体"/>
              </w:rPr>
            </w:pPr>
          </w:p>
        </w:tc>
        <w:tc>
          <w:tcPr>
            <w:tcW w:w="375" w:type="pct"/>
            <w:vMerge w:val="continue"/>
            <w:noWrap w:val="0"/>
            <w:vAlign w:val="center"/>
          </w:tcPr>
          <w:p w14:paraId="2CC57D5E">
            <w:pPr>
              <w:rPr>
                <w:rFonts w:ascii="宋体" w:cs="宋体"/>
              </w:rPr>
            </w:pPr>
          </w:p>
        </w:tc>
        <w:tc>
          <w:tcPr>
            <w:tcW w:w="500" w:type="pct"/>
            <w:noWrap w:val="0"/>
            <w:tcMar>
              <w:top w:w="10" w:type="dxa"/>
              <w:left w:w="10" w:type="dxa"/>
              <w:bottom w:w="0" w:type="dxa"/>
              <w:right w:w="10" w:type="dxa"/>
            </w:tcMar>
            <w:vAlign w:val="center"/>
          </w:tcPr>
          <w:p w14:paraId="6ECA75C6">
            <w:pPr>
              <w:jc w:val="center"/>
              <w:rPr>
                <w:rFonts w:ascii="宋体" w:cs="宋体"/>
              </w:rPr>
            </w:pPr>
            <w:r>
              <w:rPr>
                <w:rFonts w:hint="eastAsia" w:ascii="宋体" w:hAnsi="宋体" w:cs="宋体"/>
              </w:rPr>
              <w:t>结转结余</w:t>
            </w:r>
          </w:p>
          <w:p w14:paraId="529E0E99">
            <w:pPr>
              <w:jc w:val="center"/>
              <w:rPr>
                <w:rFonts w:ascii="宋体" w:cs="宋体"/>
              </w:rPr>
            </w:pPr>
            <w:r>
              <w:rPr>
                <w:rFonts w:hint="eastAsia" w:ascii="宋体" w:hAnsi="宋体" w:cs="宋体"/>
              </w:rPr>
              <w:t>变动率（</w:t>
            </w:r>
            <w:r>
              <w:rPr>
                <w:rFonts w:ascii="宋体" w:hAnsi="宋体" w:cs="宋体"/>
              </w:rPr>
              <w:t>2</w:t>
            </w:r>
            <w:r>
              <w:rPr>
                <w:rFonts w:hint="eastAsia" w:ascii="宋体" w:hAnsi="宋体" w:cs="宋体"/>
              </w:rPr>
              <w:t>分）</w:t>
            </w:r>
          </w:p>
        </w:tc>
        <w:tc>
          <w:tcPr>
            <w:tcW w:w="375" w:type="pct"/>
            <w:noWrap w:val="0"/>
            <w:vAlign w:val="top"/>
          </w:tcPr>
          <w:p w14:paraId="7323758E">
            <w:pPr>
              <w:tabs>
                <w:tab w:val="left" w:pos="2604"/>
              </w:tabs>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14:paraId="5546B027">
            <w:pPr>
              <w:tabs>
                <w:tab w:val="left" w:pos="2604"/>
              </w:tabs>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1867" w:type="pct"/>
            <w:noWrap w:val="0"/>
            <w:tcMar>
              <w:top w:w="10" w:type="dxa"/>
              <w:left w:w="10" w:type="dxa"/>
              <w:bottom w:w="0" w:type="dxa"/>
              <w:right w:w="10" w:type="dxa"/>
            </w:tcMar>
            <w:vAlign w:val="center"/>
          </w:tcPr>
          <w:p w14:paraId="01114052">
            <w:pPr>
              <w:ind w:left="105" w:leftChars="50" w:right="105" w:rightChars="50"/>
              <w:rPr>
                <w:rFonts w:ascii="宋体" w:cs="宋体"/>
              </w:rPr>
            </w:pPr>
            <w:r>
              <w:rPr>
                <w:rFonts w:hint="eastAsia" w:ascii="宋体" w:hAnsi="宋体" w:cs="宋体"/>
              </w:rPr>
              <w:t>结转结余变动率</w:t>
            </w:r>
            <w:r>
              <w:rPr>
                <w:rFonts w:ascii="宋体" w:hAnsi="宋体" w:cs="宋体"/>
              </w:rPr>
              <w:t>=[</w:t>
            </w:r>
            <w:r>
              <w:rPr>
                <w:rFonts w:hint="eastAsia" w:ascii="宋体" w:hAnsi="宋体" w:cs="宋体"/>
              </w:rPr>
              <w:t>（本年度累计结转结余资金总额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tc>
      </w:tr>
      <w:tr w14:paraId="573D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07" w:type="pct"/>
            <w:vMerge w:val="continue"/>
            <w:noWrap w:val="0"/>
            <w:vAlign w:val="center"/>
          </w:tcPr>
          <w:p w14:paraId="363A0F17">
            <w:pPr>
              <w:jc w:val="center"/>
              <w:rPr>
                <w:rFonts w:ascii="宋体" w:cs="宋体"/>
              </w:rPr>
            </w:pPr>
          </w:p>
        </w:tc>
        <w:tc>
          <w:tcPr>
            <w:tcW w:w="375" w:type="pct"/>
            <w:vMerge w:val="continue"/>
            <w:noWrap w:val="0"/>
            <w:vAlign w:val="center"/>
          </w:tcPr>
          <w:p w14:paraId="55486904">
            <w:pPr>
              <w:rPr>
                <w:rFonts w:ascii="宋体" w:cs="宋体"/>
              </w:rPr>
            </w:pPr>
          </w:p>
        </w:tc>
        <w:tc>
          <w:tcPr>
            <w:tcW w:w="500" w:type="pct"/>
            <w:noWrap w:val="0"/>
            <w:tcMar>
              <w:top w:w="10" w:type="dxa"/>
              <w:left w:w="10" w:type="dxa"/>
              <w:bottom w:w="0" w:type="dxa"/>
              <w:right w:w="10" w:type="dxa"/>
            </w:tcMar>
            <w:vAlign w:val="center"/>
          </w:tcPr>
          <w:p w14:paraId="242E95AD">
            <w:pPr>
              <w:jc w:val="center"/>
              <w:rPr>
                <w:rFonts w:ascii="宋体" w:cs="宋体"/>
              </w:rPr>
            </w:pPr>
            <w:r>
              <w:rPr>
                <w:rFonts w:hint="eastAsia" w:ascii="宋体" w:hAnsi="宋体" w:cs="宋体"/>
              </w:rPr>
              <w:t>公用经费</w:t>
            </w:r>
          </w:p>
          <w:p w14:paraId="517BB253">
            <w:pPr>
              <w:jc w:val="center"/>
              <w:rPr>
                <w:rFonts w:ascii="宋体" w:cs="宋体"/>
              </w:rPr>
            </w:pPr>
            <w:r>
              <w:rPr>
                <w:rFonts w:hint="eastAsia" w:ascii="宋体" w:hAnsi="宋体" w:cs="宋体"/>
              </w:rPr>
              <w:t>控制率（</w:t>
            </w:r>
            <w:r>
              <w:rPr>
                <w:rFonts w:ascii="宋体" w:hAnsi="宋体" w:cs="宋体"/>
              </w:rPr>
              <w:t>2</w:t>
            </w:r>
            <w:r>
              <w:rPr>
                <w:rFonts w:hint="eastAsia" w:ascii="宋体" w:hAnsi="宋体" w:cs="宋体"/>
              </w:rPr>
              <w:t>分）</w:t>
            </w:r>
          </w:p>
        </w:tc>
        <w:tc>
          <w:tcPr>
            <w:tcW w:w="375" w:type="pct"/>
            <w:noWrap w:val="0"/>
            <w:vAlign w:val="top"/>
          </w:tcPr>
          <w:p w14:paraId="0AA898EA">
            <w:pPr>
              <w:tabs>
                <w:tab w:val="left" w:pos="2604"/>
              </w:tabs>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14:paraId="2A6553D9">
            <w:pPr>
              <w:tabs>
                <w:tab w:val="left" w:pos="2604"/>
              </w:tabs>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1867" w:type="pct"/>
            <w:noWrap w:val="0"/>
            <w:tcMar>
              <w:top w:w="10" w:type="dxa"/>
              <w:left w:w="10" w:type="dxa"/>
              <w:bottom w:w="0" w:type="dxa"/>
              <w:right w:w="10" w:type="dxa"/>
            </w:tcMar>
            <w:vAlign w:val="center"/>
          </w:tcPr>
          <w:p w14:paraId="03DEB8A7">
            <w:pPr>
              <w:ind w:left="105" w:leftChars="50" w:right="105" w:rightChars="50"/>
              <w:rPr>
                <w:rFonts w:ascii="宋体" w:cs="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w:t>
            </w:r>
          </w:p>
        </w:tc>
      </w:tr>
      <w:tr w14:paraId="08A5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7" w:type="pct"/>
            <w:vMerge w:val="continue"/>
            <w:noWrap w:val="0"/>
            <w:vAlign w:val="center"/>
          </w:tcPr>
          <w:p w14:paraId="00351147">
            <w:pPr>
              <w:jc w:val="center"/>
              <w:rPr>
                <w:rFonts w:ascii="宋体" w:cs="宋体"/>
              </w:rPr>
            </w:pPr>
          </w:p>
        </w:tc>
        <w:tc>
          <w:tcPr>
            <w:tcW w:w="375" w:type="pct"/>
            <w:vMerge w:val="continue"/>
            <w:noWrap w:val="0"/>
            <w:vAlign w:val="center"/>
          </w:tcPr>
          <w:p w14:paraId="6C6869CA">
            <w:pPr>
              <w:jc w:val="center"/>
              <w:rPr>
                <w:rFonts w:ascii="宋体" w:cs="宋体"/>
              </w:rPr>
            </w:pPr>
          </w:p>
        </w:tc>
        <w:tc>
          <w:tcPr>
            <w:tcW w:w="500" w:type="pct"/>
            <w:noWrap w:val="0"/>
            <w:tcMar>
              <w:top w:w="10" w:type="dxa"/>
              <w:left w:w="10" w:type="dxa"/>
              <w:bottom w:w="0" w:type="dxa"/>
              <w:right w:w="10" w:type="dxa"/>
            </w:tcMar>
            <w:vAlign w:val="center"/>
          </w:tcPr>
          <w:p w14:paraId="7D5EF02D">
            <w:pPr>
              <w:jc w:val="center"/>
              <w:rPr>
                <w:rFonts w:ascii="宋体" w:cs="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375" w:type="pct"/>
            <w:noWrap w:val="0"/>
            <w:vAlign w:val="top"/>
          </w:tcPr>
          <w:p w14:paraId="20CA76EA">
            <w:pPr>
              <w:tabs>
                <w:tab w:val="left" w:pos="2604"/>
              </w:tabs>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14:paraId="673C9649">
            <w:pPr>
              <w:tabs>
                <w:tab w:val="left" w:pos="2604"/>
              </w:tabs>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1867" w:type="pct"/>
            <w:noWrap w:val="0"/>
            <w:tcMar>
              <w:top w:w="10" w:type="dxa"/>
              <w:left w:w="10" w:type="dxa"/>
              <w:bottom w:w="0" w:type="dxa"/>
              <w:right w:w="10" w:type="dxa"/>
            </w:tcMar>
            <w:vAlign w:val="center"/>
          </w:tcPr>
          <w:p w14:paraId="31FF6A46">
            <w:pPr>
              <w:ind w:left="105" w:leftChars="50" w:right="105" w:rightChars="50"/>
              <w:rPr>
                <w:rFonts w:ascii="宋体" w:cs="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w:t>
            </w:r>
          </w:p>
        </w:tc>
      </w:tr>
      <w:tr w14:paraId="1F88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307" w:type="pct"/>
            <w:vMerge w:val="continue"/>
            <w:noWrap w:val="0"/>
            <w:vAlign w:val="center"/>
          </w:tcPr>
          <w:p w14:paraId="2A2455BA">
            <w:pPr>
              <w:jc w:val="center"/>
              <w:rPr>
                <w:rFonts w:ascii="宋体" w:cs="宋体"/>
              </w:rPr>
            </w:pPr>
          </w:p>
        </w:tc>
        <w:tc>
          <w:tcPr>
            <w:tcW w:w="375" w:type="pct"/>
            <w:vMerge w:val="continue"/>
            <w:noWrap w:val="0"/>
            <w:vAlign w:val="center"/>
          </w:tcPr>
          <w:p w14:paraId="156D8572">
            <w:pPr>
              <w:rPr>
                <w:rFonts w:ascii="宋体" w:cs="宋体"/>
              </w:rPr>
            </w:pPr>
          </w:p>
        </w:tc>
        <w:tc>
          <w:tcPr>
            <w:tcW w:w="500" w:type="pct"/>
            <w:noWrap w:val="0"/>
            <w:tcMar>
              <w:top w:w="10" w:type="dxa"/>
              <w:left w:w="10" w:type="dxa"/>
              <w:bottom w:w="0" w:type="dxa"/>
              <w:right w:w="10" w:type="dxa"/>
            </w:tcMar>
            <w:vAlign w:val="center"/>
          </w:tcPr>
          <w:p w14:paraId="5A7B6A56">
            <w:pPr>
              <w:jc w:val="center"/>
              <w:rPr>
                <w:rFonts w:ascii="宋体" w:cs="宋体"/>
              </w:rPr>
            </w:pPr>
            <w:r>
              <w:rPr>
                <w:rFonts w:hint="eastAsia" w:ascii="宋体" w:hAnsi="宋体" w:cs="宋体"/>
              </w:rPr>
              <w:t>政府采购</w:t>
            </w:r>
          </w:p>
          <w:p w14:paraId="64A29AFA">
            <w:pPr>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noWrap w:val="0"/>
            <w:vAlign w:val="top"/>
          </w:tcPr>
          <w:p w14:paraId="4AE617A7">
            <w:pPr>
              <w:tabs>
                <w:tab w:val="left" w:pos="2604"/>
              </w:tabs>
              <w:ind w:left="105" w:leftChars="50" w:right="105" w:rightChars="50" w:firstLine="96" w:firstLineChars="46"/>
              <w:rPr>
                <w:rFonts w:ascii="宋体" w:cs="宋体"/>
              </w:rPr>
            </w:pPr>
            <w:r>
              <w:rPr>
                <w:rFonts w:hint="eastAsia" w:ascii="宋体" w:cs="宋体"/>
              </w:rPr>
              <w:t>4</w:t>
            </w:r>
          </w:p>
        </w:tc>
        <w:tc>
          <w:tcPr>
            <w:tcW w:w="1576" w:type="pct"/>
            <w:noWrap w:val="0"/>
            <w:tcMar>
              <w:top w:w="10" w:type="dxa"/>
              <w:left w:w="10" w:type="dxa"/>
              <w:bottom w:w="0" w:type="dxa"/>
              <w:right w:w="10" w:type="dxa"/>
            </w:tcMar>
            <w:vAlign w:val="center"/>
          </w:tcPr>
          <w:p w14:paraId="6EAC6357">
            <w:pPr>
              <w:tabs>
                <w:tab w:val="left" w:pos="2604"/>
              </w:tabs>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1867" w:type="pct"/>
            <w:noWrap w:val="0"/>
            <w:tcMar>
              <w:top w:w="10" w:type="dxa"/>
              <w:left w:w="10" w:type="dxa"/>
              <w:bottom w:w="0" w:type="dxa"/>
              <w:right w:w="10" w:type="dxa"/>
            </w:tcMar>
            <w:vAlign w:val="center"/>
          </w:tcPr>
          <w:p w14:paraId="5671A892">
            <w:pPr>
              <w:ind w:left="105" w:leftChars="50" w:right="105" w:rightChars="50"/>
              <w:rPr>
                <w:rFonts w:ascii="宋体" w:hAnsi="宋体" w:cs="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政府采购预算：采购机关根据事业发展计划和行政任务编制的、并经过规定程序批准的年度政府采购计划。</w:t>
            </w:r>
            <w:r>
              <w:rPr>
                <w:rFonts w:ascii="宋体" w:hAnsi="宋体" w:cs="宋体"/>
              </w:rPr>
              <w:t xml:space="preserve"> </w:t>
            </w:r>
          </w:p>
        </w:tc>
      </w:tr>
      <w:tr w14:paraId="0699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307" w:type="pct"/>
            <w:vMerge w:val="restart"/>
            <w:noWrap w:val="0"/>
            <w:vAlign w:val="center"/>
          </w:tcPr>
          <w:p w14:paraId="452B63DB">
            <w:pPr>
              <w:jc w:val="center"/>
              <w:rPr>
                <w:rFonts w:ascii="宋体" w:cs="宋体"/>
              </w:rPr>
            </w:pPr>
            <w:r>
              <w:rPr>
                <w:rFonts w:hint="eastAsia" w:ascii="宋体" w:hAnsi="宋体" w:cs="宋体"/>
              </w:rPr>
              <w:t>过</w:t>
            </w:r>
          </w:p>
          <w:p w14:paraId="3EE9753B">
            <w:pPr>
              <w:jc w:val="center"/>
              <w:rPr>
                <w:rFonts w:ascii="宋体" w:cs="宋体"/>
              </w:rPr>
            </w:pP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14:paraId="7B8DB7A2">
            <w:pPr>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p w14:paraId="250B320C">
            <w:pPr>
              <w:jc w:val="center"/>
              <w:rPr>
                <w:rFonts w:ascii="宋体" w:cs="宋体"/>
              </w:rPr>
            </w:pPr>
            <w:r>
              <w:rPr>
                <w:rFonts w:hint="eastAsia" w:ascii="宋体" w:hAnsi="宋体" w:cs="宋体"/>
              </w:rPr>
              <w:t>）</w:t>
            </w:r>
          </w:p>
        </w:tc>
        <w:tc>
          <w:tcPr>
            <w:tcW w:w="500" w:type="pct"/>
            <w:noWrap w:val="0"/>
            <w:tcMar>
              <w:top w:w="10" w:type="dxa"/>
              <w:left w:w="10" w:type="dxa"/>
              <w:bottom w:w="0" w:type="dxa"/>
              <w:right w:w="10" w:type="dxa"/>
            </w:tcMar>
            <w:vAlign w:val="center"/>
          </w:tcPr>
          <w:p w14:paraId="076EA696">
            <w:pPr>
              <w:jc w:val="center"/>
              <w:rPr>
                <w:rFonts w:ascii="宋体" w:cs="宋体"/>
              </w:rPr>
            </w:pPr>
            <w:r>
              <w:rPr>
                <w:rFonts w:hint="eastAsia" w:ascii="宋体" w:hAnsi="宋体" w:cs="宋体"/>
              </w:rPr>
              <w:t>管理制度</w:t>
            </w:r>
          </w:p>
          <w:p w14:paraId="1DFB8328">
            <w:pPr>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noWrap w:val="0"/>
            <w:vAlign w:val="top"/>
          </w:tcPr>
          <w:p w14:paraId="0BFD03FD">
            <w:pPr>
              <w:tabs>
                <w:tab w:val="left" w:pos="2604"/>
              </w:tabs>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14:paraId="790A71C6">
            <w:pPr>
              <w:tabs>
                <w:tab w:val="left" w:pos="2604"/>
              </w:tabs>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1867" w:type="pct"/>
            <w:noWrap w:val="0"/>
            <w:tcMar>
              <w:top w:w="10" w:type="dxa"/>
              <w:left w:w="10" w:type="dxa"/>
              <w:bottom w:w="0" w:type="dxa"/>
              <w:right w:w="10" w:type="dxa"/>
            </w:tcMar>
            <w:vAlign w:val="center"/>
          </w:tcPr>
          <w:p w14:paraId="7CA80221">
            <w:pPr>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①是否已制定或具有预算资金管理办法、内部财务管理制度、会计核算制度等管理制度；</w:t>
            </w:r>
            <w:r>
              <w:rPr>
                <w:rFonts w:ascii="宋体" w:cs="宋体"/>
              </w:rPr>
              <w:br w:type="textWrapping"/>
            </w:r>
            <w:r>
              <w:rPr>
                <w:rFonts w:hint="eastAsia" w:ascii="宋体" w:hAnsi="宋体" w:cs="宋体"/>
              </w:rPr>
              <w:t>②相关管理制度是否合法、合规、完整；</w:t>
            </w:r>
            <w:r>
              <w:rPr>
                <w:rFonts w:ascii="宋体" w:cs="宋体"/>
              </w:rPr>
              <w:br w:type="textWrapping"/>
            </w:r>
            <w:r>
              <w:rPr>
                <w:rFonts w:hint="eastAsia" w:ascii="宋体" w:hAnsi="宋体" w:cs="宋体"/>
              </w:rPr>
              <w:t>③相关管理制度是否得到有效执行。</w:t>
            </w:r>
          </w:p>
        </w:tc>
      </w:tr>
      <w:tr w14:paraId="7D4C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7" w:type="pct"/>
            <w:vMerge w:val="continue"/>
            <w:noWrap w:val="0"/>
            <w:vAlign w:val="center"/>
          </w:tcPr>
          <w:p w14:paraId="055A4976">
            <w:pPr>
              <w:jc w:val="center"/>
              <w:rPr>
                <w:rFonts w:ascii="宋体" w:cs="宋体"/>
              </w:rPr>
            </w:pPr>
          </w:p>
        </w:tc>
        <w:tc>
          <w:tcPr>
            <w:tcW w:w="375" w:type="pct"/>
            <w:vMerge w:val="continue"/>
            <w:noWrap w:val="0"/>
            <w:vAlign w:val="center"/>
          </w:tcPr>
          <w:p w14:paraId="6BB9B14A">
            <w:pPr>
              <w:jc w:val="center"/>
              <w:rPr>
                <w:rFonts w:ascii="宋体" w:cs="宋体"/>
              </w:rPr>
            </w:pPr>
          </w:p>
        </w:tc>
        <w:tc>
          <w:tcPr>
            <w:tcW w:w="500" w:type="pct"/>
            <w:noWrap w:val="0"/>
            <w:tcMar>
              <w:top w:w="10" w:type="dxa"/>
              <w:left w:w="10" w:type="dxa"/>
              <w:bottom w:w="0" w:type="dxa"/>
              <w:right w:w="10" w:type="dxa"/>
            </w:tcMar>
            <w:vAlign w:val="center"/>
          </w:tcPr>
          <w:p w14:paraId="02E3415D">
            <w:pPr>
              <w:jc w:val="center"/>
              <w:rPr>
                <w:rFonts w:ascii="宋体" w:cs="宋体"/>
              </w:rPr>
            </w:pPr>
            <w:r>
              <w:rPr>
                <w:rFonts w:hint="eastAsia" w:ascii="宋体" w:hAnsi="宋体" w:cs="宋体"/>
              </w:rPr>
              <w:t>资金使用</w:t>
            </w:r>
          </w:p>
          <w:p w14:paraId="4D59389C">
            <w:pPr>
              <w:jc w:val="center"/>
              <w:rPr>
                <w:rFonts w:ascii="宋体" w:cs="宋体"/>
              </w:rPr>
            </w:pPr>
            <w:r>
              <w:rPr>
                <w:rFonts w:hint="eastAsia" w:ascii="宋体" w:hAnsi="宋体" w:cs="宋体"/>
              </w:rPr>
              <w:t>合规性（</w:t>
            </w:r>
            <w:r>
              <w:rPr>
                <w:rFonts w:ascii="宋体" w:hAnsi="宋体" w:cs="宋体"/>
              </w:rPr>
              <w:t>1</w:t>
            </w:r>
            <w:r>
              <w:rPr>
                <w:rFonts w:hint="eastAsia" w:ascii="宋体" w:hAnsi="宋体" w:cs="宋体"/>
              </w:rPr>
              <w:t>分）</w:t>
            </w:r>
          </w:p>
        </w:tc>
        <w:tc>
          <w:tcPr>
            <w:tcW w:w="375" w:type="pct"/>
            <w:noWrap w:val="0"/>
            <w:vAlign w:val="top"/>
          </w:tcPr>
          <w:p w14:paraId="2BE95053">
            <w:pPr>
              <w:tabs>
                <w:tab w:val="left" w:pos="2604"/>
              </w:tabs>
              <w:ind w:left="105" w:leftChars="50" w:right="105" w:rightChars="50" w:firstLine="96" w:firstLineChars="46"/>
              <w:rPr>
                <w:rFonts w:ascii="宋体" w:cs="宋体"/>
              </w:rPr>
            </w:pPr>
            <w:r>
              <w:rPr>
                <w:rFonts w:hint="eastAsia" w:ascii="宋体" w:cs="宋体"/>
              </w:rPr>
              <w:t>1</w:t>
            </w:r>
          </w:p>
        </w:tc>
        <w:tc>
          <w:tcPr>
            <w:tcW w:w="1576" w:type="pct"/>
            <w:noWrap w:val="0"/>
            <w:tcMar>
              <w:top w:w="10" w:type="dxa"/>
              <w:left w:w="10" w:type="dxa"/>
              <w:bottom w:w="0" w:type="dxa"/>
              <w:right w:w="10" w:type="dxa"/>
            </w:tcMar>
            <w:vAlign w:val="center"/>
          </w:tcPr>
          <w:p w14:paraId="5BCA59DC">
            <w:pPr>
              <w:tabs>
                <w:tab w:val="left" w:pos="2604"/>
              </w:tabs>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1867" w:type="pct"/>
            <w:noWrap w:val="0"/>
            <w:tcMar>
              <w:top w:w="10" w:type="dxa"/>
              <w:left w:w="10" w:type="dxa"/>
              <w:bottom w:w="0" w:type="dxa"/>
              <w:right w:w="10" w:type="dxa"/>
            </w:tcMar>
            <w:vAlign w:val="center"/>
          </w:tcPr>
          <w:p w14:paraId="1BCD444C">
            <w:pPr>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①是否符合国家财经法规和财务管理制度规定以及有关预算支出管理办法的规定；</w:t>
            </w:r>
            <w:r>
              <w:rPr>
                <w:rFonts w:ascii="宋体" w:cs="宋体"/>
              </w:rPr>
              <w:br w:type="textWrapping"/>
            </w:r>
            <w:r>
              <w:rPr>
                <w:rFonts w:hint="eastAsia" w:ascii="宋体" w:hAnsi="宋体" w:cs="宋体"/>
              </w:rPr>
              <w:t>②资金的拨付是否有完整的审批程序和手续；</w:t>
            </w:r>
            <w:r>
              <w:rPr>
                <w:rFonts w:ascii="宋体" w:cs="宋体"/>
              </w:rPr>
              <w:br w:type="textWrapping"/>
            </w:r>
            <w:r>
              <w:rPr>
                <w:rFonts w:hint="eastAsia" w:ascii="宋体" w:hAnsi="宋体" w:cs="宋体"/>
              </w:rPr>
              <w:t>③预算支出的重大开支是否经过评估论证；</w:t>
            </w:r>
            <w:r>
              <w:rPr>
                <w:rFonts w:ascii="宋体" w:cs="宋体"/>
              </w:rPr>
              <w:br w:type="textWrapping"/>
            </w:r>
            <w:r>
              <w:rPr>
                <w:rFonts w:hint="eastAsia" w:ascii="宋体" w:hAnsi="宋体" w:cs="宋体"/>
              </w:rPr>
              <w:t>④是否符合部门预算批复的用途；</w:t>
            </w:r>
            <w:r>
              <w:rPr>
                <w:rFonts w:ascii="宋体" w:cs="宋体"/>
              </w:rPr>
              <w:br w:type="textWrapping"/>
            </w:r>
            <w:r>
              <w:rPr>
                <w:rFonts w:hint="eastAsia" w:ascii="宋体" w:hAnsi="宋体" w:cs="宋体"/>
              </w:rPr>
              <w:t>⑤是否存在截留、挤占、挪用、虚列支出等情况。</w:t>
            </w:r>
          </w:p>
        </w:tc>
      </w:tr>
      <w:tr w14:paraId="3820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07" w:type="pct"/>
            <w:vMerge w:val="continue"/>
            <w:noWrap w:val="0"/>
            <w:vAlign w:val="center"/>
          </w:tcPr>
          <w:p w14:paraId="21C25B8D">
            <w:pPr>
              <w:jc w:val="center"/>
              <w:rPr>
                <w:rFonts w:ascii="宋体" w:cs="宋体"/>
              </w:rPr>
            </w:pPr>
          </w:p>
        </w:tc>
        <w:tc>
          <w:tcPr>
            <w:tcW w:w="375" w:type="pct"/>
            <w:vMerge w:val="continue"/>
            <w:noWrap w:val="0"/>
            <w:vAlign w:val="center"/>
          </w:tcPr>
          <w:p w14:paraId="305D4A3C">
            <w:pPr>
              <w:rPr>
                <w:rFonts w:ascii="宋体" w:cs="宋体"/>
              </w:rPr>
            </w:pPr>
          </w:p>
        </w:tc>
        <w:tc>
          <w:tcPr>
            <w:tcW w:w="500" w:type="pct"/>
            <w:noWrap w:val="0"/>
            <w:tcMar>
              <w:top w:w="10" w:type="dxa"/>
              <w:left w:w="10" w:type="dxa"/>
              <w:bottom w:w="0" w:type="dxa"/>
              <w:right w:w="10" w:type="dxa"/>
            </w:tcMar>
            <w:vAlign w:val="center"/>
          </w:tcPr>
          <w:p w14:paraId="79924174">
            <w:pPr>
              <w:jc w:val="center"/>
              <w:rPr>
                <w:rFonts w:ascii="宋体" w:cs="宋体"/>
              </w:rPr>
            </w:pPr>
            <w:r>
              <w:rPr>
                <w:rFonts w:hint="eastAsia" w:ascii="宋体" w:hAnsi="宋体" w:cs="宋体"/>
              </w:rPr>
              <w:t>预决算信</w:t>
            </w:r>
          </w:p>
          <w:p w14:paraId="786CD9D7">
            <w:pPr>
              <w:jc w:val="center"/>
              <w:rPr>
                <w:rFonts w:ascii="宋体" w:cs="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375" w:type="pct"/>
            <w:noWrap w:val="0"/>
            <w:vAlign w:val="top"/>
          </w:tcPr>
          <w:p w14:paraId="1EFB8763">
            <w:pPr>
              <w:tabs>
                <w:tab w:val="left" w:pos="2604"/>
              </w:tabs>
              <w:ind w:left="105" w:leftChars="50" w:right="105" w:rightChars="50" w:firstLine="96" w:firstLineChars="46"/>
              <w:rPr>
                <w:rFonts w:ascii="宋体" w:cs="宋体"/>
              </w:rPr>
            </w:pPr>
            <w:r>
              <w:rPr>
                <w:rFonts w:hint="eastAsia" w:ascii="宋体" w:cs="宋体"/>
              </w:rPr>
              <w:t>1</w:t>
            </w:r>
          </w:p>
        </w:tc>
        <w:tc>
          <w:tcPr>
            <w:tcW w:w="1576" w:type="pct"/>
            <w:noWrap w:val="0"/>
            <w:tcMar>
              <w:top w:w="10" w:type="dxa"/>
              <w:left w:w="10" w:type="dxa"/>
              <w:bottom w:w="0" w:type="dxa"/>
              <w:right w:w="10" w:type="dxa"/>
            </w:tcMar>
            <w:vAlign w:val="center"/>
          </w:tcPr>
          <w:p w14:paraId="607EBA8F">
            <w:pPr>
              <w:tabs>
                <w:tab w:val="left" w:pos="2604"/>
              </w:tabs>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1867" w:type="pct"/>
            <w:noWrap w:val="0"/>
            <w:tcMar>
              <w:top w:w="10" w:type="dxa"/>
              <w:left w:w="10" w:type="dxa"/>
              <w:bottom w:w="0" w:type="dxa"/>
              <w:right w:w="10" w:type="dxa"/>
            </w:tcMar>
            <w:vAlign w:val="center"/>
          </w:tcPr>
          <w:p w14:paraId="168158E0">
            <w:pPr>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①是否按规定内容公开预决算信息；</w:t>
            </w:r>
            <w:r>
              <w:rPr>
                <w:rFonts w:ascii="宋体" w:cs="宋体"/>
              </w:rPr>
              <w:br w:type="textWrapping"/>
            </w:r>
            <w:r>
              <w:rPr>
                <w:rFonts w:hint="eastAsia" w:ascii="宋体" w:hAnsi="宋体" w:cs="宋体"/>
              </w:rPr>
              <w:t>②是否按规定时限公开预决算信息。</w:t>
            </w:r>
            <w:r>
              <w:rPr>
                <w:rFonts w:ascii="宋体" w:cs="宋体"/>
              </w:rPr>
              <w:br w:type="textWrapping"/>
            </w:r>
            <w:r>
              <w:rPr>
                <w:rFonts w:hint="eastAsia" w:ascii="宋体" w:hAnsi="宋体" w:cs="宋体"/>
              </w:rPr>
              <w:t>预决算信息是指与部门预算、执行、决算、监督、绩效等管理相关的信息。</w:t>
            </w:r>
          </w:p>
        </w:tc>
      </w:tr>
      <w:tr w14:paraId="294A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307" w:type="pct"/>
            <w:vMerge w:val="continue"/>
            <w:noWrap w:val="0"/>
            <w:vAlign w:val="center"/>
          </w:tcPr>
          <w:p w14:paraId="577AE5F3">
            <w:pPr>
              <w:jc w:val="center"/>
              <w:rPr>
                <w:rFonts w:ascii="宋体" w:cs="宋体"/>
              </w:rPr>
            </w:pPr>
          </w:p>
        </w:tc>
        <w:tc>
          <w:tcPr>
            <w:tcW w:w="375" w:type="pct"/>
            <w:vMerge w:val="continue"/>
            <w:noWrap w:val="0"/>
            <w:vAlign w:val="center"/>
          </w:tcPr>
          <w:p w14:paraId="77BFAD76">
            <w:pPr>
              <w:jc w:val="center"/>
              <w:rPr>
                <w:rFonts w:ascii="宋体" w:cs="宋体"/>
              </w:rPr>
            </w:pPr>
          </w:p>
        </w:tc>
        <w:tc>
          <w:tcPr>
            <w:tcW w:w="500" w:type="pct"/>
            <w:noWrap w:val="0"/>
            <w:tcMar>
              <w:top w:w="10" w:type="dxa"/>
              <w:left w:w="10" w:type="dxa"/>
              <w:bottom w:w="0" w:type="dxa"/>
              <w:right w:w="10" w:type="dxa"/>
            </w:tcMar>
            <w:vAlign w:val="center"/>
          </w:tcPr>
          <w:p w14:paraId="02882D5C">
            <w:pPr>
              <w:jc w:val="center"/>
              <w:rPr>
                <w:rFonts w:ascii="宋体" w:cs="宋体"/>
              </w:rPr>
            </w:pPr>
            <w:r>
              <w:rPr>
                <w:rFonts w:hint="eastAsia" w:ascii="宋体" w:hAnsi="宋体" w:cs="宋体"/>
              </w:rPr>
              <w:t>基础信息</w:t>
            </w:r>
          </w:p>
          <w:p w14:paraId="5F87C24D">
            <w:pPr>
              <w:jc w:val="center"/>
              <w:rPr>
                <w:rFonts w:ascii="宋体" w:cs="宋体"/>
              </w:rPr>
            </w:pPr>
            <w:r>
              <w:rPr>
                <w:rFonts w:hint="eastAsia" w:ascii="宋体" w:hAnsi="宋体" w:cs="宋体"/>
              </w:rPr>
              <w:t>完善性（</w:t>
            </w:r>
            <w:r>
              <w:rPr>
                <w:rFonts w:ascii="宋体" w:hAnsi="宋体" w:cs="宋体"/>
              </w:rPr>
              <w:t>1</w:t>
            </w:r>
            <w:r>
              <w:rPr>
                <w:rFonts w:hint="eastAsia" w:ascii="宋体" w:hAnsi="宋体" w:cs="宋体"/>
              </w:rPr>
              <w:t>分）</w:t>
            </w:r>
          </w:p>
        </w:tc>
        <w:tc>
          <w:tcPr>
            <w:tcW w:w="375" w:type="pct"/>
            <w:noWrap w:val="0"/>
            <w:vAlign w:val="top"/>
          </w:tcPr>
          <w:p w14:paraId="3D645D7C">
            <w:pPr>
              <w:tabs>
                <w:tab w:val="left" w:pos="2604"/>
              </w:tabs>
              <w:ind w:left="105" w:leftChars="50" w:right="105" w:rightChars="50" w:firstLine="96" w:firstLineChars="46"/>
              <w:rPr>
                <w:rFonts w:ascii="宋体" w:cs="宋体"/>
              </w:rPr>
            </w:pPr>
            <w:r>
              <w:rPr>
                <w:rFonts w:hint="eastAsia" w:ascii="宋体" w:cs="宋体"/>
              </w:rPr>
              <w:t>1</w:t>
            </w:r>
          </w:p>
        </w:tc>
        <w:tc>
          <w:tcPr>
            <w:tcW w:w="1576" w:type="pct"/>
            <w:noWrap w:val="0"/>
            <w:tcMar>
              <w:top w:w="10" w:type="dxa"/>
              <w:left w:w="10" w:type="dxa"/>
              <w:bottom w:w="0" w:type="dxa"/>
              <w:right w:w="10" w:type="dxa"/>
            </w:tcMar>
            <w:vAlign w:val="center"/>
          </w:tcPr>
          <w:p w14:paraId="65B87E3B">
            <w:pPr>
              <w:tabs>
                <w:tab w:val="left" w:pos="2604"/>
              </w:tabs>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1867" w:type="pct"/>
            <w:noWrap w:val="0"/>
            <w:tcMar>
              <w:top w:w="10" w:type="dxa"/>
              <w:left w:w="10" w:type="dxa"/>
              <w:bottom w:w="0" w:type="dxa"/>
              <w:right w:w="10" w:type="dxa"/>
            </w:tcMar>
            <w:vAlign w:val="center"/>
          </w:tcPr>
          <w:p w14:paraId="68321D72">
            <w:pPr>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①基础数据信息和会计信息资料是否真实；</w:t>
            </w:r>
            <w:r>
              <w:rPr>
                <w:rFonts w:ascii="宋体" w:cs="宋体"/>
              </w:rPr>
              <w:br w:type="textWrapping"/>
            </w:r>
            <w:r>
              <w:rPr>
                <w:rFonts w:hint="eastAsia" w:ascii="宋体" w:hAnsi="宋体" w:cs="宋体"/>
              </w:rPr>
              <w:t>②基础数据信息和会计信息资料是否完整；</w:t>
            </w:r>
            <w:r>
              <w:rPr>
                <w:rFonts w:ascii="宋体" w:cs="宋体"/>
              </w:rPr>
              <w:br w:type="textWrapping"/>
            </w:r>
            <w:r>
              <w:rPr>
                <w:rFonts w:hint="eastAsia" w:ascii="宋体" w:hAnsi="宋体" w:cs="宋体"/>
              </w:rPr>
              <w:t>③基础数据信息和会计信息资料是否准确。</w:t>
            </w:r>
          </w:p>
        </w:tc>
      </w:tr>
      <w:tr w14:paraId="686E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307" w:type="pct"/>
            <w:vMerge w:val="continue"/>
            <w:noWrap/>
            <w:tcMar>
              <w:top w:w="10" w:type="dxa"/>
              <w:left w:w="10" w:type="dxa"/>
              <w:bottom w:w="0" w:type="dxa"/>
              <w:right w:w="10" w:type="dxa"/>
            </w:tcMar>
            <w:textDirection w:val="tbRlV"/>
            <w:vAlign w:val="center"/>
          </w:tcPr>
          <w:p w14:paraId="4DDAC58B">
            <w:pPr>
              <w:jc w:val="center"/>
              <w:rPr>
                <w:rFonts w:ascii="宋体" w:cs="宋体"/>
              </w:rPr>
            </w:pPr>
          </w:p>
        </w:tc>
        <w:tc>
          <w:tcPr>
            <w:tcW w:w="375" w:type="pct"/>
            <w:vMerge w:val="restart"/>
            <w:noWrap w:val="0"/>
            <w:tcMar>
              <w:top w:w="10" w:type="dxa"/>
              <w:left w:w="10" w:type="dxa"/>
              <w:bottom w:w="0" w:type="dxa"/>
              <w:right w:w="10" w:type="dxa"/>
            </w:tcMar>
            <w:vAlign w:val="center"/>
          </w:tcPr>
          <w:p w14:paraId="35C9FFF5">
            <w:pPr>
              <w:jc w:val="center"/>
              <w:rPr>
                <w:rFonts w:ascii="宋体" w:cs="宋体"/>
              </w:rPr>
            </w:pPr>
            <w:r>
              <w:rPr>
                <w:rFonts w:hint="eastAsia" w:ascii="宋体" w:hAnsi="宋体" w:cs="宋体"/>
              </w:rPr>
              <w:t>资产</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tc>
        <w:tc>
          <w:tcPr>
            <w:tcW w:w="500" w:type="pct"/>
            <w:noWrap w:val="0"/>
            <w:tcMar>
              <w:top w:w="10" w:type="dxa"/>
              <w:left w:w="10" w:type="dxa"/>
              <w:bottom w:w="0" w:type="dxa"/>
              <w:right w:w="10" w:type="dxa"/>
            </w:tcMar>
            <w:vAlign w:val="center"/>
          </w:tcPr>
          <w:p w14:paraId="4F873613">
            <w:pPr>
              <w:jc w:val="center"/>
              <w:rPr>
                <w:rFonts w:ascii="宋体" w:cs="宋体"/>
              </w:rPr>
            </w:pPr>
            <w:r>
              <w:rPr>
                <w:rFonts w:hint="eastAsia" w:ascii="宋体" w:hAnsi="宋体" w:cs="宋体"/>
              </w:rPr>
              <w:t>管理制度</w:t>
            </w:r>
          </w:p>
          <w:p w14:paraId="09E61441">
            <w:pPr>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noWrap w:val="0"/>
            <w:vAlign w:val="top"/>
          </w:tcPr>
          <w:p w14:paraId="78299FF1">
            <w:pPr>
              <w:tabs>
                <w:tab w:val="left" w:pos="2604"/>
              </w:tabs>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14:paraId="0396D652">
            <w:pPr>
              <w:tabs>
                <w:tab w:val="left" w:pos="2604"/>
              </w:tabs>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1867" w:type="pct"/>
            <w:noWrap w:val="0"/>
            <w:tcMar>
              <w:top w:w="10" w:type="dxa"/>
              <w:left w:w="10" w:type="dxa"/>
              <w:bottom w:w="0" w:type="dxa"/>
              <w:right w:w="10" w:type="dxa"/>
            </w:tcMar>
            <w:vAlign w:val="center"/>
          </w:tcPr>
          <w:p w14:paraId="2C343ED9">
            <w:pPr>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①是否已制定或具有资产管理制度；</w:t>
            </w:r>
            <w:r>
              <w:rPr>
                <w:rFonts w:ascii="宋体" w:hAnsi="宋体" w:cs="宋体"/>
              </w:rPr>
              <w:t xml:space="preserve">           </w:t>
            </w:r>
            <w:r>
              <w:rPr>
                <w:rFonts w:hint="eastAsia" w:ascii="宋体" w:hAnsi="宋体" w:cs="宋体"/>
              </w:rPr>
              <w:t>②相关资金管理制度是否合法、合规、完整；</w:t>
            </w:r>
            <w:r>
              <w:rPr>
                <w:rFonts w:ascii="宋体" w:cs="宋体"/>
              </w:rPr>
              <w:br w:type="textWrapping"/>
            </w:r>
            <w:r>
              <w:rPr>
                <w:rFonts w:hint="eastAsia" w:ascii="宋体" w:hAnsi="宋体" w:cs="宋体"/>
              </w:rPr>
              <w:t>③相关资产管理制度是否得到有效执行。</w:t>
            </w:r>
          </w:p>
        </w:tc>
      </w:tr>
      <w:tr w14:paraId="44FE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7" w:type="pct"/>
            <w:vMerge w:val="continue"/>
            <w:noWrap w:val="0"/>
            <w:vAlign w:val="center"/>
          </w:tcPr>
          <w:p w14:paraId="5BEDB52B">
            <w:pPr>
              <w:jc w:val="center"/>
              <w:rPr>
                <w:rFonts w:ascii="宋体" w:cs="宋体"/>
              </w:rPr>
            </w:pPr>
          </w:p>
        </w:tc>
        <w:tc>
          <w:tcPr>
            <w:tcW w:w="375" w:type="pct"/>
            <w:vMerge w:val="continue"/>
            <w:noWrap w:val="0"/>
            <w:vAlign w:val="center"/>
          </w:tcPr>
          <w:p w14:paraId="5E877DD1">
            <w:pPr>
              <w:jc w:val="center"/>
              <w:rPr>
                <w:rFonts w:ascii="宋体" w:cs="宋体"/>
              </w:rPr>
            </w:pPr>
          </w:p>
        </w:tc>
        <w:tc>
          <w:tcPr>
            <w:tcW w:w="500" w:type="pct"/>
            <w:noWrap w:val="0"/>
            <w:tcMar>
              <w:top w:w="10" w:type="dxa"/>
              <w:left w:w="10" w:type="dxa"/>
              <w:bottom w:w="0" w:type="dxa"/>
              <w:right w:w="10" w:type="dxa"/>
            </w:tcMar>
            <w:vAlign w:val="center"/>
          </w:tcPr>
          <w:p w14:paraId="6E4FF16A">
            <w:pPr>
              <w:jc w:val="center"/>
              <w:rPr>
                <w:rFonts w:ascii="宋体" w:cs="宋体"/>
              </w:rPr>
            </w:pPr>
            <w:r>
              <w:rPr>
                <w:rFonts w:hint="eastAsia" w:ascii="宋体" w:hAnsi="宋体" w:cs="宋体"/>
              </w:rPr>
              <w:t>资产管理</w:t>
            </w:r>
          </w:p>
          <w:p w14:paraId="471DDEFB">
            <w:pPr>
              <w:jc w:val="center"/>
              <w:rPr>
                <w:rFonts w:ascii="宋体" w:cs="宋体"/>
              </w:rPr>
            </w:pPr>
            <w:r>
              <w:rPr>
                <w:rFonts w:hint="eastAsia" w:ascii="宋体" w:hAnsi="宋体" w:cs="宋体"/>
              </w:rPr>
              <w:t>安全性（</w:t>
            </w:r>
            <w:r>
              <w:rPr>
                <w:rFonts w:ascii="宋体" w:hAnsi="宋体" w:cs="宋体"/>
              </w:rPr>
              <w:t>2</w:t>
            </w:r>
            <w:r>
              <w:rPr>
                <w:rFonts w:hint="eastAsia" w:ascii="宋体" w:hAnsi="宋体" w:cs="宋体"/>
              </w:rPr>
              <w:t>分）</w:t>
            </w:r>
          </w:p>
        </w:tc>
        <w:tc>
          <w:tcPr>
            <w:tcW w:w="375" w:type="pct"/>
            <w:noWrap w:val="0"/>
            <w:vAlign w:val="top"/>
          </w:tcPr>
          <w:p w14:paraId="448E239F">
            <w:pPr>
              <w:tabs>
                <w:tab w:val="left" w:pos="761"/>
                <w:tab w:val="left" w:pos="2604"/>
              </w:tabs>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14:paraId="7E30215C">
            <w:pPr>
              <w:tabs>
                <w:tab w:val="left" w:pos="761"/>
                <w:tab w:val="left" w:pos="2604"/>
              </w:tabs>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1867" w:type="pct"/>
            <w:noWrap w:val="0"/>
            <w:tcMar>
              <w:top w:w="10" w:type="dxa"/>
              <w:left w:w="10" w:type="dxa"/>
              <w:bottom w:w="0" w:type="dxa"/>
              <w:right w:w="10" w:type="dxa"/>
            </w:tcMar>
            <w:vAlign w:val="center"/>
          </w:tcPr>
          <w:p w14:paraId="436C410F">
            <w:pPr>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①资产保存是否完整；</w:t>
            </w:r>
            <w:r>
              <w:rPr>
                <w:rFonts w:ascii="宋体" w:cs="宋体"/>
              </w:rPr>
              <w:br w:type="textWrapping"/>
            </w:r>
            <w:r>
              <w:rPr>
                <w:rFonts w:hint="eastAsia" w:ascii="宋体" w:hAnsi="宋体" w:cs="宋体"/>
              </w:rPr>
              <w:t>②资产配置是否合理；</w:t>
            </w:r>
            <w:r>
              <w:rPr>
                <w:rFonts w:ascii="宋体" w:cs="宋体"/>
              </w:rPr>
              <w:br w:type="textWrapping"/>
            </w:r>
            <w:r>
              <w:rPr>
                <w:rFonts w:hint="eastAsia" w:ascii="宋体" w:hAnsi="宋体" w:cs="宋体"/>
              </w:rPr>
              <w:t>③资产处置是否规范；</w:t>
            </w:r>
            <w:r>
              <w:rPr>
                <w:rFonts w:ascii="宋体" w:cs="宋体"/>
              </w:rPr>
              <w:br w:type="textWrapping"/>
            </w:r>
            <w:r>
              <w:rPr>
                <w:rFonts w:hint="eastAsia" w:ascii="宋体" w:hAnsi="宋体" w:cs="宋体"/>
              </w:rPr>
              <w:t>④资产账务管理是否合规，是否帐实相符；</w:t>
            </w:r>
            <w:r>
              <w:rPr>
                <w:rFonts w:ascii="宋体" w:cs="宋体"/>
              </w:rPr>
              <w:br w:type="textWrapping"/>
            </w:r>
            <w:r>
              <w:rPr>
                <w:rFonts w:hint="eastAsia" w:ascii="宋体" w:hAnsi="宋体" w:cs="宋体"/>
              </w:rPr>
              <w:t>⑤资产是否有偿使用及处置收入及时足额上缴。</w:t>
            </w:r>
          </w:p>
        </w:tc>
      </w:tr>
      <w:tr w14:paraId="5344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7" w:type="pct"/>
            <w:vMerge w:val="continue"/>
            <w:noWrap w:val="0"/>
            <w:vAlign w:val="center"/>
          </w:tcPr>
          <w:p w14:paraId="60D4235D">
            <w:pPr>
              <w:rPr>
                <w:rFonts w:ascii="宋体" w:cs="宋体"/>
              </w:rPr>
            </w:pPr>
          </w:p>
        </w:tc>
        <w:tc>
          <w:tcPr>
            <w:tcW w:w="375" w:type="pct"/>
            <w:vMerge w:val="continue"/>
            <w:noWrap w:val="0"/>
            <w:vAlign w:val="center"/>
          </w:tcPr>
          <w:p w14:paraId="13EBCF03">
            <w:pPr>
              <w:rPr>
                <w:rFonts w:ascii="宋体" w:cs="宋体"/>
              </w:rPr>
            </w:pPr>
          </w:p>
        </w:tc>
        <w:tc>
          <w:tcPr>
            <w:tcW w:w="500" w:type="pct"/>
            <w:noWrap w:val="0"/>
            <w:tcMar>
              <w:top w:w="10" w:type="dxa"/>
              <w:left w:w="10" w:type="dxa"/>
              <w:bottom w:w="0" w:type="dxa"/>
              <w:right w:w="10" w:type="dxa"/>
            </w:tcMar>
            <w:vAlign w:val="center"/>
          </w:tcPr>
          <w:p w14:paraId="57D84B6C">
            <w:pPr>
              <w:jc w:val="center"/>
              <w:rPr>
                <w:rFonts w:ascii="宋体" w:cs="宋体"/>
              </w:rPr>
            </w:pPr>
            <w:r>
              <w:rPr>
                <w:rFonts w:hint="eastAsia" w:ascii="宋体" w:hAnsi="宋体" w:cs="宋体"/>
              </w:rPr>
              <w:t>固定资产</w:t>
            </w:r>
          </w:p>
          <w:p w14:paraId="1B3BE598">
            <w:pPr>
              <w:jc w:val="center"/>
              <w:rPr>
                <w:rFonts w:ascii="宋体" w:cs="宋体"/>
              </w:rPr>
            </w:pPr>
            <w:r>
              <w:rPr>
                <w:rFonts w:hint="eastAsia" w:ascii="宋体" w:hAnsi="宋体" w:cs="宋体"/>
              </w:rPr>
              <w:t>利用率（</w:t>
            </w:r>
            <w:r>
              <w:rPr>
                <w:rFonts w:ascii="宋体" w:hAnsi="宋体" w:cs="宋体"/>
              </w:rPr>
              <w:t>1</w:t>
            </w:r>
            <w:r>
              <w:rPr>
                <w:rFonts w:hint="eastAsia" w:ascii="宋体" w:hAnsi="宋体" w:cs="宋体"/>
              </w:rPr>
              <w:t>分）</w:t>
            </w:r>
          </w:p>
        </w:tc>
        <w:tc>
          <w:tcPr>
            <w:tcW w:w="375" w:type="pct"/>
            <w:noWrap w:val="0"/>
            <w:vAlign w:val="top"/>
          </w:tcPr>
          <w:p w14:paraId="7B2C6C03">
            <w:pPr>
              <w:tabs>
                <w:tab w:val="left" w:pos="2604"/>
              </w:tabs>
              <w:ind w:left="105" w:leftChars="50" w:right="105" w:rightChars="50" w:firstLine="96" w:firstLineChars="46"/>
              <w:rPr>
                <w:rFonts w:ascii="宋体" w:cs="宋体"/>
              </w:rPr>
            </w:pPr>
            <w:r>
              <w:rPr>
                <w:rFonts w:hint="eastAsia" w:ascii="宋体" w:cs="宋体"/>
              </w:rPr>
              <w:t>1</w:t>
            </w:r>
          </w:p>
        </w:tc>
        <w:tc>
          <w:tcPr>
            <w:tcW w:w="1576" w:type="pct"/>
            <w:noWrap w:val="0"/>
            <w:tcMar>
              <w:top w:w="10" w:type="dxa"/>
              <w:left w:w="10" w:type="dxa"/>
              <w:bottom w:w="0" w:type="dxa"/>
              <w:right w:w="10" w:type="dxa"/>
            </w:tcMar>
            <w:vAlign w:val="center"/>
          </w:tcPr>
          <w:p w14:paraId="1BBF6D24">
            <w:pPr>
              <w:tabs>
                <w:tab w:val="left" w:pos="2604"/>
              </w:tabs>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1867" w:type="pct"/>
            <w:noWrap w:val="0"/>
            <w:tcMar>
              <w:top w:w="10" w:type="dxa"/>
              <w:left w:w="10" w:type="dxa"/>
              <w:bottom w:w="0" w:type="dxa"/>
              <w:right w:w="10" w:type="dxa"/>
            </w:tcMar>
            <w:vAlign w:val="center"/>
          </w:tcPr>
          <w:p w14:paraId="0E5C4B46">
            <w:pPr>
              <w:ind w:left="105" w:leftChars="50" w:right="105" w:rightChars="50"/>
              <w:rPr>
                <w:rFonts w:ascii="宋体" w:cs="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w:t>
            </w:r>
          </w:p>
        </w:tc>
      </w:tr>
      <w:tr w14:paraId="2467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7" w:type="pct"/>
            <w:vMerge w:val="restart"/>
            <w:noWrap/>
            <w:tcMar>
              <w:top w:w="10" w:type="dxa"/>
              <w:left w:w="10" w:type="dxa"/>
              <w:bottom w:w="0" w:type="dxa"/>
              <w:right w:w="10" w:type="dxa"/>
            </w:tcMar>
            <w:textDirection w:val="tbRlV"/>
            <w:vAlign w:val="center"/>
          </w:tcPr>
          <w:p w14:paraId="49604F81">
            <w:pPr>
              <w:jc w:val="center"/>
              <w:rPr>
                <w:rFonts w:ascii="宋体" w:cs="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14:paraId="61104196">
            <w:pPr>
              <w:jc w:val="center"/>
              <w:rPr>
                <w:rFonts w:ascii="宋体" w:cs="宋体"/>
              </w:rPr>
            </w:pPr>
            <w:r>
              <w:rPr>
                <w:rFonts w:hint="eastAsia" w:ascii="宋体" w:hAnsi="宋体" w:cs="宋体"/>
              </w:rPr>
              <w:t>职责</w:t>
            </w:r>
            <w:r>
              <w:rPr>
                <w:rFonts w:ascii="宋体" w:cs="宋体"/>
              </w:rPr>
              <w:br w:type="textWrapping"/>
            </w:r>
            <w:r>
              <w:rPr>
                <w:rFonts w:hint="eastAsia" w:ascii="宋体" w:hAnsi="宋体" w:cs="宋体"/>
              </w:rPr>
              <w:t>履行（</w:t>
            </w:r>
            <w:r>
              <w:rPr>
                <w:rFonts w:ascii="宋体" w:hAnsi="宋体" w:cs="宋体"/>
              </w:rPr>
              <w:t>30</w:t>
            </w:r>
            <w:r>
              <w:rPr>
                <w:rFonts w:hint="eastAsia" w:ascii="宋体" w:hAnsi="宋体" w:cs="宋体"/>
              </w:rPr>
              <w:t>分）</w:t>
            </w:r>
          </w:p>
        </w:tc>
        <w:tc>
          <w:tcPr>
            <w:tcW w:w="500" w:type="pct"/>
            <w:noWrap w:val="0"/>
            <w:tcMar>
              <w:top w:w="10" w:type="dxa"/>
              <w:left w:w="10" w:type="dxa"/>
              <w:bottom w:w="0" w:type="dxa"/>
              <w:right w:w="10" w:type="dxa"/>
            </w:tcMar>
            <w:vAlign w:val="center"/>
          </w:tcPr>
          <w:p w14:paraId="51AB0AB9">
            <w:pPr>
              <w:jc w:val="center"/>
              <w:rPr>
                <w:rFonts w:ascii="宋体" w:cs="宋体"/>
              </w:rPr>
            </w:pPr>
            <w:r>
              <w:rPr>
                <w:rFonts w:hint="eastAsia" w:ascii="宋体" w:hAnsi="宋体" w:cs="宋体"/>
              </w:rPr>
              <w:t>实际</w:t>
            </w:r>
          </w:p>
          <w:p w14:paraId="7FB55FB8">
            <w:pPr>
              <w:jc w:val="center"/>
              <w:rPr>
                <w:rFonts w:ascii="宋体" w:hAnsi="宋体" w:cs="宋体"/>
              </w:rPr>
            </w:pPr>
            <w:r>
              <w:rPr>
                <w:rFonts w:hint="eastAsia" w:ascii="宋体" w:hAnsi="宋体" w:cs="宋体"/>
              </w:rPr>
              <w:t>完成率</w:t>
            </w:r>
          </w:p>
          <w:p w14:paraId="3FE2E543">
            <w:pPr>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375" w:type="pct"/>
            <w:noWrap w:val="0"/>
            <w:vAlign w:val="top"/>
          </w:tcPr>
          <w:p w14:paraId="3D5EF6AA">
            <w:pPr>
              <w:tabs>
                <w:tab w:val="left" w:pos="2604"/>
              </w:tabs>
              <w:ind w:left="105" w:leftChars="50" w:right="105" w:rightChars="50" w:firstLine="96" w:firstLineChars="46"/>
              <w:rPr>
                <w:rFonts w:ascii="宋体" w:cs="宋体"/>
              </w:rPr>
            </w:pPr>
            <w:r>
              <w:rPr>
                <w:rFonts w:hint="eastAsia" w:ascii="宋体" w:cs="宋体"/>
              </w:rPr>
              <w:t>6</w:t>
            </w:r>
          </w:p>
        </w:tc>
        <w:tc>
          <w:tcPr>
            <w:tcW w:w="1576" w:type="pct"/>
            <w:noWrap w:val="0"/>
            <w:tcMar>
              <w:top w:w="10" w:type="dxa"/>
              <w:left w:w="10" w:type="dxa"/>
              <w:bottom w:w="0" w:type="dxa"/>
              <w:right w:w="10" w:type="dxa"/>
            </w:tcMar>
            <w:vAlign w:val="center"/>
          </w:tcPr>
          <w:p w14:paraId="59978D15">
            <w:pPr>
              <w:tabs>
                <w:tab w:val="left" w:pos="2604"/>
              </w:tabs>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1867" w:type="pct"/>
            <w:noWrap w:val="0"/>
            <w:tcMar>
              <w:top w:w="10" w:type="dxa"/>
              <w:left w:w="10" w:type="dxa"/>
              <w:bottom w:w="0" w:type="dxa"/>
              <w:right w:w="10" w:type="dxa"/>
            </w:tcMar>
            <w:vAlign w:val="center"/>
          </w:tcPr>
          <w:p w14:paraId="7BF65E76">
            <w:pPr>
              <w:ind w:left="105" w:leftChars="50" w:right="105" w:rightChars="50"/>
              <w:rPr>
                <w:rFonts w:ascii="宋体" w:cs="宋体"/>
              </w:rPr>
            </w:pPr>
            <w:r>
              <w:rPr>
                <w:rFonts w:hint="eastAsia" w:ascii="宋体" w:hAnsi="宋体" w:cs="宋体"/>
              </w:rPr>
              <w:t>实际完成率</w:t>
            </w:r>
            <w:r>
              <w:rPr>
                <w:rFonts w:ascii="宋体" w:hAnsi="宋体" w:cs="宋体"/>
              </w:rPr>
              <w:t>=</w:t>
            </w:r>
            <w:r>
              <w:rPr>
                <w:rFonts w:hint="eastAsia" w:ascii="宋体" w:hAnsi="宋体" w:cs="宋体"/>
              </w:rPr>
              <w:t>（实际完成工作数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实际完成工作数：一定时期（年度或规划期）内部门实际完成工作任务的数量。</w:t>
            </w:r>
            <w:r>
              <w:rPr>
                <w:rFonts w:ascii="宋体" w:cs="宋体"/>
              </w:rPr>
              <w:br w:type="textWrapping"/>
            </w:r>
            <w:r>
              <w:rPr>
                <w:rFonts w:hint="eastAsia" w:ascii="宋体" w:hAnsi="宋体" w:cs="宋体"/>
              </w:rPr>
              <w:t>计划工作数：部门整体绩效目标确定的一定时期（年度或规划期）内预计完成工作任务的数量。</w:t>
            </w:r>
          </w:p>
        </w:tc>
      </w:tr>
      <w:tr w14:paraId="1C24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7" w:type="pct"/>
            <w:vMerge w:val="continue"/>
            <w:noWrap w:val="0"/>
            <w:textDirection w:val="tbRlV"/>
            <w:vAlign w:val="center"/>
          </w:tcPr>
          <w:p w14:paraId="405563C9">
            <w:pPr>
              <w:ind w:left="113"/>
              <w:jc w:val="center"/>
              <w:rPr>
                <w:rFonts w:ascii="宋体" w:cs="宋体"/>
              </w:rPr>
            </w:pPr>
          </w:p>
        </w:tc>
        <w:tc>
          <w:tcPr>
            <w:tcW w:w="375" w:type="pct"/>
            <w:vMerge w:val="continue"/>
            <w:noWrap w:val="0"/>
            <w:vAlign w:val="center"/>
          </w:tcPr>
          <w:p w14:paraId="6AA52CE8">
            <w:pPr>
              <w:jc w:val="center"/>
              <w:rPr>
                <w:rFonts w:ascii="宋体" w:cs="宋体"/>
              </w:rPr>
            </w:pPr>
          </w:p>
        </w:tc>
        <w:tc>
          <w:tcPr>
            <w:tcW w:w="500" w:type="pct"/>
            <w:noWrap w:val="0"/>
            <w:tcMar>
              <w:top w:w="10" w:type="dxa"/>
              <w:left w:w="10" w:type="dxa"/>
              <w:bottom w:w="0" w:type="dxa"/>
              <w:right w:w="10" w:type="dxa"/>
            </w:tcMar>
            <w:vAlign w:val="center"/>
          </w:tcPr>
          <w:p w14:paraId="57DEEC1C">
            <w:pPr>
              <w:jc w:val="center"/>
              <w:rPr>
                <w:rFonts w:ascii="宋体" w:cs="宋体"/>
              </w:rPr>
            </w:pPr>
            <w:r>
              <w:rPr>
                <w:rFonts w:hint="eastAsia" w:ascii="宋体" w:hAnsi="宋体" w:cs="宋体"/>
              </w:rPr>
              <w:t>完成</w:t>
            </w:r>
          </w:p>
          <w:p w14:paraId="7D0D4CB8">
            <w:pPr>
              <w:jc w:val="center"/>
              <w:rPr>
                <w:rFonts w:ascii="宋体" w:hAnsi="宋体" w:cs="宋体"/>
              </w:rPr>
            </w:pPr>
            <w:r>
              <w:rPr>
                <w:rFonts w:hint="eastAsia" w:ascii="宋体" w:hAnsi="宋体" w:cs="宋体"/>
              </w:rPr>
              <w:t>及时率</w:t>
            </w:r>
          </w:p>
          <w:p w14:paraId="5F9395E2">
            <w:pPr>
              <w:jc w:val="center"/>
              <w:rPr>
                <w:rFonts w:ascii="宋体" w:cs="宋体"/>
              </w:rPr>
            </w:pPr>
            <w:r>
              <w:rPr>
                <w:rFonts w:hint="eastAsia" w:ascii="宋体" w:hAnsi="宋体" w:cs="宋体"/>
              </w:rPr>
              <w:t>（</w:t>
            </w:r>
            <w:r>
              <w:rPr>
                <w:rFonts w:ascii="宋体" w:hAnsi="宋体" w:cs="宋体"/>
              </w:rPr>
              <w:t>4</w:t>
            </w:r>
            <w:r>
              <w:rPr>
                <w:rFonts w:hint="eastAsia" w:ascii="宋体" w:hAnsi="宋体" w:cs="宋体"/>
              </w:rPr>
              <w:t>分）</w:t>
            </w:r>
          </w:p>
        </w:tc>
        <w:tc>
          <w:tcPr>
            <w:tcW w:w="375" w:type="pct"/>
            <w:noWrap w:val="0"/>
            <w:vAlign w:val="top"/>
          </w:tcPr>
          <w:p w14:paraId="2B6F7A64">
            <w:pPr>
              <w:tabs>
                <w:tab w:val="left" w:pos="2604"/>
              </w:tabs>
              <w:ind w:left="105" w:leftChars="50" w:right="105" w:rightChars="50" w:firstLine="96" w:firstLineChars="46"/>
              <w:rPr>
                <w:rFonts w:ascii="宋体" w:cs="宋体"/>
              </w:rPr>
            </w:pPr>
            <w:r>
              <w:rPr>
                <w:rFonts w:hint="eastAsia" w:ascii="宋体" w:cs="宋体"/>
              </w:rPr>
              <w:t>3</w:t>
            </w:r>
          </w:p>
        </w:tc>
        <w:tc>
          <w:tcPr>
            <w:tcW w:w="1576" w:type="pct"/>
            <w:noWrap w:val="0"/>
            <w:tcMar>
              <w:top w:w="10" w:type="dxa"/>
              <w:left w:w="10" w:type="dxa"/>
              <w:bottom w:w="0" w:type="dxa"/>
              <w:right w:w="10" w:type="dxa"/>
            </w:tcMar>
            <w:vAlign w:val="center"/>
          </w:tcPr>
          <w:p w14:paraId="181C48B9">
            <w:pPr>
              <w:tabs>
                <w:tab w:val="left" w:pos="2604"/>
              </w:tabs>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1867" w:type="pct"/>
            <w:noWrap w:val="0"/>
            <w:tcMar>
              <w:top w:w="10" w:type="dxa"/>
              <w:left w:w="10" w:type="dxa"/>
              <w:bottom w:w="0" w:type="dxa"/>
              <w:right w:w="10" w:type="dxa"/>
            </w:tcMar>
            <w:vAlign w:val="center"/>
          </w:tcPr>
          <w:p w14:paraId="26933BFF">
            <w:pPr>
              <w:ind w:left="105" w:leftChars="50" w:right="105" w:rightChars="50"/>
              <w:rPr>
                <w:rFonts w:ascii="宋体" w:cs="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及时完成实际工作数：部门按照整体绩效目标确定的时限实际完成的工作任务数量。</w:t>
            </w:r>
          </w:p>
        </w:tc>
      </w:tr>
      <w:tr w14:paraId="5FD5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7" w:type="pct"/>
            <w:vMerge w:val="continue"/>
            <w:noWrap w:val="0"/>
            <w:vAlign w:val="center"/>
          </w:tcPr>
          <w:p w14:paraId="16483AEE">
            <w:pPr>
              <w:rPr>
                <w:rFonts w:ascii="宋体" w:cs="宋体"/>
              </w:rPr>
            </w:pPr>
          </w:p>
        </w:tc>
        <w:tc>
          <w:tcPr>
            <w:tcW w:w="375" w:type="pct"/>
            <w:vMerge w:val="continue"/>
            <w:noWrap w:val="0"/>
            <w:vAlign w:val="center"/>
          </w:tcPr>
          <w:p w14:paraId="6C898546">
            <w:pPr>
              <w:rPr>
                <w:rFonts w:ascii="宋体" w:cs="宋体"/>
              </w:rPr>
            </w:pPr>
          </w:p>
        </w:tc>
        <w:tc>
          <w:tcPr>
            <w:tcW w:w="500" w:type="pct"/>
            <w:noWrap w:val="0"/>
            <w:tcMar>
              <w:top w:w="10" w:type="dxa"/>
              <w:left w:w="10" w:type="dxa"/>
              <w:bottom w:w="0" w:type="dxa"/>
              <w:right w:w="10" w:type="dxa"/>
            </w:tcMar>
            <w:vAlign w:val="center"/>
          </w:tcPr>
          <w:p w14:paraId="1D60DBF4">
            <w:pPr>
              <w:jc w:val="center"/>
              <w:rPr>
                <w:rFonts w:ascii="宋体" w:cs="宋体"/>
              </w:rPr>
            </w:pPr>
            <w:r>
              <w:rPr>
                <w:rFonts w:hint="eastAsia" w:ascii="宋体" w:hAnsi="宋体" w:cs="宋体"/>
              </w:rPr>
              <w:t>质量</w:t>
            </w:r>
          </w:p>
          <w:p w14:paraId="1654A4EF">
            <w:pPr>
              <w:jc w:val="center"/>
              <w:rPr>
                <w:rFonts w:ascii="宋体" w:hAnsi="宋体" w:cs="宋体"/>
              </w:rPr>
            </w:pPr>
            <w:r>
              <w:rPr>
                <w:rFonts w:hint="eastAsia" w:ascii="宋体" w:hAnsi="宋体" w:cs="宋体"/>
              </w:rPr>
              <w:t>达标率</w:t>
            </w:r>
          </w:p>
          <w:p w14:paraId="41EADE1E">
            <w:pPr>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375" w:type="pct"/>
            <w:noWrap w:val="0"/>
            <w:vAlign w:val="top"/>
          </w:tcPr>
          <w:p w14:paraId="65F3943B">
            <w:pPr>
              <w:tabs>
                <w:tab w:val="left" w:pos="2604"/>
              </w:tabs>
              <w:ind w:left="105" w:leftChars="50" w:right="105" w:rightChars="50" w:firstLine="96" w:firstLineChars="46"/>
              <w:rPr>
                <w:rFonts w:ascii="宋体" w:cs="宋体"/>
              </w:rPr>
            </w:pPr>
            <w:r>
              <w:rPr>
                <w:rFonts w:hint="eastAsia" w:ascii="宋体" w:cs="宋体"/>
              </w:rPr>
              <w:t>8</w:t>
            </w:r>
          </w:p>
        </w:tc>
        <w:tc>
          <w:tcPr>
            <w:tcW w:w="1576" w:type="pct"/>
            <w:noWrap w:val="0"/>
            <w:tcMar>
              <w:top w:w="10" w:type="dxa"/>
              <w:left w:w="10" w:type="dxa"/>
              <w:bottom w:w="0" w:type="dxa"/>
              <w:right w:w="10" w:type="dxa"/>
            </w:tcMar>
            <w:vAlign w:val="center"/>
          </w:tcPr>
          <w:p w14:paraId="483E0E7A">
            <w:pPr>
              <w:tabs>
                <w:tab w:val="left" w:pos="2604"/>
              </w:tabs>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1867" w:type="pct"/>
            <w:noWrap w:val="0"/>
            <w:tcMar>
              <w:top w:w="10" w:type="dxa"/>
              <w:left w:w="10" w:type="dxa"/>
              <w:bottom w:w="0" w:type="dxa"/>
              <w:right w:w="10" w:type="dxa"/>
            </w:tcMar>
            <w:vAlign w:val="center"/>
          </w:tcPr>
          <w:p w14:paraId="23AA5622">
            <w:pPr>
              <w:ind w:left="105" w:leftChars="50" w:right="105" w:rightChars="50"/>
              <w:rPr>
                <w:rFonts w:ascii="宋体" w:cs="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质量达标实际工作数：一定时期（年度或规划期）内部门实际完成工作数中达到部门绩效目标要求（绩效标准值）的工作任务数量。</w:t>
            </w:r>
          </w:p>
        </w:tc>
      </w:tr>
      <w:tr w14:paraId="26D5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7" w:type="pct"/>
            <w:vMerge w:val="continue"/>
            <w:noWrap w:val="0"/>
            <w:vAlign w:val="center"/>
          </w:tcPr>
          <w:p w14:paraId="4A39E931">
            <w:pPr>
              <w:rPr>
                <w:rFonts w:ascii="宋体" w:cs="宋体"/>
              </w:rPr>
            </w:pPr>
          </w:p>
        </w:tc>
        <w:tc>
          <w:tcPr>
            <w:tcW w:w="375" w:type="pct"/>
            <w:vMerge w:val="continue"/>
            <w:noWrap w:val="0"/>
            <w:vAlign w:val="center"/>
          </w:tcPr>
          <w:p w14:paraId="08E17D74">
            <w:pPr>
              <w:rPr>
                <w:rFonts w:ascii="宋体" w:cs="宋体"/>
              </w:rPr>
            </w:pPr>
          </w:p>
        </w:tc>
        <w:tc>
          <w:tcPr>
            <w:tcW w:w="500" w:type="pct"/>
            <w:noWrap w:val="0"/>
            <w:tcMar>
              <w:top w:w="10" w:type="dxa"/>
              <w:left w:w="10" w:type="dxa"/>
              <w:bottom w:w="0" w:type="dxa"/>
              <w:right w:w="10" w:type="dxa"/>
            </w:tcMar>
            <w:vAlign w:val="center"/>
          </w:tcPr>
          <w:p w14:paraId="472F0A3F">
            <w:pPr>
              <w:jc w:val="center"/>
              <w:rPr>
                <w:rFonts w:ascii="宋体" w:cs="宋体"/>
              </w:rPr>
            </w:pPr>
            <w:r>
              <w:rPr>
                <w:rFonts w:hint="eastAsia" w:ascii="宋体" w:hAnsi="宋体" w:cs="宋体"/>
              </w:rPr>
              <w:t>重点工作</w:t>
            </w:r>
          </w:p>
          <w:p w14:paraId="51B25946">
            <w:pPr>
              <w:jc w:val="center"/>
              <w:rPr>
                <w:rFonts w:ascii="宋体" w:cs="宋体"/>
              </w:rPr>
            </w:pPr>
            <w:r>
              <w:rPr>
                <w:rFonts w:hint="eastAsia" w:ascii="宋体" w:hAnsi="宋体" w:cs="宋体"/>
              </w:rPr>
              <w:t>办结率（</w:t>
            </w:r>
            <w:r>
              <w:rPr>
                <w:rFonts w:ascii="宋体" w:hAnsi="宋体" w:cs="宋体"/>
              </w:rPr>
              <w:t>10</w:t>
            </w:r>
            <w:r>
              <w:rPr>
                <w:rFonts w:hint="eastAsia" w:ascii="宋体" w:hAnsi="宋体" w:cs="宋体"/>
              </w:rPr>
              <w:t>分）</w:t>
            </w:r>
          </w:p>
        </w:tc>
        <w:tc>
          <w:tcPr>
            <w:tcW w:w="375" w:type="pct"/>
            <w:noWrap w:val="0"/>
            <w:vAlign w:val="top"/>
          </w:tcPr>
          <w:p w14:paraId="5E2D95CE">
            <w:pPr>
              <w:tabs>
                <w:tab w:val="left" w:pos="2604"/>
              </w:tabs>
              <w:ind w:left="105" w:leftChars="50" w:right="105" w:rightChars="50" w:firstLine="96" w:firstLineChars="46"/>
              <w:rPr>
                <w:rFonts w:ascii="宋体" w:cs="宋体"/>
              </w:rPr>
            </w:pPr>
            <w:r>
              <w:rPr>
                <w:rFonts w:hint="eastAsia" w:ascii="宋体" w:cs="宋体"/>
              </w:rPr>
              <w:t>1</w:t>
            </w:r>
            <w:r>
              <w:rPr>
                <w:rFonts w:ascii="宋体" w:cs="宋体"/>
              </w:rPr>
              <w:t>0</w:t>
            </w:r>
          </w:p>
        </w:tc>
        <w:tc>
          <w:tcPr>
            <w:tcW w:w="1576" w:type="pct"/>
            <w:noWrap w:val="0"/>
            <w:tcMar>
              <w:top w:w="10" w:type="dxa"/>
              <w:left w:w="10" w:type="dxa"/>
              <w:bottom w:w="0" w:type="dxa"/>
              <w:right w:w="10" w:type="dxa"/>
            </w:tcMar>
            <w:vAlign w:val="center"/>
          </w:tcPr>
          <w:p w14:paraId="347BF31C">
            <w:pPr>
              <w:tabs>
                <w:tab w:val="left" w:pos="2604"/>
              </w:tabs>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1867" w:type="pct"/>
            <w:noWrap w:val="0"/>
            <w:tcMar>
              <w:top w:w="10" w:type="dxa"/>
              <w:left w:w="10" w:type="dxa"/>
              <w:bottom w:w="0" w:type="dxa"/>
              <w:right w:w="10" w:type="dxa"/>
            </w:tcMar>
            <w:vAlign w:val="center"/>
          </w:tcPr>
          <w:p w14:paraId="1879744F">
            <w:pPr>
              <w:ind w:left="105" w:leftChars="50" w:right="105" w:rightChars="50"/>
              <w:rPr>
                <w:rFonts w:ascii="宋体" w:cs="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重点工作是指党委、政府、人大、相关部门交办或下达的工作任务。</w:t>
            </w:r>
          </w:p>
        </w:tc>
      </w:tr>
      <w:tr w14:paraId="3030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restart"/>
            <w:noWrap/>
            <w:tcMar>
              <w:top w:w="10" w:type="dxa"/>
              <w:left w:w="10" w:type="dxa"/>
              <w:bottom w:w="0" w:type="dxa"/>
              <w:right w:w="10" w:type="dxa"/>
            </w:tcMar>
            <w:textDirection w:val="tbRlV"/>
            <w:vAlign w:val="center"/>
          </w:tcPr>
          <w:p w14:paraId="0E5B9F18">
            <w:pPr>
              <w:jc w:val="center"/>
              <w:rPr>
                <w:rFonts w:ascii="宋体" w:cs="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14:paraId="30D7E35F">
            <w:pPr>
              <w:jc w:val="center"/>
              <w:rPr>
                <w:rFonts w:ascii="宋体" w:cs="宋体"/>
              </w:rPr>
            </w:pPr>
            <w:r>
              <w:rPr>
                <w:rFonts w:hint="eastAsia" w:ascii="宋体" w:hAnsi="宋体" w:cs="宋体"/>
              </w:rPr>
              <w:t>履职</w:t>
            </w:r>
            <w:r>
              <w:rPr>
                <w:rFonts w:ascii="宋体" w:cs="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500" w:type="pct"/>
            <w:noWrap w:val="0"/>
            <w:tcMar>
              <w:top w:w="10" w:type="dxa"/>
              <w:left w:w="10" w:type="dxa"/>
              <w:bottom w:w="0" w:type="dxa"/>
              <w:right w:w="10" w:type="dxa"/>
            </w:tcMar>
            <w:vAlign w:val="center"/>
          </w:tcPr>
          <w:p w14:paraId="7CC80D53">
            <w:pPr>
              <w:jc w:val="center"/>
              <w:rPr>
                <w:rFonts w:ascii="宋体" w:cs="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375" w:type="pct"/>
            <w:noWrap w:val="0"/>
            <w:vAlign w:val="top"/>
          </w:tcPr>
          <w:p w14:paraId="333AD7E8">
            <w:pPr>
              <w:tabs>
                <w:tab w:val="left" w:pos="2604"/>
              </w:tabs>
              <w:ind w:left="105" w:leftChars="50" w:right="105" w:rightChars="50" w:firstLine="96" w:firstLineChars="46"/>
              <w:rPr>
                <w:rFonts w:ascii="宋体" w:cs="宋体"/>
              </w:rPr>
            </w:pPr>
            <w:r>
              <w:rPr>
                <w:rFonts w:hint="eastAsia" w:ascii="宋体" w:cs="宋体"/>
              </w:rPr>
              <w:t>5</w:t>
            </w:r>
          </w:p>
        </w:tc>
        <w:tc>
          <w:tcPr>
            <w:tcW w:w="1576" w:type="pct"/>
            <w:noWrap w:val="0"/>
            <w:tcMar>
              <w:top w:w="10" w:type="dxa"/>
              <w:left w:w="10" w:type="dxa"/>
              <w:bottom w:w="0" w:type="dxa"/>
              <w:right w:w="10" w:type="dxa"/>
            </w:tcMar>
            <w:vAlign w:val="center"/>
          </w:tcPr>
          <w:p w14:paraId="2DBDC618">
            <w:pPr>
              <w:tabs>
                <w:tab w:val="left" w:pos="2604"/>
              </w:tabs>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1867" w:type="pct"/>
            <w:vMerge w:val="restart"/>
            <w:noWrap w:val="0"/>
            <w:tcMar>
              <w:top w:w="10" w:type="dxa"/>
              <w:left w:w="10" w:type="dxa"/>
              <w:bottom w:w="0" w:type="dxa"/>
              <w:right w:w="10" w:type="dxa"/>
            </w:tcMar>
            <w:vAlign w:val="center"/>
          </w:tcPr>
          <w:p w14:paraId="760A283E">
            <w:pPr>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14:paraId="559D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noWrap w:val="0"/>
            <w:vAlign w:val="center"/>
          </w:tcPr>
          <w:p w14:paraId="7B55BE0F">
            <w:pPr>
              <w:rPr>
                <w:rFonts w:ascii="宋体" w:cs="宋体"/>
              </w:rPr>
            </w:pPr>
          </w:p>
        </w:tc>
        <w:tc>
          <w:tcPr>
            <w:tcW w:w="375" w:type="pct"/>
            <w:vMerge w:val="continue"/>
            <w:noWrap w:val="0"/>
            <w:vAlign w:val="center"/>
          </w:tcPr>
          <w:p w14:paraId="60A7670D">
            <w:pPr>
              <w:rPr>
                <w:rFonts w:ascii="宋体" w:cs="宋体"/>
              </w:rPr>
            </w:pPr>
          </w:p>
        </w:tc>
        <w:tc>
          <w:tcPr>
            <w:tcW w:w="500" w:type="pct"/>
            <w:noWrap w:val="0"/>
            <w:tcMar>
              <w:top w:w="10" w:type="dxa"/>
              <w:left w:w="10" w:type="dxa"/>
              <w:bottom w:w="0" w:type="dxa"/>
              <w:right w:w="10" w:type="dxa"/>
            </w:tcMar>
            <w:vAlign w:val="center"/>
          </w:tcPr>
          <w:p w14:paraId="7FF57347">
            <w:pPr>
              <w:jc w:val="center"/>
              <w:rPr>
                <w:rFonts w:ascii="宋体" w:cs="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375" w:type="pct"/>
            <w:noWrap w:val="0"/>
            <w:vAlign w:val="top"/>
          </w:tcPr>
          <w:p w14:paraId="03BD619D">
            <w:pPr>
              <w:tabs>
                <w:tab w:val="left" w:pos="2604"/>
              </w:tabs>
              <w:ind w:left="105" w:leftChars="50" w:right="105" w:rightChars="50" w:firstLine="96" w:firstLineChars="46"/>
              <w:rPr>
                <w:rFonts w:ascii="宋体" w:cs="宋体"/>
              </w:rPr>
            </w:pPr>
            <w:r>
              <w:rPr>
                <w:rFonts w:hint="eastAsia" w:ascii="宋体" w:cs="宋体"/>
              </w:rPr>
              <w:t>5</w:t>
            </w:r>
          </w:p>
        </w:tc>
        <w:tc>
          <w:tcPr>
            <w:tcW w:w="1576" w:type="pct"/>
            <w:noWrap w:val="0"/>
            <w:tcMar>
              <w:top w:w="10" w:type="dxa"/>
              <w:left w:w="10" w:type="dxa"/>
              <w:bottom w:w="0" w:type="dxa"/>
              <w:right w:w="10" w:type="dxa"/>
            </w:tcMar>
            <w:vAlign w:val="center"/>
          </w:tcPr>
          <w:p w14:paraId="35B23AF4">
            <w:pPr>
              <w:tabs>
                <w:tab w:val="left" w:pos="2604"/>
              </w:tabs>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1867" w:type="pct"/>
            <w:vMerge w:val="continue"/>
            <w:noWrap w:val="0"/>
            <w:vAlign w:val="center"/>
          </w:tcPr>
          <w:p w14:paraId="4ABCC55B">
            <w:pPr>
              <w:ind w:left="105" w:leftChars="50" w:right="105" w:rightChars="50"/>
              <w:rPr>
                <w:rFonts w:ascii="宋体" w:cs="宋体"/>
              </w:rPr>
            </w:pPr>
          </w:p>
        </w:tc>
      </w:tr>
      <w:tr w14:paraId="081F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noWrap w:val="0"/>
            <w:vAlign w:val="center"/>
          </w:tcPr>
          <w:p w14:paraId="1878C7D5">
            <w:pPr>
              <w:rPr>
                <w:rFonts w:ascii="宋体" w:cs="宋体"/>
              </w:rPr>
            </w:pPr>
          </w:p>
        </w:tc>
        <w:tc>
          <w:tcPr>
            <w:tcW w:w="375" w:type="pct"/>
            <w:vMerge w:val="continue"/>
            <w:noWrap w:val="0"/>
            <w:vAlign w:val="center"/>
          </w:tcPr>
          <w:p w14:paraId="68A64BE8">
            <w:pPr>
              <w:rPr>
                <w:rFonts w:ascii="宋体" w:cs="宋体"/>
              </w:rPr>
            </w:pPr>
          </w:p>
        </w:tc>
        <w:tc>
          <w:tcPr>
            <w:tcW w:w="500" w:type="pct"/>
            <w:noWrap w:val="0"/>
            <w:tcMar>
              <w:top w:w="10" w:type="dxa"/>
              <w:left w:w="10" w:type="dxa"/>
              <w:bottom w:w="0" w:type="dxa"/>
              <w:right w:w="10" w:type="dxa"/>
            </w:tcMar>
            <w:vAlign w:val="center"/>
          </w:tcPr>
          <w:p w14:paraId="5CF3839F">
            <w:pPr>
              <w:jc w:val="center"/>
              <w:rPr>
                <w:rFonts w:ascii="宋体" w:cs="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375" w:type="pct"/>
            <w:noWrap w:val="0"/>
            <w:vAlign w:val="top"/>
          </w:tcPr>
          <w:p w14:paraId="52023125">
            <w:pPr>
              <w:tabs>
                <w:tab w:val="left" w:pos="2604"/>
              </w:tabs>
              <w:ind w:left="105" w:leftChars="50" w:right="105" w:rightChars="50" w:firstLine="96" w:firstLineChars="46"/>
              <w:rPr>
                <w:rFonts w:ascii="宋体" w:cs="宋体"/>
              </w:rPr>
            </w:pPr>
            <w:r>
              <w:rPr>
                <w:rFonts w:hint="eastAsia" w:ascii="宋体" w:cs="宋体"/>
              </w:rPr>
              <w:t>5</w:t>
            </w:r>
          </w:p>
        </w:tc>
        <w:tc>
          <w:tcPr>
            <w:tcW w:w="1576" w:type="pct"/>
            <w:noWrap w:val="0"/>
            <w:tcMar>
              <w:top w:w="10" w:type="dxa"/>
              <w:left w:w="10" w:type="dxa"/>
              <w:bottom w:w="0" w:type="dxa"/>
              <w:right w:w="10" w:type="dxa"/>
            </w:tcMar>
            <w:vAlign w:val="center"/>
          </w:tcPr>
          <w:p w14:paraId="3A071EA9">
            <w:pPr>
              <w:tabs>
                <w:tab w:val="left" w:pos="2604"/>
              </w:tabs>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1867" w:type="pct"/>
            <w:vMerge w:val="continue"/>
            <w:noWrap w:val="0"/>
            <w:vAlign w:val="center"/>
          </w:tcPr>
          <w:p w14:paraId="469F871C">
            <w:pPr>
              <w:ind w:left="105" w:leftChars="50" w:right="105" w:rightChars="50"/>
              <w:rPr>
                <w:rFonts w:ascii="宋体" w:cs="宋体"/>
              </w:rPr>
            </w:pPr>
          </w:p>
        </w:tc>
      </w:tr>
      <w:tr w14:paraId="252F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7" w:type="pct"/>
            <w:vMerge w:val="continue"/>
            <w:noWrap w:val="0"/>
            <w:vAlign w:val="center"/>
          </w:tcPr>
          <w:p w14:paraId="041CFFF3">
            <w:pPr>
              <w:rPr>
                <w:rFonts w:ascii="宋体" w:cs="宋体"/>
              </w:rPr>
            </w:pPr>
          </w:p>
        </w:tc>
        <w:tc>
          <w:tcPr>
            <w:tcW w:w="375" w:type="pct"/>
            <w:vMerge w:val="continue"/>
            <w:noWrap w:val="0"/>
            <w:vAlign w:val="center"/>
          </w:tcPr>
          <w:p w14:paraId="7219EF82">
            <w:pPr>
              <w:rPr>
                <w:rFonts w:ascii="宋体" w:cs="宋体"/>
              </w:rPr>
            </w:pPr>
          </w:p>
        </w:tc>
        <w:tc>
          <w:tcPr>
            <w:tcW w:w="500" w:type="pct"/>
            <w:noWrap w:val="0"/>
            <w:tcMar>
              <w:top w:w="10" w:type="dxa"/>
              <w:left w:w="10" w:type="dxa"/>
              <w:bottom w:w="0" w:type="dxa"/>
              <w:right w:w="10" w:type="dxa"/>
            </w:tcMar>
            <w:vAlign w:val="center"/>
          </w:tcPr>
          <w:p w14:paraId="7A3D82AE">
            <w:pPr>
              <w:jc w:val="center"/>
              <w:rPr>
                <w:rFonts w:ascii="宋体" w:cs="宋体"/>
              </w:rPr>
            </w:pPr>
            <w:r>
              <w:rPr>
                <w:rFonts w:hint="eastAsia" w:ascii="宋体" w:hAnsi="宋体" w:cs="宋体"/>
              </w:rPr>
              <w:t>社会公众</w:t>
            </w:r>
          </w:p>
          <w:p w14:paraId="73C51F25">
            <w:pPr>
              <w:jc w:val="center"/>
              <w:rPr>
                <w:rFonts w:ascii="宋体" w:cs="宋体"/>
              </w:rPr>
            </w:pPr>
            <w:r>
              <w:rPr>
                <w:rFonts w:hint="eastAsia" w:ascii="宋体" w:hAnsi="宋体" w:cs="宋体"/>
              </w:rPr>
              <w:t>或服务对</w:t>
            </w:r>
          </w:p>
          <w:p w14:paraId="07F3991D">
            <w:pPr>
              <w:jc w:val="center"/>
              <w:rPr>
                <w:rFonts w:ascii="宋体" w:cs="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375" w:type="pct"/>
            <w:noWrap w:val="0"/>
            <w:vAlign w:val="top"/>
          </w:tcPr>
          <w:p w14:paraId="378E2C2E">
            <w:pPr>
              <w:tabs>
                <w:tab w:val="left" w:pos="2604"/>
              </w:tabs>
              <w:ind w:left="105" w:leftChars="50" w:right="105" w:rightChars="50" w:firstLine="96" w:firstLineChars="46"/>
              <w:rPr>
                <w:rFonts w:ascii="宋体" w:cs="宋体"/>
              </w:rPr>
            </w:pPr>
            <w:r>
              <w:rPr>
                <w:rFonts w:hint="eastAsia" w:ascii="宋体" w:cs="宋体"/>
              </w:rPr>
              <w:t>5</w:t>
            </w:r>
          </w:p>
        </w:tc>
        <w:tc>
          <w:tcPr>
            <w:tcW w:w="1576" w:type="pct"/>
            <w:noWrap w:val="0"/>
            <w:tcMar>
              <w:top w:w="10" w:type="dxa"/>
              <w:left w:w="10" w:type="dxa"/>
              <w:bottom w:w="0" w:type="dxa"/>
              <w:right w:w="10" w:type="dxa"/>
            </w:tcMar>
            <w:vAlign w:val="center"/>
          </w:tcPr>
          <w:p w14:paraId="75AFE918">
            <w:pPr>
              <w:tabs>
                <w:tab w:val="left" w:pos="2604"/>
              </w:tabs>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1867" w:type="pct"/>
            <w:noWrap w:val="0"/>
            <w:tcMar>
              <w:top w:w="10" w:type="dxa"/>
              <w:left w:w="10" w:type="dxa"/>
              <w:bottom w:w="0" w:type="dxa"/>
              <w:right w:w="10" w:type="dxa"/>
            </w:tcMar>
            <w:vAlign w:val="center"/>
          </w:tcPr>
          <w:p w14:paraId="5BE9A923">
            <w:pPr>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14:paraId="4AD1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7" w:type="pct"/>
            <w:noWrap w:val="0"/>
            <w:vAlign w:val="center"/>
          </w:tcPr>
          <w:p w14:paraId="6613A263">
            <w:pPr>
              <w:rPr>
                <w:rFonts w:ascii="宋体" w:cs="宋体"/>
              </w:rPr>
            </w:pPr>
            <w:r>
              <w:rPr>
                <w:rFonts w:hint="eastAsia" w:ascii="宋体" w:hAnsi="宋体" w:cs="宋体"/>
              </w:rPr>
              <w:t>总分</w:t>
            </w:r>
          </w:p>
        </w:tc>
        <w:tc>
          <w:tcPr>
            <w:tcW w:w="375" w:type="pct"/>
            <w:noWrap w:val="0"/>
            <w:vAlign w:val="center"/>
          </w:tcPr>
          <w:p w14:paraId="2F1B8E67">
            <w:pPr>
              <w:rPr>
                <w:rFonts w:ascii="宋体" w:cs="宋体"/>
              </w:rPr>
            </w:pPr>
          </w:p>
        </w:tc>
        <w:tc>
          <w:tcPr>
            <w:tcW w:w="500" w:type="pct"/>
            <w:noWrap w:val="0"/>
            <w:tcMar>
              <w:top w:w="10" w:type="dxa"/>
              <w:left w:w="10" w:type="dxa"/>
              <w:bottom w:w="0" w:type="dxa"/>
              <w:right w:w="10" w:type="dxa"/>
            </w:tcMar>
            <w:vAlign w:val="center"/>
          </w:tcPr>
          <w:p w14:paraId="5B433D82">
            <w:pPr>
              <w:jc w:val="center"/>
              <w:rPr>
                <w:rFonts w:ascii="宋体" w:cs="宋体"/>
              </w:rPr>
            </w:pPr>
          </w:p>
        </w:tc>
        <w:tc>
          <w:tcPr>
            <w:tcW w:w="375" w:type="pct"/>
            <w:noWrap w:val="0"/>
            <w:vAlign w:val="top"/>
          </w:tcPr>
          <w:p w14:paraId="04EE7E6A">
            <w:pPr>
              <w:tabs>
                <w:tab w:val="left" w:pos="2604"/>
              </w:tabs>
              <w:ind w:left="105" w:leftChars="50" w:right="105" w:rightChars="50" w:firstLine="96" w:firstLineChars="46"/>
              <w:rPr>
                <w:rFonts w:ascii="宋体" w:cs="宋体"/>
              </w:rPr>
            </w:pPr>
            <w:r>
              <w:rPr>
                <w:rFonts w:hint="eastAsia" w:ascii="宋体" w:cs="宋体"/>
              </w:rPr>
              <w:t>9</w:t>
            </w:r>
            <w:r>
              <w:rPr>
                <w:rFonts w:ascii="宋体" w:cs="宋体"/>
              </w:rPr>
              <w:t>7</w:t>
            </w:r>
          </w:p>
        </w:tc>
        <w:tc>
          <w:tcPr>
            <w:tcW w:w="1576" w:type="pct"/>
            <w:noWrap w:val="0"/>
            <w:tcMar>
              <w:top w:w="10" w:type="dxa"/>
              <w:left w:w="10" w:type="dxa"/>
              <w:bottom w:w="0" w:type="dxa"/>
              <w:right w:w="10" w:type="dxa"/>
            </w:tcMar>
            <w:vAlign w:val="center"/>
          </w:tcPr>
          <w:p w14:paraId="052DCE88">
            <w:pPr>
              <w:tabs>
                <w:tab w:val="left" w:pos="2604"/>
              </w:tabs>
              <w:ind w:left="105" w:leftChars="50" w:right="105" w:rightChars="50" w:firstLine="96" w:firstLineChars="46"/>
              <w:rPr>
                <w:rFonts w:ascii="宋体" w:cs="宋体"/>
              </w:rPr>
            </w:pPr>
          </w:p>
        </w:tc>
        <w:tc>
          <w:tcPr>
            <w:tcW w:w="1867" w:type="pct"/>
            <w:noWrap w:val="0"/>
            <w:tcMar>
              <w:top w:w="10" w:type="dxa"/>
              <w:left w:w="10" w:type="dxa"/>
              <w:bottom w:w="0" w:type="dxa"/>
              <w:right w:w="10" w:type="dxa"/>
            </w:tcMar>
            <w:vAlign w:val="center"/>
          </w:tcPr>
          <w:p w14:paraId="7EA3FBEE">
            <w:pPr>
              <w:ind w:left="105" w:leftChars="50" w:right="105" w:rightChars="50"/>
              <w:rPr>
                <w:rFonts w:ascii="宋体" w:cs="宋体"/>
              </w:rPr>
            </w:pPr>
          </w:p>
        </w:tc>
      </w:tr>
    </w:tbl>
    <w:p w14:paraId="704DA041"/>
    <w:p w14:paraId="025E33D9">
      <w:pPr>
        <w:widowControl/>
        <w:ind w:firstLine="645"/>
        <w:jc w:val="left"/>
        <w:rPr>
          <w:rFonts w:eastAsia="黑体" w:cs="黑体"/>
          <w:sz w:val="32"/>
          <w:szCs w:val="32"/>
        </w:rPr>
      </w:pPr>
    </w:p>
    <w:p w14:paraId="1199AD38">
      <w:pPr>
        <w:widowControl/>
        <w:ind w:firstLine="645"/>
        <w:jc w:val="left"/>
        <w:rPr>
          <w:rFonts w:eastAsia="黑体"/>
          <w:sz w:val="32"/>
          <w:szCs w:val="32"/>
        </w:rPr>
      </w:pPr>
    </w:p>
    <w:p w14:paraId="1A535ADB">
      <w:pPr>
        <w:widowControl/>
        <w:ind w:firstLine="645"/>
        <w:jc w:val="left"/>
        <w:rPr>
          <w:rFonts w:eastAsia="黑体"/>
          <w:sz w:val="32"/>
          <w:szCs w:val="32"/>
        </w:rPr>
      </w:pPr>
    </w:p>
    <w:p w14:paraId="309FE9EF">
      <w:pPr>
        <w:widowControl/>
        <w:ind w:firstLine="645"/>
        <w:jc w:val="left"/>
        <w:rPr>
          <w:rFonts w:eastAsia="黑体"/>
          <w:sz w:val="32"/>
          <w:szCs w:val="32"/>
        </w:rPr>
      </w:pPr>
    </w:p>
    <w:p w14:paraId="07BC689D">
      <w:pPr>
        <w:widowControl/>
        <w:ind w:firstLine="645"/>
        <w:jc w:val="left"/>
        <w:rPr>
          <w:rFonts w:eastAsia="黑体"/>
          <w:sz w:val="32"/>
          <w:szCs w:val="32"/>
        </w:rPr>
      </w:pPr>
    </w:p>
    <w:p w14:paraId="15324E2E">
      <w:pPr>
        <w:widowControl/>
        <w:ind w:firstLine="645"/>
        <w:jc w:val="left"/>
        <w:rPr>
          <w:rFonts w:eastAsia="黑体"/>
          <w:sz w:val="32"/>
          <w:szCs w:val="32"/>
        </w:rPr>
      </w:pPr>
    </w:p>
    <w:p w14:paraId="6EC3D8C1">
      <w:pPr>
        <w:widowControl/>
        <w:ind w:firstLine="645"/>
        <w:jc w:val="left"/>
        <w:rPr>
          <w:rFonts w:eastAsia="黑体"/>
          <w:sz w:val="32"/>
          <w:szCs w:val="32"/>
        </w:rPr>
      </w:pPr>
    </w:p>
    <w:p w14:paraId="0D433D50">
      <w:pPr>
        <w:widowControl/>
        <w:ind w:firstLine="645"/>
        <w:jc w:val="left"/>
        <w:rPr>
          <w:rFonts w:eastAsia="黑体"/>
          <w:sz w:val="32"/>
          <w:szCs w:val="32"/>
        </w:rPr>
      </w:pPr>
    </w:p>
    <w:p w14:paraId="4372A644"/>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YTdkOWNhZjU4N2RiNmU4MWRjYTczYzVhM2FiMDAifQ=="/>
  </w:docVars>
  <w:rsids>
    <w:rsidRoot w:val="00000000"/>
    <w:rsid w:val="0A5417CB"/>
    <w:rsid w:val="31005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pPr>
      <w:widowControl/>
      <w:jc w:val="left"/>
    </w:pPr>
    <w:rPr>
      <w:rFonts w:ascii="宋体" w:hAnsi="Courier New" w:eastAsia="宋体" w:cs="宋体"/>
      <w:kern w:val="0"/>
      <w:sz w:val="20"/>
      <w:szCs w:val="21"/>
      <w:lang w:eastAsia="en-US"/>
    </w:rPr>
  </w:style>
  <w:style w:type="paragraph" w:customStyle="1" w:styleId="5">
    <w:name w:val="列出段落2"/>
    <w:basedOn w:val="1"/>
    <w:qFormat/>
    <w:uiPriority w:val="99"/>
    <w:pPr>
      <w:ind w:firstLine="420" w:firstLineChars="200"/>
    </w:pPr>
    <w:rPr>
      <w:rFonts w:ascii="等线" w:hAnsi="等线" w:eastAsia="等线" w:cs="等线"/>
      <w:szCs w:val="21"/>
    </w:rPr>
  </w:style>
  <w:style w:type="paragraph" w:styleId="6">
    <w:name w:val="List Paragraph"/>
    <w:basedOn w:val="1"/>
    <w:qFormat/>
    <w:uiPriority w:val="34"/>
    <w:pPr>
      <w:ind w:firstLine="420" w:firstLineChars="200"/>
    </w:pPr>
  </w:style>
  <w:style w:type="paragraph" w:customStyle="1" w:styleId="7">
    <w:name w:val="TOC1"/>
    <w:basedOn w:val="1"/>
    <w:next w:val="1"/>
    <w:qFormat/>
    <w:uiPriority w:val="99"/>
    <w:pPr>
      <w:widowControl/>
      <w:jc w:val="left"/>
    </w:pPr>
    <w:rPr>
      <w:rFonts w:ascii="Calibri" w:hAnsi="Calibri" w:eastAsia="宋体" w:cs="Times New Roman"/>
      <w:kern w:val="0"/>
      <w:sz w:val="32"/>
      <w:szCs w:val="3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9437</Words>
  <Characters>9897</Characters>
  <Lines>0</Lines>
  <Paragraphs>0</Paragraphs>
  <TotalTime>2</TotalTime>
  <ScaleCrop>false</ScaleCrop>
  <LinksUpToDate>false</LinksUpToDate>
  <CharactersWithSpaces>9937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2023-06-19T05:28:00Z</dcterms:created>
  <dc:creator>admin-3</dc:creator>
  <cp:lastModifiedBy>城南旧事</cp:lastModifiedBy>
  <dcterms:modified xsi:type="dcterms:W3CDTF">2024-10-16T06:33:54Z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2A3B5288B4BD4AFEA31B4F02B368BA00_12</vt:lpwstr>
  </property>
</Properties>
</file>